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lineRule="auto" w:line="240" w:before="240" w:after="120"/>
        <w:ind w:hanging="0" w:start="0"/>
        <w:jc w:val="center"/>
        <w:rPr>
          <w:rFonts w:ascii="Times New Roman" w:hAnsi="Times New Roman"/>
        </w:rPr>
      </w:pPr>
      <w:r>
        <w:rPr>
          <w:rFonts w:ascii="Times New Roman" w:hAnsi="Times New Roman"/>
        </w:rPr>
        <w:t>Brain Tumour Detection and Classification Using Deep Learning: A Comprehensive Comparative Study of CNN and Transformer Architectures</w:t>
      </w:r>
    </w:p>
    <w:p>
      <w:pPr>
        <w:pStyle w:val="BodyText"/>
        <w:bidi w:val="0"/>
        <w:spacing w:lineRule="auto" w:line="240" w:before="0" w:after="0"/>
        <w:jc w:val="center"/>
        <w:rPr>
          <w:rFonts w:ascii="Times New Roman" w:hAnsi="Times New Roman"/>
          <w:b w:val="false"/>
          <w:bCs w:val="false"/>
        </w:rPr>
      </w:pPr>
      <w:r>
        <w:rPr>
          <w:rFonts w:ascii="Times New Roman" w:hAnsi="Times New Roman"/>
          <w:b w:val="false"/>
          <w:bCs w:val="false"/>
        </w:rPr>
        <w:t>Parth Mital¹, Ved Lawand</w:t>
      </w:r>
      <w:r>
        <w:rPr>
          <w:rFonts w:ascii="Times New Roman" w:hAnsi="Times New Roman"/>
          <w:b w:val="false"/>
          <w:bCs w:val="false"/>
          <w:vertAlign w:val="superscript"/>
        </w:rPr>
        <w:t>1</w:t>
      </w:r>
      <w:r>
        <w:rPr>
          <w:rFonts w:ascii="Times New Roman" w:hAnsi="Times New Roman"/>
          <w:b w:val="false"/>
          <w:bCs w:val="false"/>
        </w:rPr>
        <w:t>, Dr. Biji C L</w:t>
      </w:r>
      <w:r>
        <w:rPr>
          <w:rFonts w:ascii="Times New Roman" w:hAnsi="Times New Roman"/>
          <w:b w:val="false"/>
          <w:bCs w:val="false"/>
          <w:vertAlign w:val="superscript"/>
        </w:rPr>
        <w:t>1</w:t>
      </w:r>
    </w:p>
    <w:p>
      <w:pPr>
        <w:pStyle w:val="BodyText"/>
        <w:bidi w:val="0"/>
        <w:spacing w:lineRule="auto" w:line="240" w:before="0" w:after="0"/>
        <w:jc w:val="center"/>
        <w:rPr>
          <w:rFonts w:ascii="Times New Roman" w:hAnsi="Times New Roman"/>
          <w:b w:val="false"/>
          <w:bCs w:val="false"/>
        </w:rPr>
      </w:pPr>
      <w:r>
        <w:rPr>
          <w:rFonts w:ascii="Times New Roman" w:hAnsi="Times New Roman"/>
          <w:b w:val="false"/>
          <w:bCs w:val="false"/>
        </w:rPr>
        <w:t>¹</w:t>
      </w:r>
      <w:r>
        <w:rPr>
          <w:rFonts w:ascii="Times New Roman" w:hAnsi="Times New Roman"/>
          <w:b w:val="false"/>
          <w:bCs w:val="false"/>
        </w:rPr>
        <w:t>School of Computer Science and Engineering, Vellore Institute of Technology, Vellore, India</w:t>
      </w:r>
    </w:p>
    <w:p>
      <w:pPr>
        <w:pStyle w:val="BodyText"/>
        <w:bidi w:val="0"/>
        <w:spacing w:lineRule="auto" w:line="240" w:before="0" w:after="0"/>
        <w:jc w:val="center"/>
        <w:rPr>
          <w:rFonts w:ascii="Times New Roman" w:hAnsi="Times New Roman"/>
          <w:i/>
        </w:rPr>
      </w:pPr>
      <w:r>
        <w:rPr>
          <w:rFonts w:ascii="Times New Roman" w:hAnsi="Times New Roman"/>
          <w:b w:val="false"/>
          <w:bCs w:val="false"/>
          <w:i/>
        </w:rPr>
        <w:t xml:space="preserve">Corresponding author email: </w:t>
      </w:r>
      <w:hyperlink r:id="rId2">
        <w:r>
          <w:rPr>
            <w:rStyle w:val="Hyperlink"/>
            <w:rFonts w:ascii="Times New Roman" w:hAnsi="Times New Roman"/>
            <w:b w:val="false"/>
            <w:bCs w:val="false"/>
            <w:i/>
          </w:rPr>
          <w:t>parth.mital2023@vitstudent.ac.in</w:t>
        </w:r>
      </w:hyperlink>
      <w:r>
        <w:rPr>
          <w:rFonts w:ascii="Times New Roman" w:hAnsi="Times New Roman"/>
          <w:b w:val="false"/>
          <w:bCs w:val="false"/>
          <w:i/>
        </w:rPr>
        <w:t xml:space="preserve">, </w:t>
      </w:r>
      <w:hyperlink r:id="rId3">
        <w:r>
          <w:rPr>
            <w:rStyle w:val="Hyperlink"/>
            <w:rFonts w:ascii="Times New Roman" w:hAnsi="Times New Roman"/>
            <w:b w:val="false"/>
            <w:bCs w:val="false"/>
            <w:i/>
          </w:rPr>
          <w:t>ved.lawand2023@vitstudent.ac.in</w:t>
        </w:r>
      </w:hyperlink>
    </w:p>
    <w:p>
      <w:pPr>
        <w:pStyle w:val="BodyText"/>
        <w:bidi w:val="0"/>
        <w:spacing w:lineRule="auto" w:line="240"/>
        <w:jc w:val="center"/>
        <w:rPr>
          <w:rFonts w:ascii="Times New Roman" w:hAnsi="Times New Roman"/>
          <w:i/>
        </w:rPr>
      </w:pPr>
      <w:r>
        <w:rPr>
          <w:rFonts w:ascii="Times New Roman" w:hAnsi="Times New Roman"/>
          <w:b w:val="false"/>
          <w:bCs w:val="false"/>
          <w:i/>
        </w:rPr>
        <w:t xml:space="preserve">Faculty supervisor email: </w:t>
      </w:r>
      <w:hyperlink r:id="rId4">
        <w:r>
          <w:rPr>
            <w:rStyle w:val="Hyperlink"/>
            <w:rFonts w:ascii="Times New Roman" w:hAnsi="Times New Roman"/>
            <w:b w:val="false"/>
            <w:bCs w:val="false"/>
            <w:i/>
          </w:rPr>
          <w:t>biji.cl@vit.ac.in</w:t>
        </w:r>
      </w:hyperlink>
    </w:p>
    <w:p>
      <w:pPr>
        <w:pStyle w:val="Heading2"/>
        <w:numPr>
          <w:ilvl w:val="0"/>
          <w:numId w:val="0"/>
        </w:numPr>
        <w:bidi w:val="0"/>
        <w:spacing w:lineRule="auto" w:line="240"/>
        <w:ind w:hanging="0" w:start="0"/>
        <w:jc w:val="both"/>
        <w:rPr>
          <w:rFonts w:ascii="Times New Roman" w:hAnsi="Times New Roman"/>
        </w:rPr>
      </w:pPr>
      <w:r>
        <w:rPr>
          <w:rFonts w:ascii="Times New Roman" w:hAnsi="Times New Roman"/>
        </w:rPr>
        <w:t>Abstract</w:t>
      </w:r>
    </w:p>
    <w:p>
      <w:pPr>
        <w:pStyle w:val="BodyText"/>
        <w:bidi w:val="0"/>
        <w:spacing w:lineRule="auto" w:line="240"/>
        <w:jc w:val="both"/>
        <w:rPr>
          <w:rFonts w:ascii="Times New Roman" w:hAnsi="Times New Roman"/>
        </w:rPr>
      </w:pPr>
      <w:r>
        <w:rPr>
          <w:rFonts w:ascii="Times New Roman" w:hAnsi="Times New Roman"/>
        </w:rPr>
        <w:t>Brain tumours represent one of the most serious neurological conditions worldwide, with early and accurate diagnosis being crucial for treatment success and patient survival. Magnetic Resonance Imaging (MRI) serves as the primary diagnostic tool; however, manual interpretation is time-consuming, subject to inter-observer variability, and requires specialised expertise that may not be universally available. This research presents a comprehensive comparative study of nine state-of-the-art deep learning architectures for both binary brain tumour detection and multi-class tumour classification (glioma, meningioma, and pituitary tumours). We evaluate classical CNNs (ResNet50, VGG16, DenseNet121), efficient CNNs (EfficientNetB0, MobileNetV3-Large, InceptionV3), and transformer-based models (ViT-B/16, Swin Transformer Base, CoaTNet-0) under standardised experimental conditions. Rigorous preprocessing including perceptual hashing for deduplication removed 19.3% near-identical images from the combined dataset of 5,828 MRI images, resulting in 4,705 unique samples for multi-class classification. For binary detection, a separate dataset of 3,253 images was used. All models were pretrained on ImageNet and fine-tuned using AdamW optimisation, cosine annealing scheduling, and mixed precision training on dual NVIDIA Tesla T4 GPUs. For binary detection, InceptionV3 achieved 99.39% accuracy with perfect AUC (1.0000), while CoaTNet-0 and EfficientNetB0 achieved 99.59% accuracy. For multi-class classification, InceptionV3 and Swin-Base achieved the highest test accuracy of 98.58% with AUC exceeding 0.999. EfficientNetB0 demonstrated exceptional parameter efficiency, achieving 97.59% accuracy with only 5.3 million parameters. Our findings demonstrate that modern deep learning architectures, particularly those incorporating attention mechanisms and multi-scale processing, achieve clinically viable accuracy for brain tumour analysis, with implications for automated screening systems in resource-constrained healthcare settings.</w:t>
      </w:r>
    </w:p>
    <w:p>
      <w:pPr>
        <w:pStyle w:val="BodyText"/>
        <w:bidi w:val="0"/>
        <w:spacing w:lineRule="auto" w:line="240"/>
        <w:jc w:val="both"/>
        <w:rPr>
          <w:rFonts w:ascii="Times New Roman" w:hAnsi="Times New Roman"/>
        </w:rPr>
      </w:pPr>
      <w:r>
        <w:rPr>
          <w:rFonts w:ascii="Times New Roman" w:hAnsi="Times New Roman"/>
          <w:b/>
          <w:bCs/>
        </w:rPr>
        <w:t>Keywords:</w:t>
      </w:r>
      <w:r>
        <w:rPr>
          <w:rFonts w:ascii="Times New Roman" w:hAnsi="Times New Roman"/>
        </w:rPr>
        <w:t xml:space="preserve"> Brain tumour detection, deep learning, convolutional neural networks, vision transformers, medical image classification, MRI, transfer learning.</w:t>
      </w:r>
    </w:p>
    <w:p>
      <w:pPr>
        <w:pStyle w:val="Heading2"/>
        <w:numPr>
          <w:ilvl w:val="0"/>
          <w:numId w:val="0"/>
        </w:numPr>
        <w:bidi w:val="0"/>
        <w:spacing w:lineRule="auto" w:line="240"/>
        <w:ind w:hanging="0" w:start="0"/>
        <w:jc w:val="both"/>
        <w:rPr>
          <w:rFonts w:ascii="Times New Roman" w:hAnsi="Times New Roman"/>
        </w:rPr>
      </w:pPr>
      <w:r>
        <w:rPr>
          <w:rFonts w:ascii="Times New Roman" w:hAnsi="Times New Roman"/>
        </w:rPr>
        <w:t>1. Introduction</w:t>
      </w:r>
    </w:p>
    <w:p>
      <w:pPr>
        <w:pStyle w:val="Heading3"/>
        <w:bidi w:val="0"/>
        <w:spacing w:lineRule="auto" w:line="240"/>
        <w:ind w:hanging="0" w:start="0"/>
        <w:jc w:val="both"/>
        <w:rPr>
          <w:rFonts w:ascii="Times New Roman" w:hAnsi="Times New Roman"/>
        </w:rPr>
      </w:pPr>
      <w:r>
        <w:rPr>
          <w:rFonts w:ascii="Times New Roman" w:hAnsi="Times New Roman"/>
        </w:rPr>
        <w:t>1.1 Background Context</w:t>
      </w:r>
    </w:p>
    <w:p>
      <w:pPr>
        <w:pStyle w:val="BodyText"/>
        <w:bidi w:val="0"/>
        <w:spacing w:lineRule="auto" w:line="240"/>
        <w:jc w:val="both"/>
        <w:rPr>
          <w:rFonts w:ascii="Times New Roman" w:hAnsi="Times New Roman"/>
        </w:rPr>
      </w:pPr>
      <w:r>
        <w:rPr>
          <w:rFonts w:ascii="Times New Roman" w:hAnsi="Times New Roman"/>
        </w:rPr>
        <w:t>Brain tumours are abnormal cell growths within the brain or central nervous system that can be life-threatening. According to the American Brain Tumour Association, approximately 90,000 people are diagnosed with primary brain tumours annually in the United States alone, with similar incidence patterns observed globally. The three most common types of primary brain tumours are: gliomas, arising from glial cells and representing approximately 30% of all brain tumours; meningiomas, developing from the meninges layers surrounding the brain and typically benign; and pituitary tumours, originating in the pituitary gland and affecting hormone regulation [1], [2].</w:t>
      </w:r>
    </w:p>
    <w:p>
      <w:pPr>
        <w:pStyle w:val="BodyText"/>
        <w:bidi w:val="0"/>
        <w:spacing w:lineRule="auto" w:line="240"/>
        <w:jc w:val="both"/>
        <w:rPr>
          <w:rFonts w:ascii="Times New Roman" w:hAnsi="Times New Roman"/>
        </w:rPr>
      </w:pPr>
      <w:r>
        <w:rPr>
          <w:rFonts w:ascii="Times New Roman" w:hAnsi="Times New Roman"/>
        </w:rPr>
        <w:t>Magnetic Resonance Imaging (MRI) is the primary non-invasive diagnostic tool for brain tumour detection and classification, providing detailed soft tissue visualisation without ionising radiation. However, manual interpretation of MRI scans presents several challenges: it is time-consuming, subject to inter-observer variability, requires specialised expertise that may not be universally available, and can lead to diagnostic delays that adversely affect patient outcomes [3], [4].</w:t>
      </w:r>
    </w:p>
    <w:p>
      <w:pPr>
        <w:pStyle w:val="BodyText"/>
        <w:bidi w:val="0"/>
        <w:spacing w:lineRule="auto" w:line="240"/>
        <w:jc w:val="both"/>
        <w:rPr>
          <w:rFonts w:ascii="Times New Roman" w:hAnsi="Times New Roman"/>
        </w:rPr>
      </w:pPr>
      <w:r>
        <w:rPr>
          <w:rFonts w:ascii="Times New Roman" w:hAnsi="Times New Roman"/>
        </w:rPr>
        <w:t>The advent of deep learning has revolutionised medical image analysis, offering the potential for automated, consistent, and rapid diagnosis. Convolutional Neural Networks (CNNs) have traditionally dominated this space, with architectures like ResNet and VGG establishing benchmarks for image classification tasks. More recently, transformer-based architectures originally developed for natural language processing have been adapted for vision tasks – Vision Transformers (ViT), Swin Transformers, and Co-scale Conv-Attentional Networks (CoaTNet) – offering alternative approaches to capturing global image context through self-attention mechanisms [5]–[8].</w:t>
      </w:r>
    </w:p>
    <w:p>
      <w:pPr>
        <w:pStyle w:val="Heading3"/>
        <w:bidi w:val="0"/>
        <w:spacing w:lineRule="auto" w:line="240"/>
        <w:ind w:hanging="0" w:start="0"/>
        <w:jc w:val="both"/>
        <w:rPr>
          <w:rFonts w:ascii="Times New Roman" w:hAnsi="Times New Roman"/>
        </w:rPr>
      </w:pPr>
      <w:r>
        <w:rPr>
          <w:rFonts w:ascii="Times New Roman" w:hAnsi="Times New Roman"/>
        </w:rPr>
        <w:t>1.2 Problem Statement and Research Gap</w:t>
      </w:r>
    </w:p>
    <w:p>
      <w:pPr>
        <w:pStyle w:val="BodyText"/>
        <w:bidi w:val="0"/>
        <w:spacing w:lineRule="auto" w:line="240"/>
        <w:jc w:val="both"/>
        <w:rPr>
          <w:rFonts w:ascii="Times New Roman" w:hAnsi="Times New Roman"/>
        </w:rPr>
      </w:pPr>
      <w:r>
        <w:rPr>
          <w:rFonts w:ascii="Times New Roman" w:hAnsi="Times New Roman"/>
        </w:rPr>
        <w:t>While numerous studies have demonstrated the effectiveness of individual deep learning models for brain tumour detection and classification, comprehensive comparative analyses across multiple architectural families remain limited. Key gaps identified in the existing literature include:</w:t>
      </w:r>
    </w:p>
    <w:p>
      <w:pPr>
        <w:pStyle w:val="BodyText"/>
        <w:numPr>
          <w:ilvl w:val="0"/>
          <w:numId w:val="2"/>
        </w:numPr>
        <w:tabs>
          <w:tab w:val="clear" w:pos="709"/>
          <w:tab w:val="left" w:pos="709" w:leader="none"/>
        </w:tabs>
        <w:bidi w:val="0"/>
        <w:spacing w:lineRule="auto" w:line="240"/>
        <w:ind w:hanging="283" w:start="709"/>
        <w:jc w:val="both"/>
        <w:rPr>
          <w:rFonts w:ascii="Times New Roman" w:hAnsi="Times New Roman"/>
        </w:rPr>
      </w:pPr>
      <w:r>
        <w:rPr>
          <w:rFonts w:ascii="Times New Roman" w:hAnsi="Times New Roman"/>
          <w:b/>
        </w:rPr>
        <w:t>Lack of Standardised Comparison:</w:t>
      </w:r>
      <w:r>
        <w:rPr>
          <w:rFonts w:ascii="Times New Roman" w:hAnsi="Times New Roman"/>
        </w:rPr>
        <w:t xml:space="preserve"> Studies often use different datasets, preprocessing pipelines, and evaluation metrics, making cross-model comparison difficult and potentially misleading [9], [10].</w:t>
      </w:r>
    </w:p>
    <w:p>
      <w:pPr>
        <w:pStyle w:val="BodyText"/>
        <w:numPr>
          <w:ilvl w:val="0"/>
          <w:numId w:val="2"/>
        </w:numPr>
        <w:tabs>
          <w:tab w:val="clear" w:pos="709"/>
          <w:tab w:val="left" w:pos="709" w:leader="none"/>
        </w:tabs>
        <w:bidi w:val="0"/>
        <w:spacing w:lineRule="auto" w:line="240"/>
        <w:ind w:hanging="283" w:start="709"/>
        <w:jc w:val="both"/>
        <w:rPr>
          <w:rFonts w:ascii="Times New Roman" w:hAnsi="Times New Roman"/>
        </w:rPr>
      </w:pPr>
      <w:r>
        <w:rPr>
          <w:rFonts w:ascii="Times New Roman" w:hAnsi="Times New Roman"/>
          <w:b/>
        </w:rPr>
        <w:t>Limited Transformer Evaluation:</w:t>
      </w:r>
      <w:r>
        <w:rPr>
          <w:rFonts w:ascii="Times New Roman" w:hAnsi="Times New Roman"/>
        </w:rPr>
        <w:t xml:space="preserve"> Most existing research focuses on CNNs, with insufficient exploration of transformer-based architectures for brain tumour detection. The applicability of attention mechanisms to medical imaging remains underexplored [11].</w:t>
      </w:r>
    </w:p>
    <w:p>
      <w:pPr>
        <w:pStyle w:val="BodyText"/>
        <w:numPr>
          <w:ilvl w:val="0"/>
          <w:numId w:val="2"/>
        </w:numPr>
        <w:tabs>
          <w:tab w:val="clear" w:pos="709"/>
          <w:tab w:val="left" w:pos="709" w:leader="none"/>
        </w:tabs>
        <w:bidi w:val="0"/>
        <w:spacing w:lineRule="auto" w:line="240"/>
        <w:ind w:hanging="283" w:start="709"/>
        <w:jc w:val="both"/>
        <w:rPr>
          <w:rFonts w:ascii="Times New Roman" w:hAnsi="Times New Roman"/>
        </w:rPr>
      </w:pPr>
      <w:r>
        <w:rPr>
          <w:rFonts w:ascii="Times New Roman" w:hAnsi="Times New Roman"/>
          <w:b/>
        </w:rPr>
        <w:t>Absence of Unified Training Protocols:</w:t>
      </w:r>
      <w:r>
        <w:rPr>
          <w:rFonts w:ascii="Times New Roman" w:hAnsi="Times New Roman"/>
        </w:rPr>
        <w:t xml:space="preserve"> Model comparisons rarely control for training hyperparameters, potentially confounding architectural differences with implementation variations.</w:t>
      </w:r>
    </w:p>
    <w:p>
      <w:pPr>
        <w:pStyle w:val="BodyText"/>
        <w:numPr>
          <w:ilvl w:val="0"/>
          <w:numId w:val="2"/>
        </w:numPr>
        <w:tabs>
          <w:tab w:val="clear" w:pos="709"/>
          <w:tab w:val="left" w:pos="709" w:leader="none"/>
        </w:tabs>
        <w:bidi w:val="0"/>
        <w:spacing w:lineRule="auto" w:line="240"/>
        <w:ind w:hanging="283" w:start="709"/>
        <w:jc w:val="both"/>
        <w:rPr>
          <w:rFonts w:ascii="Times New Roman" w:hAnsi="Times New Roman"/>
        </w:rPr>
      </w:pPr>
      <w:r>
        <w:rPr>
          <w:rFonts w:ascii="Times New Roman" w:hAnsi="Times New Roman"/>
          <w:b/>
        </w:rPr>
        <w:t>Data Leakage Concerns:</w:t>
      </w:r>
      <w:r>
        <w:rPr>
          <w:rFonts w:ascii="Times New Roman" w:hAnsi="Times New Roman"/>
        </w:rPr>
        <w:t xml:space="preserve"> Many studies inadvertently include near-duplicate images across train and test splits, leading to artificially inflated performance metrics that do not reflect true generalisation capability [12].</w:t>
      </w:r>
    </w:p>
    <w:p>
      <w:pPr>
        <w:pStyle w:val="BodyText"/>
        <w:numPr>
          <w:ilvl w:val="0"/>
          <w:numId w:val="2"/>
        </w:numPr>
        <w:tabs>
          <w:tab w:val="clear" w:pos="709"/>
          <w:tab w:val="left" w:pos="709" w:leader="none"/>
        </w:tabs>
        <w:bidi w:val="0"/>
        <w:spacing w:lineRule="auto" w:line="240"/>
        <w:ind w:hanging="283" w:start="709"/>
        <w:jc w:val="both"/>
        <w:rPr>
          <w:rFonts w:ascii="Times New Roman" w:hAnsi="Times New Roman"/>
        </w:rPr>
      </w:pPr>
      <w:r>
        <w:rPr>
          <w:rFonts w:ascii="Times New Roman" w:hAnsi="Times New Roman"/>
          <w:b/>
        </w:rPr>
        <w:t>Incomplete Deduplication:</w:t>
      </w:r>
      <w:r>
        <w:rPr>
          <w:rFonts w:ascii="Times New Roman" w:hAnsi="Times New Roman"/>
        </w:rPr>
        <w:t xml:space="preserve"> Most studies do not address near-duplicate images that may exist across combined datasets from multiple sources.</w:t>
      </w:r>
    </w:p>
    <w:p>
      <w:pPr>
        <w:pStyle w:val="Heading3"/>
        <w:numPr>
          <w:ilvl w:val="0"/>
          <w:numId w:val="0"/>
        </w:numPr>
        <w:bidi w:val="0"/>
        <w:spacing w:lineRule="auto" w:line="240"/>
        <w:ind w:hanging="0" w:start="0"/>
        <w:jc w:val="both"/>
        <w:rPr>
          <w:rFonts w:ascii="Times New Roman" w:hAnsi="Times New Roman"/>
        </w:rPr>
      </w:pPr>
      <w:r>
        <w:rPr>
          <w:rFonts w:ascii="Times New Roman" w:hAnsi="Times New Roman"/>
        </w:rPr>
        <w:t>1.3 Significance and Urgency</w:t>
      </w:r>
    </w:p>
    <w:p>
      <w:pPr>
        <w:pStyle w:val="BodyText"/>
        <w:bidi w:val="0"/>
        <w:spacing w:lineRule="auto" w:line="240"/>
        <w:jc w:val="both"/>
        <w:rPr>
          <w:rFonts w:ascii="Times New Roman" w:hAnsi="Times New Roman"/>
        </w:rPr>
      </w:pPr>
      <w:r>
        <w:rPr>
          <w:rFonts w:ascii="Times New Roman" w:hAnsi="Times New Roman"/>
        </w:rPr>
        <w:t>The clinical significance of accurate brain tumour diagnosis cannot be overstated. Delayed diagnosis can lead to reduced treatment options, poorer prognosis, increased healthcare costs, and decreased quality of life for patients. Automated detection systems that achieve human-level or superhuman accuracy could: reduce diagnostic delays, provide decision support in underserved areas, enable more consistent screening, and free radiologist time for complex cases [13], [14].</w:t>
      </w:r>
    </w:p>
    <w:p>
      <w:pPr>
        <w:pStyle w:val="BodyText"/>
        <w:bidi w:val="0"/>
        <w:spacing w:lineRule="auto" w:line="240"/>
        <w:jc w:val="both"/>
        <w:rPr>
          <w:rFonts w:ascii="Times New Roman" w:hAnsi="Times New Roman"/>
        </w:rPr>
      </w:pPr>
      <w:r>
        <w:rPr>
          <w:rFonts w:ascii="Times New Roman" w:hAnsi="Times New Roman"/>
        </w:rPr>
        <w:t>In the Indian healthcare context, where the radiologist-to-population ratio is significantly lower than recommended standards (approximately one radiologist per 100,000 population compared to the recommended one per 10,000), automated diagnostic support systems have particular relevance for bridging healthcare access gaps [15].</w:t>
      </w:r>
    </w:p>
    <w:p>
      <w:pPr>
        <w:pStyle w:val="Heading3"/>
        <w:bidi w:val="0"/>
        <w:spacing w:lineRule="auto" w:line="240"/>
        <w:ind w:hanging="0" w:start="0"/>
        <w:jc w:val="both"/>
        <w:rPr>
          <w:rFonts w:ascii="Times New Roman" w:hAnsi="Times New Roman"/>
        </w:rPr>
      </w:pPr>
      <w:r>
        <w:rPr>
          <w:rFonts w:ascii="Times New Roman" w:hAnsi="Times New Roman"/>
        </w:rPr>
        <w:t>1.4 Research Objectives</w:t>
      </w:r>
    </w:p>
    <w:p>
      <w:pPr>
        <w:pStyle w:val="BodyText"/>
        <w:bidi w:val="0"/>
        <w:spacing w:lineRule="auto" w:line="240"/>
        <w:jc w:val="both"/>
        <w:rPr>
          <w:rFonts w:ascii="Times New Roman" w:hAnsi="Times New Roman"/>
        </w:rPr>
      </w:pPr>
      <w:r>
        <w:rPr>
          <w:rFonts w:ascii="Times New Roman" w:hAnsi="Times New Roman"/>
        </w:rPr>
        <w:t>This study aims to:</w:t>
      </w:r>
    </w:p>
    <w:p>
      <w:pPr>
        <w:pStyle w:val="BodyText"/>
        <w:numPr>
          <w:ilvl w:val="0"/>
          <w:numId w:val="3"/>
        </w:numPr>
        <w:tabs>
          <w:tab w:val="clear" w:pos="709"/>
          <w:tab w:val="left" w:pos="709" w:leader="none"/>
        </w:tabs>
        <w:bidi w:val="0"/>
        <w:spacing w:lineRule="auto" w:line="240"/>
        <w:ind w:hanging="283" w:start="709"/>
        <w:jc w:val="both"/>
        <w:rPr>
          <w:rFonts w:ascii="Times New Roman" w:hAnsi="Times New Roman"/>
        </w:rPr>
      </w:pPr>
      <w:r>
        <w:rPr>
          <w:rFonts w:ascii="Times New Roman" w:hAnsi="Times New Roman"/>
        </w:rPr>
        <w:t>Implement nine diverse deep learning architectures spanning classical CNNs, efficient CNNs, and transformer-based models for both binary brain tumour detection and multi-class tumour classification.</w:t>
      </w:r>
    </w:p>
    <w:p>
      <w:pPr>
        <w:pStyle w:val="BodyText"/>
        <w:numPr>
          <w:ilvl w:val="0"/>
          <w:numId w:val="3"/>
        </w:numPr>
        <w:tabs>
          <w:tab w:val="clear" w:pos="709"/>
          <w:tab w:val="left" w:pos="709" w:leader="none"/>
        </w:tabs>
        <w:bidi w:val="0"/>
        <w:spacing w:lineRule="auto" w:line="240"/>
        <w:ind w:hanging="283" w:start="709"/>
        <w:jc w:val="both"/>
        <w:rPr>
          <w:rFonts w:ascii="Times New Roman" w:hAnsi="Times New Roman"/>
        </w:rPr>
      </w:pPr>
      <w:r>
        <w:rPr>
          <w:rFonts w:ascii="Times New Roman" w:hAnsi="Times New Roman"/>
        </w:rPr>
        <w:t>Establish a standardised evaluation framework with consistent data splits, preprocessing protocols (including perceptual hashing for deduplication), and training hyperparameters.</w:t>
      </w:r>
    </w:p>
    <w:p>
      <w:pPr>
        <w:pStyle w:val="BodyText"/>
        <w:numPr>
          <w:ilvl w:val="0"/>
          <w:numId w:val="3"/>
        </w:numPr>
        <w:tabs>
          <w:tab w:val="clear" w:pos="709"/>
          <w:tab w:val="left" w:pos="709" w:leader="none"/>
        </w:tabs>
        <w:bidi w:val="0"/>
        <w:spacing w:lineRule="auto" w:line="240"/>
        <w:ind w:hanging="283" w:start="709"/>
        <w:jc w:val="both"/>
        <w:rPr>
          <w:rFonts w:ascii="Times New Roman" w:hAnsi="Times New Roman"/>
        </w:rPr>
      </w:pPr>
      <w:r>
        <w:rPr>
          <w:rFonts w:ascii="Times New Roman" w:hAnsi="Times New Roman"/>
        </w:rPr>
        <w:t>Compare model performance using clinically relevant metrics including accuracy, AUC-ROC, loss, and computational efficiency.</w:t>
      </w:r>
    </w:p>
    <w:p>
      <w:pPr>
        <w:pStyle w:val="BodyText"/>
        <w:numPr>
          <w:ilvl w:val="0"/>
          <w:numId w:val="3"/>
        </w:numPr>
        <w:tabs>
          <w:tab w:val="clear" w:pos="709"/>
          <w:tab w:val="left" w:pos="709" w:leader="none"/>
        </w:tabs>
        <w:bidi w:val="0"/>
        <w:spacing w:lineRule="auto" w:line="240"/>
        <w:ind w:hanging="283" w:start="709"/>
        <w:jc w:val="both"/>
        <w:rPr>
          <w:rFonts w:ascii="Times New Roman" w:hAnsi="Times New Roman"/>
        </w:rPr>
      </w:pPr>
      <w:r>
        <w:rPr>
          <w:rFonts w:ascii="Times New Roman" w:hAnsi="Times New Roman"/>
        </w:rPr>
        <w:t>Analyse architectural trends to identify which design principles contribute most to brain tumour analysis performance.</w:t>
      </w:r>
    </w:p>
    <w:p>
      <w:pPr>
        <w:pStyle w:val="BodyText"/>
        <w:numPr>
          <w:ilvl w:val="0"/>
          <w:numId w:val="3"/>
        </w:numPr>
        <w:tabs>
          <w:tab w:val="clear" w:pos="709"/>
          <w:tab w:val="left" w:pos="709" w:leader="none"/>
        </w:tabs>
        <w:bidi w:val="0"/>
        <w:spacing w:lineRule="auto" w:line="240"/>
        <w:ind w:hanging="283" w:start="709"/>
        <w:jc w:val="both"/>
        <w:rPr>
          <w:rFonts w:ascii="Times New Roman" w:hAnsi="Times New Roman"/>
        </w:rPr>
      </w:pPr>
      <w:r>
        <w:rPr>
          <w:rFonts w:ascii="Times New Roman" w:hAnsi="Times New Roman"/>
        </w:rPr>
        <w:t>Provide practical recommendations for model selection in clinical deployment scenarios considering the trade-off between accuracy and computational efficiency.</w:t>
      </w:r>
    </w:p>
    <w:p>
      <w:pPr>
        <w:pStyle w:val="BodyText"/>
        <w:numPr>
          <w:ilvl w:val="0"/>
          <w:numId w:val="3"/>
        </w:numPr>
        <w:tabs>
          <w:tab w:val="clear" w:pos="709"/>
          <w:tab w:val="left" w:pos="709" w:leader="none"/>
        </w:tabs>
        <w:bidi w:val="0"/>
        <w:spacing w:lineRule="auto" w:line="240"/>
        <w:ind w:hanging="283" w:start="709"/>
        <w:jc w:val="both"/>
        <w:rPr>
          <w:rFonts w:ascii="Times New Roman" w:hAnsi="Times New Roman"/>
        </w:rPr>
      </w:pPr>
      <w:r>
        <w:rPr>
          <w:rFonts w:ascii="Times New Roman" w:hAnsi="Times New Roman"/>
        </w:rPr>
        <w:t>Release reproducible code and results to facilitate future research and validation.</w:t>
      </w:r>
    </w:p>
    <w:p>
      <w:pPr>
        <w:pStyle w:val="Heading3"/>
        <w:numPr>
          <w:ilvl w:val="0"/>
          <w:numId w:val="0"/>
        </w:numPr>
        <w:bidi w:val="0"/>
        <w:spacing w:lineRule="auto" w:line="240"/>
        <w:ind w:hanging="0" w:start="0"/>
        <w:jc w:val="both"/>
        <w:rPr>
          <w:rFonts w:ascii="Times New Roman" w:hAnsi="Times New Roman"/>
        </w:rPr>
      </w:pPr>
      <w:r>
        <w:rPr>
          <w:rFonts w:ascii="Times New Roman" w:hAnsi="Times New Roman"/>
        </w:rPr>
        <w:t>1.5 Paper Organisation</w:t>
      </w:r>
    </w:p>
    <w:p>
      <w:pPr>
        <w:pStyle w:val="BodyText"/>
        <w:bidi w:val="0"/>
        <w:spacing w:lineRule="auto" w:line="240"/>
        <w:jc w:val="both"/>
        <w:rPr>
          <w:rFonts w:ascii="Times New Roman" w:hAnsi="Times New Roman"/>
        </w:rPr>
      </w:pPr>
      <w:r>
        <w:rPr>
          <w:rFonts w:ascii="Times New Roman" w:hAnsi="Times New Roman"/>
        </w:rPr>
        <w:t>The remainder of this paper is organised as follows. Section 2 reviews relevant literature on traditional machine learning approaches, CNN architectures, transformer-based models, and previous brain tumour classification studies. Section 3 details our methodology, including dataset preparation, perceptual hashing for deduplication, model architectures, and experimental setup. Section 4 presents and discusses the results for both binary detection and multi-class classification tasks. Section 5 addresses limitations and future directions. Section 6 covers ethical considerations for clinical deployment, and Section 7 concludes the paper with key findings and implications.</w:t>
      </w:r>
    </w:p>
    <w:p>
      <w:pPr>
        <w:pStyle w:val="Heading2"/>
        <w:numPr>
          <w:ilvl w:val="0"/>
          <w:numId w:val="0"/>
        </w:numPr>
        <w:bidi w:val="0"/>
        <w:spacing w:lineRule="auto" w:line="240"/>
        <w:ind w:hanging="0" w:start="0"/>
        <w:jc w:val="both"/>
        <w:rPr>
          <w:rFonts w:ascii="Times New Roman" w:hAnsi="Times New Roman"/>
        </w:rPr>
      </w:pPr>
      <w:r>
        <w:rPr>
          <w:rFonts w:ascii="Times New Roman" w:hAnsi="Times New Roman"/>
        </w:rPr>
        <w:t>2. Literature Review</w:t>
      </w:r>
    </w:p>
    <w:p>
      <w:pPr>
        <w:pStyle w:val="Heading3"/>
        <w:bidi w:val="0"/>
        <w:spacing w:lineRule="auto" w:line="240"/>
        <w:ind w:hanging="0" w:start="0"/>
        <w:jc w:val="both"/>
        <w:rPr>
          <w:rFonts w:ascii="Times New Roman" w:hAnsi="Times New Roman"/>
        </w:rPr>
      </w:pPr>
      <w:r>
        <w:rPr>
          <w:rFonts w:ascii="Times New Roman" w:hAnsi="Times New Roman"/>
        </w:rPr>
        <w:t>2.1 Traditional Machine Learning Approaches</w:t>
      </w:r>
    </w:p>
    <w:p>
      <w:pPr>
        <w:pStyle w:val="BodyText"/>
        <w:bidi w:val="0"/>
        <w:spacing w:lineRule="auto" w:line="240"/>
        <w:jc w:val="both"/>
        <w:rPr>
          <w:rFonts w:ascii="Times New Roman" w:hAnsi="Times New Roman"/>
        </w:rPr>
      </w:pPr>
      <w:r>
        <w:rPr>
          <w:rFonts w:ascii="Times New Roman" w:hAnsi="Times New Roman"/>
        </w:rPr>
        <w:t>Early attempts at automated brain tumour detection relied on handcrafted feature extraction combined with classical machine learning classifiers. Common approaches included texture-based features such as Grey-Level Co-occurrence Matrix (GLCM) and Local Binary Patterns (LBP); wavelet transforms including Discrete Wavelet Transform (DWT) for multi-resolution analysis; morphological features describing shape, size, and boundary characteristics; and classifiers such as Support Vector Machines (SVM), Random Forests, and k-Nearest Neighbors [16], [17].</w:t>
      </w:r>
    </w:p>
    <w:p>
      <w:pPr>
        <w:pStyle w:val="BodyText"/>
        <w:bidi w:val="0"/>
        <w:spacing w:lineRule="auto" w:line="240"/>
        <w:jc w:val="both"/>
        <w:rPr>
          <w:rFonts w:ascii="Times New Roman" w:hAnsi="Times New Roman"/>
        </w:rPr>
      </w:pPr>
      <w:r>
        <w:rPr>
          <w:rFonts w:ascii="Times New Roman" w:hAnsi="Times New Roman"/>
        </w:rPr>
        <w:t>Zacharaki et al. [18] achieved approximately 85% accuracy using texture features and SVM classification on a small dataset of 80 images for tumour type discrimination. Cheng et al. [19] proposed a tumour region augmentation method achieving 90% accuracy using intensity, texture, and shape features with SVM classification on 3064 MRI images. While these approaches established feasibility, they were limited by feature engineering constraints, poor generalisation to diverse datasets, and inability to learn hierarchical representations automatically.</w:t>
      </w:r>
    </w:p>
    <w:p>
      <w:pPr>
        <w:pStyle w:val="Heading3"/>
        <w:bidi w:val="0"/>
        <w:spacing w:lineRule="auto" w:line="240"/>
        <w:ind w:hanging="0" w:start="0"/>
        <w:jc w:val="both"/>
        <w:rPr>
          <w:rFonts w:ascii="Times New Roman" w:hAnsi="Times New Roman"/>
        </w:rPr>
      </w:pPr>
      <w:r>
        <w:rPr>
          <w:rFonts w:ascii="Times New Roman" w:hAnsi="Times New Roman"/>
        </w:rPr>
        <w:t>2.2 Convolutional Neural Networks</w:t>
      </w:r>
    </w:p>
    <w:p>
      <w:pPr>
        <w:pStyle w:val="BodyText"/>
        <w:bidi w:val="0"/>
        <w:spacing w:lineRule="auto" w:line="240"/>
        <w:jc w:val="both"/>
        <w:rPr>
          <w:rFonts w:ascii="Times New Roman" w:hAnsi="Times New Roman"/>
        </w:rPr>
      </w:pPr>
      <w:r>
        <w:rPr>
          <w:rFonts w:ascii="Times New Roman" w:hAnsi="Times New Roman"/>
        </w:rPr>
        <w:t>The breakthrough of AlexNet in 2012 catalysed deep learning adoption in medical imaging. Subsequent CNN architectures progressively improved performance through architectural innovations.</w:t>
      </w:r>
    </w:p>
    <w:p>
      <w:pPr>
        <w:pStyle w:val="BodyText"/>
        <w:bidi w:val="0"/>
        <w:spacing w:lineRule="auto" w:line="240"/>
        <w:jc w:val="both"/>
        <w:rPr>
          <w:rFonts w:ascii="Times New Roman" w:hAnsi="Times New Roman"/>
        </w:rPr>
      </w:pPr>
      <w:r>
        <w:rPr>
          <w:rFonts w:ascii="Times New Roman" w:hAnsi="Times New Roman"/>
          <w:b/>
        </w:rPr>
        <w:t>ResNet Family (2015):</w:t>
      </w:r>
      <w:r>
        <w:rPr>
          <w:rFonts w:ascii="Times New Roman" w:hAnsi="Times New Roman"/>
        </w:rPr>
        <w:t xml:space="preserve"> He et al. [20] introduced residual connections enabling training of very deep networks by addressing the vanishing gradient problem. ResNet50 became a benchmark for medical image classification, with studies reporting 95-98% accuracy for brain tumour detection. Seetha and Raja [21] achieved 97.5% accuracy using ResNet50 with transfer learning on 253 MRI images.</w:t>
      </w:r>
    </w:p>
    <w:p>
      <w:pPr>
        <w:pStyle w:val="BodyText"/>
        <w:bidi w:val="0"/>
        <w:spacing w:lineRule="auto" w:line="240"/>
        <w:jc w:val="both"/>
        <w:rPr>
          <w:rFonts w:ascii="Times New Roman" w:hAnsi="Times New Roman"/>
        </w:rPr>
      </w:pPr>
      <w:r>
        <w:rPr>
          <w:rFonts w:ascii="Times New Roman" w:hAnsi="Times New Roman"/>
          <w:b/>
        </w:rPr>
        <w:t>VGG Architecture (2014):</w:t>
      </w:r>
      <w:r>
        <w:rPr>
          <w:rFonts w:ascii="Times New Roman" w:hAnsi="Times New Roman"/>
        </w:rPr>
        <w:t xml:space="preserve"> Simonyan and Zisserman [22] demonstrated that increasing depth with small convolutional filters (3×3) improves performance. However, VGG16's high parameter count (138 million) makes it computationally expensive and prone to overfitting on smaller medical datasets. Khan et al. [23] reported 98.69% accuracy using VGG16 on 3,064 images, though with significant computational overhead.</w:t>
      </w:r>
    </w:p>
    <w:p>
      <w:pPr>
        <w:pStyle w:val="BodyText"/>
        <w:bidi w:val="0"/>
        <w:spacing w:lineRule="auto" w:line="240"/>
        <w:jc w:val="both"/>
        <w:rPr>
          <w:rFonts w:ascii="Times New Roman" w:hAnsi="Times New Roman"/>
        </w:rPr>
      </w:pPr>
      <w:r>
        <w:rPr>
          <w:rFonts w:ascii="Times New Roman" w:hAnsi="Times New Roman"/>
          <w:b/>
        </w:rPr>
        <w:t>DenseNet (2017):</w:t>
      </w:r>
      <w:r>
        <w:rPr>
          <w:rFonts w:ascii="Times New Roman" w:hAnsi="Times New Roman"/>
        </w:rPr>
        <w:t xml:space="preserve"> Huang et al. [24] proposed dense connections where each layer receives inputs from all preceding layers, improving gradient flow and parameter efficiency through feature reuse. DenseNet121 has shown strong performance in medical imaging tasks with reported accuracies of 96-98%. Noreen et al. [25] achieved 99.51% accuracy using DenseNet121 with a concatenation-based approach.</w:t>
      </w:r>
    </w:p>
    <w:p>
      <w:pPr>
        <w:pStyle w:val="BodyText"/>
        <w:bidi w:val="0"/>
        <w:spacing w:lineRule="auto" w:line="240"/>
        <w:jc w:val="both"/>
        <w:rPr>
          <w:rFonts w:ascii="Times New Roman" w:hAnsi="Times New Roman"/>
        </w:rPr>
      </w:pPr>
      <w:r>
        <w:rPr>
          <w:rFonts w:ascii="Times New Roman" w:hAnsi="Times New Roman"/>
          <w:b/>
        </w:rPr>
        <w:t>Inception Architecture (2015–2016):</w:t>
      </w:r>
      <w:r>
        <w:rPr>
          <w:rFonts w:ascii="Times New Roman" w:hAnsi="Times New Roman"/>
        </w:rPr>
        <w:t xml:space="preserve"> Szegedy et al. [26] introduced parallel convolutions of different sizes (1×1, 3×3, 5×5), allowing the network to capture features at multiple scales simultaneously. InceptionV3 achieved 97.5% accuracy in brain tumour studies according to Deepak and Ameer [27], with Rehman et al. [28] reporting 99.34% accuracy using transfer learning.</w:t>
      </w:r>
    </w:p>
    <w:p>
      <w:pPr>
        <w:pStyle w:val="BodyText"/>
        <w:bidi w:val="0"/>
        <w:spacing w:lineRule="auto" w:line="240"/>
        <w:jc w:val="both"/>
        <w:rPr>
          <w:rFonts w:ascii="Times New Roman" w:hAnsi="Times New Roman"/>
        </w:rPr>
      </w:pPr>
      <w:r>
        <w:rPr>
          <w:rFonts w:ascii="Times New Roman" w:hAnsi="Times New Roman"/>
          <w:b/>
        </w:rPr>
        <w:t>EfficientNet (2019):</w:t>
      </w:r>
      <w:r>
        <w:rPr>
          <w:rFonts w:ascii="Times New Roman" w:hAnsi="Times New Roman"/>
        </w:rPr>
        <w:t xml:space="preserve"> Tan and Le [29] developed a systematic approach to scaling network dimensions (depth, width, resolution) using neural architecture search, achieving state-of-the-art accuracy with significantly fewer parameters than comparable models. EfficientNetB0 achieves 10× fewer parameters than ResNet50 while maintaining competitive accuracy.</w:t>
      </w:r>
    </w:p>
    <w:p>
      <w:pPr>
        <w:pStyle w:val="BodyText"/>
        <w:bidi w:val="0"/>
        <w:spacing w:lineRule="auto" w:line="240"/>
        <w:jc w:val="both"/>
        <w:rPr>
          <w:rFonts w:ascii="Times New Roman" w:hAnsi="Times New Roman"/>
        </w:rPr>
      </w:pPr>
      <w:r>
        <w:rPr>
          <w:rFonts w:ascii="Times New Roman" w:hAnsi="Times New Roman"/>
          <w:b/>
        </w:rPr>
        <w:t>MobileNet (2017–2019):</w:t>
      </w:r>
      <w:r>
        <w:rPr>
          <w:rFonts w:ascii="Times New Roman" w:hAnsi="Times New Roman"/>
        </w:rPr>
        <w:t xml:space="preserve"> Howard et al. [30] designed lightweight architectures using depthwise separable convolutions for mobile and embedded applications. MobileNetV3, optimised through hardware-aware neural architecture search, achieves efficient performance suitable for edge deployment in clinical settings.</w:t>
      </w:r>
    </w:p>
    <w:p>
      <w:pPr>
        <w:pStyle w:val="Heading3"/>
        <w:bidi w:val="0"/>
        <w:spacing w:lineRule="auto" w:line="240"/>
        <w:ind w:hanging="0" w:start="0"/>
        <w:jc w:val="both"/>
        <w:rPr>
          <w:rFonts w:ascii="Times New Roman" w:hAnsi="Times New Roman"/>
        </w:rPr>
      </w:pPr>
      <w:r>
        <w:rPr>
          <w:rFonts w:ascii="Times New Roman" w:hAnsi="Times New Roman"/>
        </w:rPr>
        <w:t>2.3 Attention Mechanisms and Transformers</w:t>
      </w:r>
    </w:p>
    <w:p>
      <w:pPr>
        <w:pStyle w:val="BodyText"/>
        <w:bidi w:val="0"/>
        <w:spacing w:lineRule="auto" w:line="240"/>
        <w:jc w:val="both"/>
        <w:rPr>
          <w:rFonts w:ascii="Times New Roman" w:hAnsi="Times New Roman"/>
        </w:rPr>
      </w:pPr>
      <w:r>
        <w:rPr>
          <w:rFonts w:ascii="Times New Roman" w:hAnsi="Times New Roman"/>
          <w:b/>
        </w:rPr>
        <w:t>Vision Transformer (ViT, 2020):</w:t>
      </w:r>
      <w:r>
        <w:rPr>
          <w:rFonts w:ascii="Times New Roman" w:hAnsi="Times New Roman"/>
        </w:rPr>
        <w:t xml:space="preserve"> Dosovitskiy et al. [5] adapted transformer architectures for vision by treating images as sequences of patches (16×16 pixels). ViT-B/16 demonstrated competitive performance with CNNs on large datasets (ImageNet, JFT-300M) but required extensive pretraining and showed limitations on smaller medical datasets due to lack of inherent inductive biases.</w:t>
      </w:r>
    </w:p>
    <w:p>
      <w:pPr>
        <w:pStyle w:val="BodyText"/>
        <w:bidi w:val="0"/>
        <w:spacing w:lineRule="auto" w:line="240"/>
        <w:jc w:val="both"/>
        <w:rPr>
          <w:rFonts w:ascii="Times New Roman" w:hAnsi="Times New Roman"/>
        </w:rPr>
      </w:pPr>
      <w:r>
        <w:rPr>
          <w:rFonts w:ascii="Times New Roman" w:hAnsi="Times New Roman"/>
          <w:b/>
        </w:rPr>
        <w:t>Swin Transformer (2021):</w:t>
      </w:r>
      <w:r>
        <w:rPr>
          <w:rFonts w:ascii="Times New Roman" w:hAnsi="Times New Roman"/>
        </w:rPr>
        <w:t xml:space="preserve"> Liu et al. [6] introduced hierarchical transformers with shifted windows, enabling efficient multi-scale processing while maintaining linear computational complexity relative to image size. Swin Transformers achieved state-of-the-art results on ImageNet and showed promise for medical imaging applications, capturing both local boundaries and global anatomical context.</w:t>
      </w:r>
    </w:p>
    <w:p>
      <w:pPr>
        <w:pStyle w:val="BodyText"/>
        <w:bidi w:val="0"/>
        <w:spacing w:lineRule="auto" w:line="240"/>
        <w:jc w:val="both"/>
        <w:rPr>
          <w:rFonts w:ascii="Times New Roman" w:hAnsi="Times New Roman"/>
        </w:rPr>
      </w:pPr>
      <w:r>
        <w:rPr>
          <w:rFonts w:ascii="Times New Roman" w:hAnsi="Times New Roman"/>
          <w:b/>
        </w:rPr>
        <w:t>CoaTNet (2021):</w:t>
      </w:r>
      <w:r>
        <w:rPr>
          <w:rFonts w:ascii="Times New Roman" w:hAnsi="Times New Roman"/>
        </w:rPr>
        <w:t xml:space="preserve"> Xu et al. [7] proposed Co-scale Conv-Attentional networks combining convolutional and attention mechanisms in a unified architecture, achieving efficient performance across model sizes by maintaining both local feature extraction and global dependency modelling.</w:t>
      </w:r>
    </w:p>
    <w:p>
      <w:pPr>
        <w:pStyle w:val="Heading3"/>
        <w:bidi w:val="0"/>
        <w:spacing w:lineRule="auto" w:line="240"/>
        <w:ind w:hanging="0" w:start="0"/>
        <w:jc w:val="both"/>
        <w:rPr>
          <w:rFonts w:ascii="Times New Roman" w:hAnsi="Times New Roman"/>
        </w:rPr>
      </w:pPr>
      <w:r>
        <w:rPr>
          <w:rFonts w:ascii="Times New Roman" w:hAnsi="Times New Roman"/>
        </w:rPr>
        <w:t>2.4 Brain Tumour Classification Studies</w:t>
      </w:r>
    </w:p>
    <w:p>
      <w:pPr>
        <w:pStyle w:val="BodyText"/>
        <w:bidi w:val="0"/>
        <w:spacing w:lineRule="auto" w:line="240"/>
        <w:jc w:val="both"/>
        <w:rPr>
          <w:rFonts w:ascii="Times New Roman" w:hAnsi="Times New Roman"/>
        </w:rPr>
      </w:pPr>
      <w:r>
        <w:rPr>
          <w:rFonts w:ascii="Times New Roman" w:hAnsi="Times New Roman"/>
        </w:rPr>
        <w:t>Recent studies applying these architectures to brain tumour detection include the comparative summary presented in Table I.</w:t>
      </w:r>
    </w:p>
    <w:p>
      <w:pPr>
        <w:pStyle w:val="BodyText"/>
        <w:bidi w:val="0"/>
        <w:spacing w:lineRule="auto" w:line="240"/>
        <w:jc w:val="both"/>
        <w:rPr>
          <w:rFonts w:ascii="Times New Roman" w:hAnsi="Times New Roman"/>
        </w:rPr>
      </w:pPr>
      <w:r>
        <w:rPr>
          <w:rFonts w:ascii="Times New Roman" w:hAnsi="Times New Roman"/>
          <w:b/>
        </w:rPr>
        <w:t>TABLE I</w:t>
      </w:r>
      <w:r>
        <w:rPr>
          <w:rFonts w:ascii="Times New Roman" w:hAnsi="Times New Roman"/>
        </w:rPr>
        <w:t> </w:t>
      </w:r>
      <w:r>
        <w:rPr>
          <w:rFonts w:ascii="Times New Roman" w:hAnsi="Times New Roman"/>
          <w:b/>
        </w:rPr>
        <w:t>COMPARISON OF EXISTING STUDIES FOR BRAIN TUMOUR DETECTION</w:t>
      </w:r>
    </w:p>
    <w:tbl>
      <w:tblPr>
        <w:tblW w:w="5000" w:type="pct"/>
        <w:jc w:val="start"/>
        <w:tblInd w:w="-5" w:type="dxa"/>
        <w:tblLayout w:type="fixed"/>
        <w:tblCellMar>
          <w:top w:w="55" w:type="dxa"/>
          <w:start w:w="55" w:type="dxa"/>
          <w:bottom w:w="55" w:type="dxa"/>
          <w:end w:w="55" w:type="dxa"/>
        </w:tblCellMar>
      </w:tblPr>
      <w:tblGrid>
        <w:gridCol w:w="3416"/>
        <w:gridCol w:w="1978"/>
        <w:gridCol w:w="1584"/>
        <w:gridCol w:w="1392"/>
        <w:gridCol w:w="1268"/>
      </w:tblGrid>
      <w:tr>
        <w:trPr>
          <w:tblHeader w:val="true"/>
        </w:trPr>
        <w:tc>
          <w:tcPr>
            <w:tcW w:w="3416" w:type="dxa"/>
            <w:tcBorders>
              <w:top w:val="single" w:sz="4" w:space="0" w:color="000000"/>
              <w:start w:val="single" w:sz="4" w:space="0" w:color="000000"/>
              <w:bottom w:val="single" w:sz="4" w:space="0" w:color="000000"/>
            </w:tcBorders>
          </w:tcPr>
          <w:p>
            <w:pPr>
              <w:pStyle w:val="TableHeading"/>
              <w:bidi w:val="0"/>
              <w:spacing w:lineRule="auto" w:line="240"/>
              <w:jc w:val="both"/>
              <w:rPr>
                <w:rFonts w:ascii="Times New Roman" w:hAnsi="Times New Roman"/>
              </w:rPr>
            </w:pPr>
            <w:r>
              <w:rPr>
                <w:rFonts w:ascii="Times New Roman" w:hAnsi="Times New Roman"/>
              </w:rPr>
              <w:t>Study</w:t>
            </w:r>
          </w:p>
        </w:tc>
        <w:tc>
          <w:tcPr>
            <w:tcW w:w="1978" w:type="dxa"/>
            <w:tcBorders>
              <w:top w:val="single" w:sz="4" w:space="0" w:color="000000"/>
              <w:start w:val="single" w:sz="4" w:space="0" w:color="000000"/>
              <w:bottom w:val="single" w:sz="4" w:space="0" w:color="000000"/>
            </w:tcBorders>
          </w:tcPr>
          <w:p>
            <w:pPr>
              <w:pStyle w:val="TableHeading"/>
              <w:bidi w:val="0"/>
              <w:spacing w:lineRule="auto" w:line="240"/>
              <w:jc w:val="both"/>
              <w:rPr>
                <w:rFonts w:ascii="Times New Roman" w:hAnsi="Times New Roman"/>
              </w:rPr>
            </w:pPr>
            <w:r>
              <w:rPr>
                <w:rFonts w:ascii="Times New Roman" w:hAnsi="Times New Roman"/>
              </w:rPr>
              <w:t>Model</w:t>
            </w:r>
          </w:p>
        </w:tc>
        <w:tc>
          <w:tcPr>
            <w:tcW w:w="1584" w:type="dxa"/>
            <w:tcBorders>
              <w:top w:val="single" w:sz="4" w:space="0" w:color="000000"/>
              <w:start w:val="single" w:sz="4" w:space="0" w:color="000000"/>
              <w:bottom w:val="single" w:sz="4" w:space="0" w:color="000000"/>
            </w:tcBorders>
          </w:tcPr>
          <w:p>
            <w:pPr>
              <w:pStyle w:val="TableHeading"/>
              <w:bidi w:val="0"/>
              <w:spacing w:lineRule="auto" w:line="240"/>
              <w:jc w:val="both"/>
              <w:rPr>
                <w:rFonts w:ascii="Times New Roman" w:hAnsi="Times New Roman"/>
              </w:rPr>
            </w:pPr>
            <w:r>
              <w:rPr>
                <w:rFonts w:ascii="Times New Roman" w:hAnsi="Times New Roman"/>
              </w:rPr>
              <w:t>Dataset Size</w:t>
            </w:r>
          </w:p>
        </w:tc>
        <w:tc>
          <w:tcPr>
            <w:tcW w:w="1392" w:type="dxa"/>
            <w:tcBorders>
              <w:top w:val="single" w:sz="4" w:space="0" w:color="000000"/>
              <w:start w:val="single" w:sz="4" w:space="0" w:color="000000"/>
              <w:bottom w:val="single" w:sz="4" w:space="0" w:color="000000"/>
            </w:tcBorders>
          </w:tcPr>
          <w:p>
            <w:pPr>
              <w:pStyle w:val="TableHeading"/>
              <w:bidi w:val="0"/>
              <w:spacing w:lineRule="auto" w:line="240"/>
              <w:jc w:val="both"/>
              <w:rPr>
                <w:rFonts w:ascii="Times New Roman" w:hAnsi="Times New Roman"/>
              </w:rPr>
            </w:pPr>
            <w:r>
              <w:rPr>
                <w:rFonts w:ascii="Times New Roman" w:hAnsi="Times New Roman"/>
              </w:rPr>
              <w:t>Task</w:t>
            </w:r>
          </w:p>
        </w:tc>
        <w:tc>
          <w:tcPr>
            <w:tcW w:w="1268" w:type="dxa"/>
            <w:tcBorders>
              <w:top w:val="single" w:sz="4" w:space="0" w:color="000000"/>
              <w:start w:val="single" w:sz="4" w:space="0" w:color="000000"/>
              <w:bottom w:val="single" w:sz="4" w:space="0" w:color="000000"/>
              <w:end w:val="single" w:sz="4" w:space="0" w:color="000000"/>
            </w:tcBorders>
          </w:tcPr>
          <w:p>
            <w:pPr>
              <w:pStyle w:val="TableHeading"/>
              <w:bidi w:val="0"/>
              <w:spacing w:lineRule="auto" w:line="240"/>
              <w:jc w:val="both"/>
              <w:rPr>
                <w:rFonts w:ascii="Times New Roman" w:hAnsi="Times New Roman"/>
              </w:rPr>
            </w:pPr>
            <w:r>
              <w:rPr>
                <w:rFonts w:ascii="Times New Roman" w:hAnsi="Times New Roman"/>
              </w:rPr>
              <w:t>Accuracy</w:t>
            </w:r>
          </w:p>
        </w:tc>
      </w:tr>
      <w:tr>
        <w:trPr/>
        <w:tc>
          <w:tcPr>
            <w:tcW w:w="3416"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Talo et al. (2019) [31]</w:t>
            </w:r>
          </w:p>
        </w:tc>
        <w:tc>
          <w:tcPr>
            <w:tcW w:w="1978"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ResNet50</w:t>
            </w:r>
          </w:p>
        </w:tc>
        <w:tc>
          <w:tcPr>
            <w:tcW w:w="1584"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253</w:t>
            </w:r>
          </w:p>
        </w:tc>
        <w:tc>
          <w:tcPr>
            <w:tcW w:w="1392"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Binary</w:t>
            </w:r>
          </w:p>
        </w:tc>
        <w:tc>
          <w:tcPr>
            <w:tcW w:w="1268" w:type="dxa"/>
            <w:tcBorders>
              <w:start w:val="single" w:sz="4" w:space="0" w:color="000000"/>
              <w:bottom w:val="single" w:sz="4" w:space="0" w:color="000000"/>
              <w:end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95.23%</w:t>
            </w:r>
          </w:p>
        </w:tc>
      </w:tr>
      <w:tr>
        <w:trPr/>
        <w:tc>
          <w:tcPr>
            <w:tcW w:w="3416"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Khan et al. (2020) [23]</w:t>
            </w:r>
          </w:p>
        </w:tc>
        <w:tc>
          <w:tcPr>
            <w:tcW w:w="1978"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VGG16</w:t>
            </w:r>
          </w:p>
        </w:tc>
        <w:tc>
          <w:tcPr>
            <w:tcW w:w="1584"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3,064</w:t>
            </w:r>
          </w:p>
        </w:tc>
        <w:tc>
          <w:tcPr>
            <w:tcW w:w="1392"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Binary</w:t>
            </w:r>
          </w:p>
        </w:tc>
        <w:tc>
          <w:tcPr>
            <w:tcW w:w="1268" w:type="dxa"/>
            <w:tcBorders>
              <w:start w:val="single" w:sz="4" w:space="0" w:color="000000"/>
              <w:bottom w:val="single" w:sz="4" w:space="0" w:color="000000"/>
              <w:end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98.69%</w:t>
            </w:r>
          </w:p>
        </w:tc>
      </w:tr>
      <w:tr>
        <w:trPr/>
        <w:tc>
          <w:tcPr>
            <w:tcW w:w="3416"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Noreen et al. (2020) [25]</w:t>
            </w:r>
          </w:p>
        </w:tc>
        <w:tc>
          <w:tcPr>
            <w:tcW w:w="1978"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DenseNet121</w:t>
            </w:r>
          </w:p>
        </w:tc>
        <w:tc>
          <w:tcPr>
            <w:tcW w:w="1584"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3,064</w:t>
            </w:r>
          </w:p>
        </w:tc>
        <w:tc>
          <w:tcPr>
            <w:tcW w:w="1392"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Binary</w:t>
            </w:r>
          </w:p>
        </w:tc>
        <w:tc>
          <w:tcPr>
            <w:tcW w:w="1268" w:type="dxa"/>
            <w:tcBorders>
              <w:start w:val="single" w:sz="4" w:space="0" w:color="000000"/>
              <w:bottom w:val="single" w:sz="4" w:space="0" w:color="000000"/>
              <w:end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99.51%</w:t>
            </w:r>
          </w:p>
        </w:tc>
      </w:tr>
      <w:tr>
        <w:trPr/>
        <w:tc>
          <w:tcPr>
            <w:tcW w:w="3416"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Rehman et al. (2020) [28]</w:t>
            </w:r>
          </w:p>
        </w:tc>
        <w:tc>
          <w:tcPr>
            <w:tcW w:w="1978"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InceptionV3</w:t>
            </w:r>
          </w:p>
        </w:tc>
        <w:tc>
          <w:tcPr>
            <w:tcW w:w="1584"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3,064</w:t>
            </w:r>
          </w:p>
        </w:tc>
        <w:tc>
          <w:tcPr>
            <w:tcW w:w="1392"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Binary</w:t>
            </w:r>
          </w:p>
        </w:tc>
        <w:tc>
          <w:tcPr>
            <w:tcW w:w="1268" w:type="dxa"/>
            <w:tcBorders>
              <w:start w:val="single" w:sz="4" w:space="0" w:color="000000"/>
              <w:bottom w:val="single" w:sz="4" w:space="0" w:color="000000"/>
              <w:end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99.34%</w:t>
            </w:r>
          </w:p>
        </w:tc>
      </w:tr>
      <w:tr>
        <w:trPr/>
        <w:tc>
          <w:tcPr>
            <w:tcW w:w="3416"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Ghassemi et al. (2020) [32]</w:t>
            </w:r>
          </w:p>
        </w:tc>
        <w:tc>
          <w:tcPr>
            <w:tcW w:w="1978"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EfficientNet</w:t>
            </w:r>
          </w:p>
        </w:tc>
        <w:tc>
          <w:tcPr>
            <w:tcW w:w="1584"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3,064</w:t>
            </w:r>
          </w:p>
        </w:tc>
        <w:tc>
          <w:tcPr>
            <w:tcW w:w="1392"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Binary</w:t>
            </w:r>
          </w:p>
        </w:tc>
        <w:tc>
          <w:tcPr>
            <w:tcW w:w="1268" w:type="dxa"/>
            <w:tcBorders>
              <w:start w:val="single" w:sz="4" w:space="0" w:color="000000"/>
              <w:bottom w:val="single" w:sz="4" w:space="0" w:color="000000"/>
              <w:end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98.87%</w:t>
            </w:r>
          </w:p>
        </w:tc>
      </w:tr>
      <w:tr>
        <w:trPr/>
        <w:tc>
          <w:tcPr>
            <w:tcW w:w="3416"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Cheng et al. (2015) [19]</w:t>
            </w:r>
          </w:p>
        </w:tc>
        <w:tc>
          <w:tcPr>
            <w:tcW w:w="1978"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SVM + Features</w:t>
            </w:r>
          </w:p>
        </w:tc>
        <w:tc>
          <w:tcPr>
            <w:tcW w:w="1584"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3,064</w:t>
            </w:r>
          </w:p>
        </w:tc>
        <w:tc>
          <w:tcPr>
            <w:tcW w:w="1392"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Multi-class</w:t>
            </w:r>
          </w:p>
        </w:tc>
        <w:tc>
          <w:tcPr>
            <w:tcW w:w="1268" w:type="dxa"/>
            <w:tcBorders>
              <w:start w:val="single" w:sz="4" w:space="0" w:color="000000"/>
              <w:bottom w:val="single" w:sz="4" w:space="0" w:color="000000"/>
              <w:end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90.00%</w:t>
            </w:r>
          </w:p>
        </w:tc>
      </w:tr>
      <w:tr>
        <w:trPr/>
        <w:tc>
          <w:tcPr>
            <w:tcW w:w="3416"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Deepak &amp; Ameer (2019) [27]</w:t>
            </w:r>
          </w:p>
        </w:tc>
        <w:tc>
          <w:tcPr>
            <w:tcW w:w="1978"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InceptionV3</w:t>
            </w:r>
          </w:p>
        </w:tc>
        <w:tc>
          <w:tcPr>
            <w:tcW w:w="1584"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3,064</w:t>
            </w:r>
          </w:p>
        </w:tc>
        <w:tc>
          <w:tcPr>
            <w:tcW w:w="1392"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Multi-class</w:t>
            </w:r>
          </w:p>
        </w:tc>
        <w:tc>
          <w:tcPr>
            <w:tcW w:w="1268" w:type="dxa"/>
            <w:tcBorders>
              <w:start w:val="single" w:sz="4" w:space="0" w:color="000000"/>
              <w:bottom w:val="single" w:sz="4" w:space="0" w:color="000000"/>
              <w:end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97.50%</w:t>
            </w:r>
          </w:p>
        </w:tc>
      </w:tr>
    </w:tbl>
    <w:p>
      <w:pPr>
        <w:pStyle w:val="BodyText"/>
        <w:bidi w:val="0"/>
        <w:spacing w:lineRule="auto" w:line="240"/>
        <w:jc w:val="both"/>
        <w:rPr>
          <w:rFonts w:ascii="Times New Roman" w:hAnsi="Times New Roman"/>
        </w:rPr>
      </w:pPr>
      <w:r>
        <w:rPr>
          <w:rFonts w:ascii="Times New Roman" w:hAnsi="Times New Roman"/>
        </w:rPr>
      </w:r>
    </w:p>
    <w:p>
      <w:pPr>
        <w:pStyle w:val="Heading3"/>
        <w:bidi w:val="0"/>
        <w:spacing w:lineRule="auto" w:line="240"/>
        <w:ind w:hanging="0" w:start="0"/>
        <w:jc w:val="both"/>
        <w:rPr>
          <w:rFonts w:ascii="Times New Roman" w:hAnsi="Times New Roman"/>
        </w:rPr>
      </w:pPr>
      <w:r>
        <w:rPr>
          <w:rFonts w:ascii="Times New Roman" w:hAnsi="Times New Roman"/>
        </w:rPr>
        <w:t>2.5 Identified Gaps and Study Contribution</w:t>
      </w:r>
    </w:p>
    <w:p>
      <w:pPr>
        <w:pStyle w:val="BodyText"/>
        <w:bidi w:val="0"/>
        <w:spacing w:lineRule="auto" w:line="240"/>
        <w:jc w:val="both"/>
        <w:rPr>
          <w:rFonts w:ascii="Times New Roman" w:hAnsi="Times New Roman"/>
        </w:rPr>
      </w:pPr>
      <w:r>
        <w:rPr>
          <w:rFonts w:ascii="Times New Roman" w:hAnsi="Times New Roman"/>
        </w:rPr>
        <w:t>Despite extensive research, several gaps persist in the literature. First, limited cross-architecture comparison exists, as studies typically evaluate only 2-3 models, making comprehensive comparison difficult. Second, dataset heterogeneity is problematic, as different studies use different splits, preprocessing protocols, and evaluation methods. Third, transformer underrepresentation remains an issue, as most existing work focuses on CNNs with limited transformer evaluation. Fourth, reproducibility challenges exist because code and trained models are rarely shared, hindering validation and extension. Fifth, incomplete deduplication is common, as most studies do not address near-duplicate images across combined datasets, leading to data leakage.</w:t>
      </w:r>
    </w:p>
    <w:p>
      <w:pPr>
        <w:pStyle w:val="BodyText"/>
        <w:bidi w:val="0"/>
        <w:spacing w:lineRule="auto" w:line="240"/>
        <w:jc w:val="both"/>
        <w:rPr>
          <w:rFonts w:ascii="Times New Roman" w:hAnsi="Times New Roman"/>
        </w:rPr>
      </w:pPr>
      <w:r>
        <w:rPr>
          <w:rFonts w:ascii="Times New Roman" w:hAnsi="Times New Roman"/>
        </w:rPr>
        <w:t>This study addresses these gaps by implementing nine architectures under identical conditions, using combined datasets from multiple sources with rigorous deduplication through perceptual hashing, sharing complete reproducible code, including both CNN and transformer models, providing detailed performance analysis for both binary and multi-class tasks, and establishing standardised evaluation protocols.</w:t>
      </w:r>
    </w:p>
    <w:p>
      <w:pPr>
        <w:pStyle w:val="Heading2"/>
        <w:numPr>
          <w:ilvl w:val="0"/>
          <w:numId w:val="0"/>
        </w:numPr>
        <w:bidi w:val="0"/>
        <w:spacing w:lineRule="auto" w:line="240"/>
        <w:ind w:hanging="0" w:start="0"/>
        <w:jc w:val="both"/>
        <w:rPr>
          <w:rFonts w:ascii="Times New Roman" w:hAnsi="Times New Roman"/>
        </w:rPr>
      </w:pPr>
      <w:r>
        <w:rPr>
          <w:rFonts w:ascii="Times New Roman" w:hAnsi="Times New Roman"/>
        </w:rPr>
        <w:t>3. Methods and Materials</w:t>
      </w:r>
    </w:p>
    <w:p>
      <w:pPr>
        <w:pStyle w:val="Heading3"/>
        <w:bidi w:val="0"/>
        <w:spacing w:lineRule="auto" w:line="240"/>
        <w:ind w:hanging="0" w:start="0"/>
        <w:jc w:val="both"/>
        <w:rPr>
          <w:rFonts w:ascii="Times New Roman" w:hAnsi="Times New Roman"/>
        </w:rPr>
      </w:pPr>
      <w:r>
        <w:rPr>
          <w:rFonts w:ascii="Times New Roman" w:hAnsi="Times New Roman"/>
        </w:rPr>
        <w:t>3.1 Dataset and Data Collection</w:t>
      </w:r>
    </w:p>
    <w:p>
      <w:pPr>
        <w:pStyle w:val="Heading4"/>
        <w:bidi w:val="0"/>
        <w:spacing w:lineRule="auto" w:line="240"/>
        <w:ind w:hanging="0" w:start="0"/>
        <w:jc w:val="both"/>
        <w:rPr>
          <w:rFonts w:ascii="Times New Roman" w:hAnsi="Times New Roman"/>
        </w:rPr>
      </w:pPr>
      <w:r>
        <w:rPr>
          <w:rFonts w:ascii="Times New Roman" w:hAnsi="Times New Roman"/>
        </w:rPr>
        <w:t>3.1.1 Data Sources for Binary Detection Task</w:t>
      </w:r>
    </w:p>
    <w:p>
      <w:pPr>
        <w:pStyle w:val="BodyText"/>
        <w:bidi w:val="0"/>
        <w:spacing w:lineRule="auto" w:line="240"/>
        <w:jc w:val="both"/>
        <w:rPr>
          <w:rFonts w:ascii="Times New Roman" w:hAnsi="Times New Roman"/>
        </w:rPr>
      </w:pPr>
      <w:r>
        <w:rPr>
          <w:rFonts w:ascii="Times New Roman" w:hAnsi="Times New Roman"/>
        </w:rPr>
        <w:t>For the binary brain tumour detection task (tumour present vs. absent), we combined two publicly available brain MRI datasets from Kaggle.</w:t>
      </w:r>
    </w:p>
    <w:p>
      <w:pPr>
        <w:pStyle w:val="BodyText"/>
        <w:bidi w:val="0"/>
        <w:spacing w:lineRule="auto" w:line="240"/>
        <w:jc w:val="both"/>
        <w:rPr>
          <w:rFonts w:ascii="Times New Roman" w:hAnsi="Times New Roman"/>
        </w:rPr>
      </w:pPr>
      <w:r>
        <w:rPr>
          <w:rFonts w:ascii="Times New Roman" w:hAnsi="Times New Roman"/>
          <w:b/>
        </w:rPr>
        <w:t>Dataset 1: Brain MRI Images for Brain Tumour Detection</w:t>
      </w:r>
      <w:r>
        <w:rPr>
          <w:rFonts w:ascii="Times New Roman" w:hAnsi="Times New Roman"/>
        </w:rPr>
        <w:t xml:space="preserve"> contributed by Navoneel Chakrabarty contained 253 MRI images (155 tumour-positive, 98 tumour-negative). </w:t>
      </w:r>
      <w:r>
        <w:rPr>
          <w:rFonts w:ascii="Times New Roman" w:hAnsi="Times New Roman"/>
          <w:b/>
        </w:rPr>
        <w:t>Dataset 2: Brain Tumour Detection</w:t>
      </w:r>
      <w:r>
        <w:rPr>
          <w:rFonts w:ascii="Times New Roman" w:hAnsi="Times New Roman"/>
        </w:rPr>
        <w:t xml:space="preserve"> contributed by Ahmed Hamada contained 3,000 MRI images (1,500 tumour-positive, 1,500 tumour-negative). The combined binary dataset comprised 3,253 images with 1,598 non-tumour (49.1%) and 1,655 tumour (50.9%) samples, providing a near-balanced class distribution suitable for binary classification.</w:t>
      </w:r>
    </w:p>
    <w:p>
      <w:pPr>
        <w:pStyle w:val="Heading4"/>
        <w:bidi w:val="0"/>
        <w:spacing w:lineRule="auto" w:line="240"/>
        <w:ind w:hanging="0" w:start="0"/>
        <w:jc w:val="both"/>
        <w:rPr>
          <w:rFonts w:ascii="Times New Roman" w:hAnsi="Times New Roman"/>
        </w:rPr>
      </w:pPr>
      <w:r>
        <w:rPr>
          <w:rFonts w:ascii="Times New Roman" w:hAnsi="Times New Roman"/>
        </w:rPr>
        <w:t>3.1.2 Data Sources for Multi-Class Classification Task</w:t>
      </w:r>
    </w:p>
    <w:p>
      <w:pPr>
        <w:pStyle w:val="BodyText"/>
        <w:bidi w:val="0"/>
        <w:spacing w:lineRule="auto" w:line="240"/>
        <w:jc w:val="both"/>
        <w:rPr>
          <w:rFonts w:ascii="Times New Roman" w:hAnsi="Times New Roman"/>
        </w:rPr>
      </w:pPr>
      <w:r>
        <w:rPr>
          <w:rFonts w:ascii="Times New Roman" w:hAnsi="Times New Roman"/>
        </w:rPr>
        <w:t>For the multi-class classification task (glioma, meningioma, and pituitary tumours), we combined two publicly available brain tumour MRI datasets.</w:t>
      </w:r>
    </w:p>
    <w:p>
      <w:pPr>
        <w:pStyle w:val="BodyText"/>
        <w:bidi w:val="0"/>
        <w:spacing w:lineRule="auto" w:line="240"/>
        <w:jc w:val="both"/>
        <w:rPr>
          <w:rFonts w:ascii="Times New Roman" w:hAnsi="Times New Roman"/>
        </w:rPr>
      </w:pPr>
      <w:r>
        <w:rPr>
          <w:rFonts w:ascii="Times New Roman" w:hAnsi="Times New Roman"/>
          <w:b/>
        </w:rPr>
        <w:t>Dataset 1: Sartaj Bhuvaji's Brain Tumour Classification MRI</w:t>
      </w:r>
      <w:r>
        <w:rPr>
          <w:rFonts w:ascii="Times New Roman" w:hAnsi="Times New Roman"/>
        </w:rPr>
        <w:t xml:space="preserve"> contained training and testing splits with glioma, meningioma, and pituitary classes in JPEG format. </w:t>
      </w:r>
      <w:r>
        <w:rPr>
          <w:rFonts w:ascii="Times New Roman" w:hAnsi="Times New Roman"/>
          <w:b/>
        </w:rPr>
        <w:t>Dataset 2: Jun Cheng's Brain Tumour MRI Dataset</w:t>
      </w:r>
      <w:r>
        <w:rPr>
          <w:rFonts w:ascii="Times New Roman" w:hAnsi="Times New Roman"/>
        </w:rPr>
        <w:t xml:space="preserve"> [19] contained three tumour type folders with MRI images in JPEG format. The initial combined multi-class dataset comprised 5,828 images with the distribution: glioma 2,352 (40.4%), meningioma 1,645 (28.2%), and pituitary 1,831 (31.4%).</w:t>
      </w:r>
    </w:p>
    <w:p>
      <w:pPr>
        <w:pStyle w:val="Heading4"/>
        <w:bidi w:val="0"/>
        <w:spacing w:lineRule="auto" w:line="240"/>
        <w:ind w:hanging="0" w:start="0"/>
        <w:jc w:val="both"/>
        <w:rPr>
          <w:rFonts w:ascii="Times New Roman" w:hAnsi="Times New Roman"/>
        </w:rPr>
      </w:pPr>
      <w:r>
        <w:rPr>
          <w:rFonts w:ascii="Times New Roman" w:hAnsi="Times New Roman"/>
        </w:rPr>
        <w:t>3.1.3 Data Collection Implementation</w:t>
      </w:r>
    </w:p>
    <w:p>
      <w:pPr>
        <w:pStyle w:val="BodyText"/>
        <w:bidi w:val="0"/>
        <w:spacing w:lineRule="auto" w:line="240"/>
        <w:jc w:val="both"/>
        <w:rPr>
          <w:rFonts w:ascii="Times New Roman" w:hAnsi="Times New Roman"/>
        </w:rPr>
      </w:pPr>
      <w:r>
        <w:rPr>
          <w:rFonts w:ascii="Times New Roman" w:hAnsi="Times New Roman"/>
        </w:rPr>
        <w:t>The data collection was implemented using recursive directory traversal functions that collected image file paths with their corresponding labels. Only files with valid image extensions (.jpg, .jpeg, .png, .tif) were included in the dataset.</w:t>
      </w:r>
    </w:p>
    <w:p>
      <w:pPr>
        <w:pStyle w:val="Heading3"/>
        <w:bidi w:val="0"/>
        <w:spacing w:lineRule="auto" w:line="240"/>
        <w:ind w:hanging="0" w:start="0"/>
        <w:jc w:val="both"/>
        <w:rPr>
          <w:rFonts w:ascii="Times New Roman" w:hAnsi="Times New Roman"/>
        </w:rPr>
      </w:pPr>
      <w:r>
        <w:rPr>
          <w:rFonts w:ascii="Times New Roman" w:hAnsi="Times New Roman"/>
        </w:rPr>
        <w:t>3.2 Data Preprocessing</w:t>
      </w:r>
    </w:p>
    <w:p>
      <w:pPr>
        <w:pStyle w:val="Heading4"/>
        <w:bidi w:val="0"/>
        <w:spacing w:lineRule="auto" w:line="240"/>
        <w:ind w:hanging="0" w:start="0"/>
        <w:jc w:val="both"/>
        <w:rPr>
          <w:rFonts w:ascii="Times New Roman" w:hAnsi="Times New Roman"/>
        </w:rPr>
      </w:pPr>
      <w:r>
        <w:rPr>
          <w:rFonts w:ascii="Times New Roman" w:hAnsi="Times New Roman"/>
        </w:rPr>
        <w:t>3.2.1 Perceptual Hashing for Deduplication</w:t>
      </w:r>
    </w:p>
    <w:p>
      <w:pPr>
        <w:pStyle w:val="BodyText"/>
        <w:bidi w:val="0"/>
        <w:spacing w:lineRule="auto" w:line="240"/>
        <w:jc w:val="both"/>
        <w:rPr>
          <w:rFonts w:ascii="Times New Roman" w:hAnsi="Times New Roman"/>
        </w:rPr>
      </w:pPr>
      <w:r>
        <w:rPr>
          <w:rFonts w:ascii="Times New Roman" w:hAnsi="Times New Roman"/>
        </w:rPr>
        <w:t>A critical preprocessing step for the multi-class classification task was identifying and removing near-duplicate images across the combined datasets. Perceptual hashing (pHash) generates a 64-bit fingerprint for each image that is robust to resizing, compression, and minor modifications. The Hamming distance between hash values serves as a similarity metric, with a tolerance threshold of 5 (images differing by ≤5 bits considered duplicates). The pHash algorithm was implemented using the ImageHash library.</w:t>
      </w:r>
    </w:p>
    <w:p>
      <w:pPr>
        <w:pStyle w:val="BodyText"/>
        <w:bidi w:val="0"/>
        <w:spacing w:lineRule="auto" w:line="240"/>
        <w:jc w:val="both"/>
        <w:rPr>
          <w:rFonts w:ascii="Times New Roman" w:hAnsi="Times New Roman"/>
        </w:rPr>
      </w:pPr>
      <w:r>
        <w:rPr>
          <w:rFonts w:ascii="Times New Roman" w:hAnsi="Times New Roman"/>
        </w:rPr>
        <w:t>The rationale for deduplication was multi-fold: multiple datasets may contain identical or slightly modified images; near-duplicates cause data leakage if present across train and test splits; and removal of duplicates ensures true generalisation capability assessment.</w:t>
      </w:r>
    </w:p>
    <w:p>
      <w:pPr>
        <w:pStyle w:val="BodyText"/>
        <w:bidi w:val="0"/>
        <w:spacing w:lineRule="auto" w:line="240"/>
        <w:jc w:val="both"/>
        <w:rPr>
          <w:rFonts w:ascii="Times New Roman" w:hAnsi="Times New Roman"/>
        </w:rPr>
      </w:pPr>
      <w:r>
        <w:rPr>
          <w:rFonts w:ascii="Times New Roman" w:hAnsi="Times New Roman"/>
        </w:rPr>
        <w:t>The results after deduplication showed significant reduction: glioma decreased from 2,352 to 2,000 (15.0% reduction), meningioma from 1,645 to 1,304 (20.7% reduction), and pituitary from 1,831 to 1,401 (23.5% reduction). The total dataset reduced from 5,828 to 4,705 images (19.3% overall reduction), with the final class distribution being glioma 2,000 (42.5%), meningioma 1,304 (27.7%), and pituitary 1,401 (29.8%).</w:t>
      </w:r>
    </w:p>
    <w:p>
      <w:pPr>
        <w:pStyle w:val="Heading4"/>
        <w:bidi w:val="0"/>
        <w:spacing w:lineRule="auto" w:line="240"/>
        <w:ind w:hanging="0" w:start="0"/>
        <w:jc w:val="both"/>
        <w:rPr>
          <w:rFonts w:ascii="Times New Roman" w:hAnsi="Times New Roman"/>
        </w:rPr>
      </w:pPr>
      <w:r>
        <w:rPr>
          <w:rFonts w:ascii="Times New Roman" w:hAnsi="Times New Roman"/>
        </w:rPr>
        <w:t>3.2.2 Train-Validation-Test Split</w:t>
      </w:r>
    </w:p>
    <w:p>
      <w:pPr>
        <w:pStyle w:val="BodyText"/>
        <w:bidi w:val="0"/>
        <w:spacing w:lineRule="auto" w:line="240"/>
        <w:jc w:val="both"/>
        <w:rPr>
          <w:rFonts w:ascii="Times New Roman" w:hAnsi="Times New Roman"/>
        </w:rPr>
      </w:pPr>
      <w:r>
        <w:rPr>
          <w:rFonts w:ascii="Times New Roman" w:hAnsi="Times New Roman"/>
        </w:rPr>
        <w:t>Stratified sampling was employed to maintain class distribution across all splits. For the binary detection task, the split ratios were 70% training (2,277 images), 15% validation (488 images), and 15% testing (488 images). For the multi-class classification task, the same ratios yielded 3,293 training images (70.0%), 706 validation images (15.0%), and 706 testing images (15.0%).</w:t>
      </w:r>
    </w:p>
    <w:p>
      <w:pPr>
        <w:pStyle w:val="BodyText"/>
        <w:bidi w:val="0"/>
        <w:spacing w:lineRule="auto" w:line="240"/>
        <w:jc w:val="both"/>
        <w:rPr>
          <w:rFonts w:ascii="Times New Roman" w:hAnsi="Times New Roman"/>
        </w:rPr>
      </w:pPr>
      <w:r>
        <w:rPr>
          <w:rFonts w:ascii="Times New Roman" w:hAnsi="Times New Roman"/>
        </w:rPr>
        <w:t>The split methodology used the train_test_split function from scikit-learn with a fixed random seed (42) for reproducibility. The two-stage splitting process first separated training data (70%) from temporary data (30%), then divided the temporary data equally into validation (15%) and test (15%) sets.</w:t>
      </w:r>
    </w:p>
    <w:p>
      <w:pPr>
        <w:pStyle w:val="Heading4"/>
        <w:bidi w:val="0"/>
        <w:spacing w:lineRule="auto" w:line="240"/>
        <w:ind w:hanging="0" w:start="0"/>
        <w:jc w:val="both"/>
        <w:rPr>
          <w:rFonts w:ascii="Times New Roman" w:hAnsi="Times New Roman"/>
        </w:rPr>
      </w:pPr>
      <w:r>
        <w:rPr>
          <w:rFonts w:ascii="Times New Roman" w:hAnsi="Times New Roman"/>
        </w:rPr>
        <w:t>3.2.3 Image Transformations</w:t>
      </w:r>
    </w:p>
    <w:p>
      <w:pPr>
        <w:pStyle w:val="BodyText"/>
        <w:bidi w:val="0"/>
        <w:spacing w:lineRule="auto" w:line="240"/>
        <w:jc w:val="both"/>
        <w:rPr>
          <w:rFonts w:ascii="Times New Roman" w:hAnsi="Times New Roman"/>
        </w:rPr>
      </w:pPr>
      <w:r>
        <w:rPr>
          <w:rFonts w:ascii="Times New Roman" w:hAnsi="Times New Roman"/>
        </w:rPr>
        <w:t>All images were loaded using the Python Imaging Library (PIL) and converted to RGB format to ensure compatibility with ImageNet-pretrained models. Images were resized to model-specific input dimensions: 224×224 pixels for ResNet50, VGG16, DenseNet121, EfficientNetB0, MobileNetV3, ViT-B/16, Swin Base, and CoaTNet-0; and 299×299 pixels for InceptionV3.</w:t>
      </w:r>
    </w:p>
    <w:p>
      <w:pPr>
        <w:pStyle w:val="BodyText"/>
        <w:bidi w:val="0"/>
        <w:spacing w:lineRule="auto" w:line="240"/>
        <w:jc w:val="both"/>
        <w:rPr>
          <w:rFonts w:ascii="Times New Roman" w:hAnsi="Times New Roman"/>
        </w:rPr>
      </w:pPr>
      <w:r>
        <w:rPr>
          <w:rFonts w:ascii="Times New Roman" w:hAnsi="Times New Roman"/>
        </w:rPr>
        <w:t>All models used ImageNet normalisation statistics: mean values of [0.485, 0.456, 0.406] for the RGB channels respectively, and standard deviation values of [0.229, 0.224, 0.225] respectively.</w:t>
      </w:r>
    </w:p>
    <w:p>
      <w:pPr>
        <w:pStyle w:val="BodyText"/>
        <w:bidi w:val="0"/>
        <w:spacing w:lineRule="auto" w:line="240"/>
        <w:jc w:val="both"/>
        <w:rPr>
          <w:rFonts w:ascii="Times New Roman" w:hAnsi="Times New Roman"/>
        </w:rPr>
      </w:pPr>
      <w:r>
        <w:rPr>
          <w:rFonts w:ascii="Times New Roman" w:hAnsi="Times New Roman"/>
          <w:b/>
        </w:rPr>
        <w:t>Training Transformations:</w:t>
      </w:r>
      <w:r>
        <w:rPr>
          <w:rFonts w:ascii="Times New Roman" w:hAnsi="Times New Roman"/>
        </w:rPr>
        <w:t xml:space="preserve"> To improve generalisation and reduce overfitting, training data augmentation included random horizontal flipping with 50% probability, random rotation of ±10 degrees, and colour jitter adjusting brightness and contrast by 20%. These augmentations were applied only to the training set.</w:t>
      </w:r>
    </w:p>
    <w:p>
      <w:pPr>
        <w:pStyle w:val="BodyText"/>
        <w:bidi w:val="0"/>
        <w:spacing w:lineRule="auto" w:line="240"/>
        <w:jc w:val="both"/>
        <w:rPr>
          <w:rFonts w:ascii="Times New Roman" w:hAnsi="Times New Roman"/>
        </w:rPr>
      </w:pPr>
      <w:r>
        <w:rPr>
          <w:rFonts w:ascii="Times New Roman" w:hAnsi="Times New Roman"/>
          <w:b/>
        </w:rPr>
        <w:t>Validation and Test Transformations:</w:t>
      </w:r>
      <w:r>
        <w:rPr>
          <w:rFonts w:ascii="Times New Roman" w:hAnsi="Times New Roman"/>
        </w:rPr>
        <w:t xml:space="preserve"> For validation and testing, only resizing to the required input dimensions, tensor conversion, and normalisation were applied, without any stochastic augmentations to ensure reproducible evaluation.</w:t>
      </w:r>
    </w:p>
    <w:p>
      <w:pPr>
        <w:pStyle w:val="Heading4"/>
        <w:bidi w:val="0"/>
        <w:spacing w:lineRule="auto" w:line="240"/>
        <w:ind w:hanging="0" w:start="0"/>
        <w:jc w:val="both"/>
        <w:rPr>
          <w:rFonts w:ascii="Times New Roman" w:hAnsi="Times New Roman"/>
        </w:rPr>
      </w:pPr>
      <w:r>
        <w:rPr>
          <w:rFonts w:ascii="Times New Roman" w:hAnsi="Times New Roman"/>
        </w:rPr>
        <w:t>3.2.4 DataLoader Configuration</w:t>
      </w:r>
    </w:p>
    <w:p>
      <w:pPr>
        <w:pStyle w:val="BodyText"/>
        <w:bidi w:val="0"/>
        <w:spacing w:lineRule="auto" w:line="240"/>
        <w:jc w:val="both"/>
        <w:rPr>
          <w:rFonts w:ascii="Times New Roman" w:hAnsi="Times New Roman"/>
        </w:rPr>
      </w:pPr>
      <w:r>
        <w:rPr>
          <w:rFonts w:ascii="Times New Roman" w:hAnsi="Times New Roman"/>
        </w:rPr>
        <w:t>DataLoader configuration was optimised for multi-GPU training with NUM_WORKERS = 4, PIN_MEMORY = True to enable faster GPU transfer, PERSISTENT_WORKERS = True to maintain workers across epochs, and PREFETCH_FACTOR = 4 to prefetch four batches ahead.</w:t>
      </w:r>
    </w:p>
    <w:p>
      <w:pPr>
        <w:pStyle w:val="Heading3"/>
        <w:bidi w:val="0"/>
        <w:spacing w:lineRule="auto" w:line="240"/>
        <w:ind w:hanging="0" w:start="0"/>
        <w:jc w:val="both"/>
        <w:rPr>
          <w:rFonts w:ascii="Times New Roman" w:hAnsi="Times New Roman"/>
        </w:rPr>
      </w:pPr>
      <w:r>
        <w:rPr>
          <w:rFonts w:ascii="Times New Roman" w:hAnsi="Times New Roman"/>
        </w:rPr>
        <w:t>3.3 Model Architectures</w:t>
      </w:r>
    </w:p>
    <w:p>
      <w:pPr>
        <w:pStyle w:val="Heading4"/>
        <w:bidi w:val="0"/>
        <w:spacing w:lineRule="auto" w:line="240"/>
        <w:ind w:hanging="0" w:start="0"/>
        <w:jc w:val="both"/>
        <w:rPr>
          <w:rFonts w:ascii="Times New Roman" w:hAnsi="Times New Roman"/>
        </w:rPr>
      </w:pPr>
      <w:r>
        <w:rPr>
          <w:rFonts w:ascii="Times New Roman" w:hAnsi="Times New Roman"/>
        </w:rPr>
        <w:t>3.3.1 Convolutional Neural Networks (Classical)</w:t>
      </w:r>
    </w:p>
    <w:p>
      <w:pPr>
        <w:pStyle w:val="BodyText"/>
        <w:bidi w:val="0"/>
        <w:spacing w:lineRule="auto" w:line="240"/>
        <w:jc w:val="both"/>
        <w:rPr>
          <w:rFonts w:ascii="Times New Roman" w:hAnsi="Times New Roman"/>
        </w:rPr>
      </w:pPr>
      <w:r>
        <w:rPr>
          <w:rFonts w:ascii="Times New Roman" w:hAnsi="Times New Roman"/>
          <w:b/>
        </w:rPr>
        <w:t>ResNet50</w:t>
      </w:r>
      <w:r>
        <w:rPr>
          <w:rFonts w:ascii="Times New Roman" w:hAnsi="Times New Roman"/>
        </w:rPr>
        <w:t xml:space="preserve"> is a 50-layer residual network with bottleneck blocks. Its key innovation is skip connections that enable very deep training by allowing gradients to flow directly through the network. ResNet50 has 25.6 million parameters and was pretrained on ImageNet. For binary classification, the final fully connected layer was modified to output one logit (model.fc = nn.Linear(2048, 1)); for multi-class classification, it was modified to output three logits (model.fc = nn.Linear(2048, 3)).</w:t>
      </w:r>
    </w:p>
    <w:p>
      <w:pPr>
        <w:pStyle w:val="BodyText"/>
        <w:bidi w:val="0"/>
        <w:spacing w:lineRule="auto" w:line="240"/>
        <w:jc w:val="both"/>
        <w:rPr>
          <w:rFonts w:ascii="Times New Roman" w:hAnsi="Times New Roman"/>
        </w:rPr>
      </w:pPr>
      <w:r>
        <w:rPr>
          <w:rFonts w:ascii="Times New Roman" w:hAnsi="Times New Roman"/>
          <w:b/>
        </w:rPr>
        <w:t>VGG16</w:t>
      </w:r>
      <w:r>
        <w:rPr>
          <w:rFonts w:ascii="Times New Roman" w:hAnsi="Times New Roman"/>
        </w:rPr>
        <w:t xml:space="preserve"> is a 16-layer network using only 3×3 convolutional filters. Its key innovation is demonstrating that increasing depth with small filters improves performance. However, VGG16 has 138 million parameters, making it computationally expensive. The classifier head was replaced accordingly for each task.</w:t>
      </w:r>
    </w:p>
    <w:p>
      <w:pPr>
        <w:pStyle w:val="BodyText"/>
        <w:bidi w:val="0"/>
        <w:spacing w:lineRule="auto" w:line="240"/>
        <w:jc w:val="both"/>
        <w:rPr>
          <w:rFonts w:ascii="Times New Roman" w:hAnsi="Times New Roman"/>
        </w:rPr>
      </w:pPr>
      <w:r>
        <w:rPr>
          <w:rFonts w:ascii="Times New Roman" w:hAnsi="Times New Roman"/>
          <w:b/>
        </w:rPr>
        <w:t>DenseNet121</w:t>
      </w:r>
      <w:r>
        <w:rPr>
          <w:rFonts w:ascii="Times New Roman" w:hAnsi="Times New Roman"/>
        </w:rPr>
        <w:t xml:space="preserve"> is a 121-layer densely connected network where each layer receives inputs from all preceding layers, maximising information flow and feature reuse. It has only 8 million parameters, demonstrating excellent parameter efficiency. The classifier layer was modified for each task.</w:t>
      </w:r>
    </w:p>
    <w:p>
      <w:pPr>
        <w:pStyle w:val="Heading4"/>
        <w:bidi w:val="0"/>
        <w:spacing w:lineRule="auto" w:line="240"/>
        <w:ind w:hanging="0" w:start="0"/>
        <w:jc w:val="both"/>
        <w:rPr>
          <w:rFonts w:ascii="Times New Roman" w:hAnsi="Times New Roman"/>
        </w:rPr>
      </w:pPr>
      <w:r>
        <w:rPr>
          <w:rFonts w:ascii="Times New Roman" w:hAnsi="Times New Roman"/>
        </w:rPr>
        <w:t>3.3.2 Efficient CNNs</w:t>
      </w:r>
    </w:p>
    <w:p>
      <w:pPr>
        <w:pStyle w:val="BodyText"/>
        <w:bidi w:val="0"/>
        <w:spacing w:lineRule="auto" w:line="240"/>
        <w:jc w:val="both"/>
        <w:rPr>
          <w:rFonts w:ascii="Times New Roman" w:hAnsi="Times New Roman"/>
        </w:rPr>
      </w:pPr>
      <w:r>
        <w:rPr>
          <w:rFonts w:ascii="Times New Roman" w:hAnsi="Times New Roman"/>
          <w:b/>
        </w:rPr>
        <w:t>EfficientNetB0</w:t>
      </w:r>
      <w:r>
        <w:rPr>
          <w:rFonts w:ascii="Times New Roman" w:hAnsi="Times New Roman"/>
        </w:rPr>
        <w:t xml:space="preserve"> is a neural architecture search-optimised network with compound scaling of depth, width, and resolution. It has 5.3 million parameters, making it the most parameter-efficient model in our study. The classifier head was replaced for each task.</w:t>
      </w:r>
    </w:p>
    <w:p>
      <w:pPr>
        <w:pStyle w:val="BodyText"/>
        <w:bidi w:val="0"/>
        <w:spacing w:lineRule="auto" w:line="240"/>
        <w:jc w:val="both"/>
        <w:rPr>
          <w:rFonts w:ascii="Times New Roman" w:hAnsi="Times New Roman"/>
        </w:rPr>
      </w:pPr>
      <w:r>
        <w:rPr>
          <w:rFonts w:ascii="Times New Roman" w:hAnsi="Times New Roman"/>
          <w:b/>
        </w:rPr>
        <w:t>MobileNetV3-Large</w:t>
      </w:r>
      <w:r>
        <w:rPr>
          <w:rFonts w:ascii="Times New Roman" w:hAnsi="Times New Roman"/>
        </w:rPr>
        <w:t xml:space="preserve"> is a lightweight network using depthwise separable convolutions and hardware-aware architecture search. It has 5.4 million parameters, suitable for mobile and edge deployment.</w:t>
      </w:r>
    </w:p>
    <w:p>
      <w:pPr>
        <w:pStyle w:val="BodyText"/>
        <w:bidi w:val="0"/>
        <w:spacing w:lineRule="auto" w:line="240"/>
        <w:jc w:val="both"/>
        <w:rPr>
          <w:rFonts w:ascii="Times New Roman" w:hAnsi="Times New Roman"/>
        </w:rPr>
      </w:pPr>
      <w:r>
        <w:rPr>
          <w:rFonts w:ascii="Times New Roman" w:hAnsi="Times New Roman"/>
          <w:b/>
        </w:rPr>
        <w:t>InceptionV3</w:t>
      </w:r>
      <w:r>
        <w:rPr>
          <w:rFonts w:ascii="Times New Roman" w:hAnsi="Times New Roman"/>
        </w:rPr>
        <w:t xml:space="preserve"> is a 48-layer network with parallel convolution paths of different kernel sizes (1×1, 3×3, 5×5), enabling multi-scale feature extraction. It has 23.9 million parameters. For binary classification, auxiliary logits were also modified (model.AuxLogits.fc = nn.Linear(768, 1)).</w:t>
      </w:r>
    </w:p>
    <w:p>
      <w:pPr>
        <w:pStyle w:val="Heading4"/>
        <w:bidi w:val="0"/>
        <w:spacing w:lineRule="auto" w:line="240"/>
        <w:ind w:hanging="0" w:start="0"/>
        <w:jc w:val="both"/>
        <w:rPr>
          <w:rFonts w:ascii="Times New Roman" w:hAnsi="Times New Roman"/>
        </w:rPr>
      </w:pPr>
      <w:r>
        <w:rPr>
          <w:rFonts w:ascii="Times New Roman" w:hAnsi="Times New Roman"/>
        </w:rPr>
        <w:t>3.3.3 Transformer-Based Models</w:t>
      </w:r>
    </w:p>
    <w:p>
      <w:pPr>
        <w:pStyle w:val="BodyText"/>
        <w:bidi w:val="0"/>
        <w:spacing w:lineRule="auto" w:line="240"/>
        <w:jc w:val="both"/>
        <w:rPr>
          <w:rFonts w:ascii="Times New Roman" w:hAnsi="Times New Roman"/>
        </w:rPr>
      </w:pPr>
      <w:r>
        <w:rPr>
          <w:rFonts w:ascii="Times New Roman" w:hAnsi="Times New Roman"/>
          <w:b/>
        </w:rPr>
        <w:t>ViT-B/16 (Vision Transformer)</w:t>
      </w:r>
      <w:r>
        <w:rPr>
          <w:rFonts w:ascii="Times New Roman" w:hAnsi="Times New Roman"/>
        </w:rPr>
        <w:t xml:space="preserve"> applies a pure transformer architecture directly to image patches of size 16×16 pixels. It has 86 million parameters and relies on self-attention mechanisms to model global dependencies. The classification head was replaced for each task.</w:t>
      </w:r>
    </w:p>
    <w:p>
      <w:pPr>
        <w:pStyle w:val="BodyText"/>
        <w:bidi w:val="0"/>
        <w:spacing w:lineRule="auto" w:line="240"/>
        <w:jc w:val="both"/>
        <w:rPr>
          <w:rFonts w:ascii="Times New Roman" w:hAnsi="Times New Roman"/>
        </w:rPr>
      </w:pPr>
      <w:r>
        <w:rPr>
          <w:rFonts w:ascii="Times New Roman" w:hAnsi="Times New Roman"/>
          <w:b/>
        </w:rPr>
        <w:t>Swin Transformer Base</w:t>
      </w:r>
      <w:r>
        <w:rPr>
          <w:rFonts w:ascii="Times New Roman" w:hAnsi="Times New Roman"/>
        </w:rPr>
        <w:t xml:space="preserve"> uses a hierarchical architecture with shifted windows for efficient self-attention computation, achieving linear complexity relative to image size. It has 88 million parameters with a window size of 7×7. The model was loaded using the TIMM library.</w:t>
      </w:r>
    </w:p>
    <w:p>
      <w:pPr>
        <w:pStyle w:val="BodyText"/>
        <w:bidi w:val="0"/>
        <w:spacing w:lineRule="auto" w:line="240"/>
        <w:jc w:val="both"/>
        <w:rPr>
          <w:rFonts w:ascii="Times New Roman" w:hAnsi="Times New Roman"/>
        </w:rPr>
      </w:pPr>
      <w:r>
        <w:rPr>
          <w:rFonts w:ascii="Times New Roman" w:hAnsi="Times New Roman"/>
          <w:b/>
        </w:rPr>
        <w:t>CoaTNet-0</w:t>
      </w:r>
      <w:r>
        <w:rPr>
          <w:rFonts w:ascii="Times New Roman" w:hAnsi="Times New Roman"/>
        </w:rPr>
        <w:t xml:space="preserve"> is a Co-scale Conv-Attentional network combining convolutional and attention mechanisms, achieving efficient performance with approximately 10 million parameters. The hybrid design captures both local features (through convolutions) and global context (through attention).</w:t>
      </w:r>
    </w:p>
    <w:p>
      <w:pPr>
        <w:pStyle w:val="Heading3"/>
        <w:bidi w:val="0"/>
        <w:spacing w:lineRule="auto" w:line="240"/>
        <w:ind w:hanging="0" w:start="0"/>
        <w:jc w:val="both"/>
        <w:rPr>
          <w:rFonts w:ascii="Times New Roman" w:hAnsi="Times New Roman"/>
        </w:rPr>
      </w:pPr>
      <w:r>
        <w:rPr>
          <w:rFonts w:ascii="Times New Roman" w:hAnsi="Times New Roman"/>
        </w:rPr>
        <w:t>3.4 Training Configuration</w:t>
      </w:r>
    </w:p>
    <w:p>
      <w:pPr>
        <w:pStyle w:val="Heading4"/>
        <w:bidi w:val="0"/>
        <w:spacing w:lineRule="auto" w:line="240"/>
        <w:ind w:hanging="0" w:start="0"/>
        <w:jc w:val="both"/>
        <w:rPr>
          <w:rFonts w:ascii="Times New Roman" w:hAnsi="Times New Roman"/>
        </w:rPr>
      </w:pPr>
      <w:r>
        <w:rPr>
          <w:rFonts w:ascii="Times New Roman" w:hAnsi="Times New Roman"/>
        </w:rPr>
        <w:t>3.4.1 Hardware Environment</w:t>
      </w:r>
    </w:p>
    <w:p>
      <w:pPr>
        <w:pStyle w:val="BodyText"/>
        <w:bidi w:val="0"/>
        <w:spacing w:lineRule="auto" w:line="240"/>
        <w:jc w:val="both"/>
        <w:rPr>
          <w:rFonts w:ascii="Times New Roman" w:hAnsi="Times New Roman"/>
        </w:rPr>
      </w:pPr>
      <w:r>
        <w:rPr>
          <w:rFonts w:ascii="Times New Roman" w:hAnsi="Times New Roman"/>
        </w:rPr>
        <w:t>All experiments were conducted on dual NVIDIA Tesla T4 GPUs, each with 16GB GDDR6 memory. The CPU configuration comprised Intel Xeon processors with 4 vCPUs, 29GB RAM, and Kaggle working directory storage. The hardware environment remained consistent across all model training runs to ensure fair comparison.</w:t>
      </w:r>
    </w:p>
    <w:p>
      <w:pPr>
        <w:pStyle w:val="Heading4"/>
        <w:bidi w:val="0"/>
        <w:spacing w:lineRule="auto" w:line="240"/>
        <w:ind w:hanging="0" w:start="0"/>
        <w:jc w:val="both"/>
        <w:rPr>
          <w:rFonts w:ascii="Times New Roman" w:hAnsi="Times New Roman"/>
        </w:rPr>
      </w:pPr>
      <w:r>
        <w:rPr>
          <w:rFonts w:ascii="Times New Roman" w:hAnsi="Times New Roman"/>
        </w:rPr>
        <w:t>3.4.2 Software Environment</w:t>
      </w:r>
    </w:p>
    <w:p>
      <w:pPr>
        <w:pStyle w:val="BodyText"/>
        <w:bidi w:val="0"/>
        <w:spacing w:lineRule="auto" w:line="240"/>
        <w:jc w:val="both"/>
        <w:rPr>
          <w:rFonts w:ascii="Times New Roman" w:hAnsi="Times New Roman"/>
        </w:rPr>
      </w:pPr>
      <w:r>
        <w:rPr>
          <w:rFonts w:ascii="Times New Roman" w:hAnsi="Times New Roman"/>
        </w:rPr>
        <w:t>The software stack included Python 3.12.12, PyTorch 2.x with CUDA 12.x support, torchvision, TIMM (PyTorch Image Models) for transformer architectures, TensorBoard for experiment tracking, scikit-learn for metrics computation, and supporting libraries including numpy, pandas, PIL, and imagehash for perceptual hashing.</w:t>
      </w:r>
    </w:p>
    <w:p>
      <w:pPr>
        <w:pStyle w:val="BodyText"/>
        <w:bidi w:val="0"/>
        <w:spacing w:lineRule="auto" w:line="240"/>
        <w:jc w:val="both"/>
        <w:rPr>
          <w:rFonts w:ascii="Times New Roman" w:hAnsi="Times New Roman"/>
        </w:rPr>
      </w:pPr>
      <w:r>
        <w:rPr>
          <w:rFonts w:ascii="Times New Roman" w:hAnsi="Times New Roman"/>
        </w:rPr>
        <w:t>Multi-GPU training was implemented using nn.DataParallel for data parallelism across the two GPUs, with automatic gradient averaging and near-linear speedup achieved.</w:t>
      </w:r>
    </w:p>
    <w:p>
      <w:pPr>
        <w:pStyle w:val="BodyText"/>
        <w:bidi w:val="0"/>
        <w:spacing w:lineRule="auto" w:line="240"/>
        <w:jc w:val="both"/>
        <w:rPr>
          <w:rFonts w:ascii="Times New Roman" w:hAnsi="Times New Roman"/>
        </w:rPr>
      </w:pPr>
      <w:r>
        <w:rPr>
          <w:rFonts w:ascii="Times New Roman" w:hAnsi="Times New Roman"/>
        </w:rPr>
        <w:t>Mixed precision training was employed using torch.amp.autocast with FP16 precision and torch.amp.GradScaler for gradient scaling. Mixed precision enabled faster training and reduced memory consumption without significant accuracy degradation.</w:t>
      </w:r>
    </w:p>
    <w:p>
      <w:pPr>
        <w:pStyle w:val="Heading4"/>
        <w:bidi w:val="0"/>
        <w:spacing w:lineRule="auto" w:line="240"/>
        <w:ind w:hanging="0" w:start="0"/>
        <w:jc w:val="both"/>
        <w:rPr>
          <w:rFonts w:ascii="Times New Roman" w:hAnsi="Times New Roman"/>
        </w:rPr>
      </w:pPr>
      <w:r>
        <w:rPr>
          <w:rFonts w:ascii="Times New Roman" w:hAnsi="Times New Roman"/>
        </w:rPr>
        <w:t>3.4.3 Hyperparameters</w:t>
      </w:r>
    </w:p>
    <w:p>
      <w:pPr>
        <w:pStyle w:val="BodyText"/>
        <w:bidi w:val="0"/>
        <w:spacing w:lineRule="auto" w:line="240"/>
        <w:jc w:val="both"/>
        <w:rPr>
          <w:rFonts w:ascii="Times New Roman" w:hAnsi="Times New Roman"/>
        </w:rPr>
      </w:pPr>
      <w:r>
        <w:rPr>
          <w:rFonts w:ascii="Times New Roman" w:hAnsi="Times New Roman"/>
        </w:rPr>
        <w:t>Standardised hyperparameters across all models included: 10 epochs (sufficient for convergence with transfer learning), AdamW optimiser (improved weight decay handling compared to standard Adam), learning rate of 3e-4 (standard for fine-tuning pretrained models), CosineAnnealingLR scheduler with T_max = 10 epochs for smooth learning rate decay, BCEWithLogitsLoss for binary classification, and CrossEntropyLoss for multi-class classification.</w:t>
      </w:r>
    </w:p>
    <w:p>
      <w:pPr>
        <w:pStyle w:val="BodyText"/>
        <w:bidi w:val="0"/>
        <w:spacing w:lineRule="auto" w:line="240"/>
        <w:jc w:val="both"/>
        <w:rPr>
          <w:rFonts w:ascii="Times New Roman" w:hAnsi="Times New Roman"/>
        </w:rPr>
      </w:pPr>
      <w:r>
        <w:rPr>
          <w:rFonts w:ascii="Times New Roman" w:hAnsi="Times New Roman"/>
        </w:rPr>
        <w:t>Batch sizes were model-specific based on GPU memory constraints: ResNet50 (256), VGG16 (256), DenseNet121 (64), EfficientNetB0 (256), MobileNetV3 (256), InceptionV3 (128), ViT-B/16 (128), Swin Base (64), and CoaTNet-0 (64). Larger batch sizes generally provided more stable gradient estimates but required more GPU memory.</w:t>
      </w:r>
    </w:p>
    <w:p>
      <w:pPr>
        <w:pStyle w:val="Heading4"/>
        <w:bidi w:val="0"/>
        <w:spacing w:lineRule="auto" w:line="240"/>
        <w:ind w:hanging="0" w:start="0"/>
        <w:jc w:val="both"/>
        <w:rPr>
          <w:rFonts w:ascii="Times New Roman" w:hAnsi="Times New Roman"/>
        </w:rPr>
      </w:pPr>
      <w:r>
        <w:rPr>
          <w:rFonts w:ascii="Times New Roman" w:hAnsi="Times New Roman"/>
        </w:rPr>
        <w:t>3.4.4 Training Loop Implementation</w:t>
      </w:r>
    </w:p>
    <w:p>
      <w:pPr>
        <w:pStyle w:val="BodyText"/>
        <w:bidi w:val="0"/>
        <w:spacing w:lineRule="auto" w:line="240"/>
        <w:jc w:val="both"/>
        <w:rPr>
          <w:rFonts w:ascii="Times New Roman" w:hAnsi="Times New Roman"/>
        </w:rPr>
      </w:pPr>
      <w:r>
        <w:rPr>
          <w:rFonts w:ascii="Times New Roman" w:hAnsi="Times New Roman"/>
        </w:rPr>
        <w:t>The training loop for each epoch consisted of a training phase with augmentation and gradient updates, followed by a validation phase without augmentation. Learning rate scheduling was applied via CosineAnnealingLR after each epoch. Model checkpointing saved the best model based on validation AUC. For binary classification, predictions were passed through a sigmoid activation; for multi-class classification, softmax activation was used.</w:t>
      </w:r>
    </w:p>
    <w:p>
      <w:pPr>
        <w:pStyle w:val="BodyText"/>
        <w:bidi w:val="0"/>
        <w:spacing w:lineRule="auto" w:line="240"/>
        <w:jc w:val="both"/>
        <w:rPr>
          <w:rFonts w:ascii="Times New Roman" w:hAnsi="Times New Roman"/>
        </w:rPr>
      </w:pPr>
      <w:r>
        <w:rPr>
          <w:rFonts w:ascii="Times New Roman" w:hAnsi="Times New Roman"/>
        </w:rPr>
        <w:t>The run_epoch function handled both training and evaluation modes. For each batch, images and labels were moved to the GPU device. With mixed precision enabled, outputs were computed and loss calculated. For training mode, gradients were zeroed, loss was backpropagated through the gradient scaler, and optimiser step was performed. Predictions were accumulated for metric computation at epoch end.</w:t>
      </w:r>
    </w:p>
    <w:p>
      <w:pPr>
        <w:pStyle w:val="Heading3"/>
        <w:bidi w:val="0"/>
        <w:spacing w:lineRule="auto" w:line="240"/>
        <w:ind w:hanging="0" w:start="0"/>
        <w:jc w:val="both"/>
        <w:rPr>
          <w:rFonts w:ascii="Times New Roman" w:hAnsi="Times New Roman"/>
        </w:rPr>
      </w:pPr>
      <w:r>
        <w:rPr>
          <w:rFonts w:ascii="Times New Roman" w:hAnsi="Times New Roman"/>
        </w:rPr>
        <w:t>3.5 Evaluation Metrics</w:t>
      </w:r>
    </w:p>
    <w:p>
      <w:pPr>
        <w:pStyle w:val="BodyText"/>
        <w:bidi w:val="0"/>
        <w:spacing w:lineRule="auto" w:line="240"/>
        <w:jc w:val="both"/>
        <w:rPr>
          <w:rFonts w:ascii="Times New Roman" w:hAnsi="Times New Roman"/>
        </w:rPr>
      </w:pPr>
      <w:r>
        <w:rPr>
          <w:rFonts w:ascii="Times New Roman" w:hAnsi="Times New Roman"/>
          <w:b/>
        </w:rPr>
        <w:t>Accuracy</w:t>
      </w:r>
      <w:r>
        <w:rPr>
          <w:rFonts w:ascii="Times New Roman" w:hAnsi="Times New Roman"/>
        </w:rPr>
        <w:t xml:space="preserve"> was defined as (True Positives + True Negatives) / Total Samples, representing overall correctness of predictions.</w:t>
      </w:r>
    </w:p>
    <w:p>
      <w:pPr>
        <w:pStyle w:val="BodyText"/>
        <w:bidi w:val="0"/>
        <w:spacing w:lineRule="auto" w:line="240"/>
        <w:jc w:val="both"/>
        <w:rPr>
          <w:rFonts w:ascii="Times New Roman" w:hAnsi="Times New Roman"/>
        </w:rPr>
      </w:pPr>
      <w:r>
        <w:rPr>
          <w:rFonts w:ascii="Times New Roman" w:hAnsi="Times New Roman"/>
          <w:b/>
        </w:rPr>
        <w:t>Cross-Entropy Loss</w:t>
      </w:r>
      <w:r>
        <w:rPr>
          <w:rFonts w:ascii="Times New Roman" w:hAnsi="Times New Roman"/>
        </w:rPr>
        <w:t xml:space="preserve"> measured prediction confidence calibration, defined as -Σ y_true × log(y_pred). Lower loss indicates better-calibrated predictions.</w:t>
      </w:r>
    </w:p>
    <w:p>
      <w:pPr>
        <w:pStyle w:val="BodyText"/>
        <w:bidi w:val="0"/>
        <w:spacing w:lineRule="auto" w:line="240"/>
        <w:jc w:val="both"/>
        <w:rPr>
          <w:rFonts w:ascii="Times New Roman" w:hAnsi="Times New Roman"/>
        </w:rPr>
      </w:pPr>
      <w:r>
        <w:rPr>
          <w:rFonts w:ascii="Times New Roman" w:hAnsi="Times New Roman"/>
          <w:b/>
        </w:rPr>
        <w:t>AUC-ROC (Area Under the Receiver Operating Characteristic Curve)</w:t>
      </w:r>
      <w:r>
        <w:rPr>
          <w:rFonts w:ascii="Times New Roman" w:hAnsi="Times New Roman"/>
        </w:rPr>
        <w:t xml:space="preserve"> represents the probability that a randomly chosen positive instance ranks higher than a randomly chosen negative instance. AUC-ROC values range from 0.5 (random guessing) to 1.0 (perfect separation). For multi-class classification, the One-vs-Rest (OvR) approach was used, implemented via roc_auc_score with multi_class="ovr".</w:t>
      </w:r>
    </w:p>
    <w:p>
      <w:pPr>
        <w:pStyle w:val="Heading3"/>
        <w:bidi w:val="0"/>
        <w:spacing w:lineRule="auto" w:line="240"/>
        <w:ind w:hanging="0" w:start="0"/>
        <w:jc w:val="both"/>
        <w:rPr>
          <w:rFonts w:ascii="Times New Roman" w:hAnsi="Times New Roman"/>
        </w:rPr>
      </w:pPr>
      <w:r>
        <w:rPr>
          <w:rFonts w:ascii="Times New Roman" w:hAnsi="Times New Roman"/>
        </w:rPr>
        <w:t>3.6 Reproducibility</w:t>
      </w:r>
    </w:p>
    <w:p>
      <w:pPr>
        <w:pStyle w:val="BodyText"/>
        <w:bidi w:val="0"/>
        <w:spacing w:lineRule="auto" w:line="240"/>
        <w:jc w:val="both"/>
        <w:rPr>
          <w:rFonts w:ascii="Times New Roman" w:hAnsi="Times New Roman"/>
        </w:rPr>
      </w:pPr>
      <w:r>
        <w:rPr>
          <w:rFonts w:ascii="Times New Roman" w:hAnsi="Times New Roman"/>
        </w:rPr>
        <w:t>To ensure reproducibility, random seeds were set for all random number generators: SEED = 42 for PyTorch (torch.manual_seed), NumPy (np.random.seed), and Python random module (random.seed). CUDA convolution algorithms were benchmarked with torch.backends.cudnn.benchmark = True for optimal performance, while TF32 precision was enabled on supported hardware with torch.backends.cuda.matmul.allow_tf32 = True.</w:t>
      </w:r>
    </w:p>
    <w:p>
      <w:pPr>
        <w:pStyle w:val="Heading2"/>
        <w:numPr>
          <w:ilvl w:val="0"/>
          <w:numId w:val="0"/>
        </w:numPr>
        <w:bidi w:val="0"/>
        <w:spacing w:lineRule="auto" w:line="240"/>
        <w:ind w:hanging="0" w:start="0"/>
        <w:jc w:val="both"/>
        <w:rPr>
          <w:rFonts w:ascii="Times New Roman" w:hAnsi="Times New Roman"/>
        </w:rPr>
      </w:pPr>
      <w:r>
        <w:rPr>
          <w:rFonts w:ascii="Times New Roman" w:hAnsi="Times New Roman"/>
        </w:rPr>
        <w:t>4. Results and Discussion</w:t>
      </w:r>
    </w:p>
    <w:p>
      <w:pPr>
        <w:pStyle w:val="Heading3"/>
        <w:bidi w:val="0"/>
        <w:spacing w:lineRule="auto" w:line="240"/>
        <w:ind w:hanging="0" w:start="0"/>
        <w:jc w:val="both"/>
        <w:rPr>
          <w:rFonts w:ascii="Times New Roman" w:hAnsi="Times New Roman"/>
        </w:rPr>
      </w:pPr>
      <w:r>
        <w:rPr>
          <w:rFonts w:ascii="Times New Roman" w:hAnsi="Times New Roman"/>
        </w:rPr>
        <w:t>4.1 Binary Detection Task Performance</w:t>
      </w:r>
    </w:p>
    <w:p>
      <w:pPr>
        <w:pStyle w:val="Heading4"/>
        <w:bidi w:val="0"/>
        <w:spacing w:lineRule="auto" w:line="240"/>
        <w:ind w:hanging="0" w:start="0"/>
        <w:jc w:val="both"/>
        <w:rPr>
          <w:rFonts w:ascii="Times New Roman" w:hAnsi="Times New Roman"/>
        </w:rPr>
      </w:pPr>
      <w:r>
        <w:rPr>
          <w:rFonts w:ascii="Times New Roman" w:hAnsi="Times New Roman"/>
        </w:rPr>
        <w:t>4.1.1 Final Test Results</w:t>
      </w:r>
    </w:p>
    <w:p>
      <w:pPr>
        <w:pStyle w:val="BodyText"/>
        <w:bidi w:val="0"/>
        <w:spacing w:lineRule="auto" w:line="240"/>
        <w:jc w:val="both"/>
        <w:rPr>
          <w:rFonts w:ascii="Times New Roman" w:hAnsi="Times New Roman"/>
        </w:rPr>
      </w:pPr>
      <w:r>
        <w:rPr>
          <w:rFonts w:ascii="Times New Roman" w:hAnsi="Times New Roman"/>
        </w:rPr>
        <w:t>TABLE II presents the final test results for the binary brain tumour detection task across all nine architectures.</w:t>
      </w:r>
    </w:p>
    <w:p>
      <w:pPr>
        <w:pStyle w:val="BodyText"/>
        <w:bidi w:val="0"/>
        <w:spacing w:lineRule="auto" w:line="240"/>
        <w:jc w:val="both"/>
        <w:rPr>
          <w:rFonts w:ascii="Times New Roman" w:hAnsi="Times New Roman"/>
        </w:rPr>
      </w:pPr>
      <w:r>
        <w:rPr>
          <w:rFonts w:ascii="Times New Roman" w:hAnsi="Times New Roman"/>
          <w:b/>
        </w:rPr>
        <w:t>TABLE II</w:t>
      </w:r>
      <w:r>
        <w:rPr>
          <w:rFonts w:ascii="Times New Roman" w:hAnsi="Times New Roman"/>
        </w:rPr>
        <w:t> </w:t>
      </w:r>
      <w:r>
        <w:rPr>
          <w:rFonts w:ascii="Times New Roman" w:hAnsi="Times New Roman"/>
          <w:b/>
        </w:rPr>
        <w:t>BINARY DETECTION TEST RESULTS</w:t>
      </w:r>
    </w:p>
    <w:tbl>
      <w:tblPr>
        <w:tblW w:w="5000" w:type="pct"/>
        <w:jc w:val="start"/>
        <w:tblInd w:w="-5" w:type="dxa"/>
        <w:tblLayout w:type="fixed"/>
        <w:tblCellMar>
          <w:top w:w="55" w:type="dxa"/>
          <w:start w:w="55" w:type="dxa"/>
          <w:bottom w:w="55" w:type="dxa"/>
          <w:end w:w="55" w:type="dxa"/>
        </w:tblCellMar>
      </w:tblPr>
      <w:tblGrid>
        <w:gridCol w:w="1761"/>
        <w:gridCol w:w="1734"/>
        <w:gridCol w:w="1233"/>
        <w:gridCol w:w="3455"/>
        <w:gridCol w:w="1455"/>
      </w:tblGrid>
      <w:tr>
        <w:trPr>
          <w:tblHeader w:val="true"/>
        </w:trPr>
        <w:tc>
          <w:tcPr>
            <w:tcW w:w="1761" w:type="dxa"/>
            <w:tcBorders>
              <w:top w:val="single" w:sz="4" w:space="0" w:color="000000"/>
              <w:start w:val="single" w:sz="4" w:space="0" w:color="000000"/>
              <w:bottom w:val="single" w:sz="4" w:space="0" w:color="000000"/>
            </w:tcBorders>
          </w:tcPr>
          <w:p>
            <w:pPr>
              <w:pStyle w:val="TableHeading"/>
              <w:bidi w:val="0"/>
              <w:spacing w:lineRule="auto" w:line="240"/>
              <w:jc w:val="both"/>
              <w:rPr>
                <w:rFonts w:ascii="Times New Roman" w:hAnsi="Times New Roman"/>
              </w:rPr>
            </w:pPr>
            <w:r>
              <w:rPr>
                <w:rFonts w:ascii="Times New Roman" w:hAnsi="Times New Roman"/>
              </w:rPr>
              <w:t>Model</w:t>
            </w:r>
          </w:p>
        </w:tc>
        <w:tc>
          <w:tcPr>
            <w:tcW w:w="1734" w:type="dxa"/>
            <w:tcBorders>
              <w:top w:val="single" w:sz="4" w:space="0" w:color="000000"/>
              <w:start w:val="single" w:sz="4" w:space="0" w:color="000000"/>
              <w:bottom w:val="single" w:sz="4" w:space="0" w:color="000000"/>
            </w:tcBorders>
          </w:tcPr>
          <w:p>
            <w:pPr>
              <w:pStyle w:val="TableHeading"/>
              <w:bidi w:val="0"/>
              <w:spacing w:lineRule="auto" w:line="240"/>
              <w:jc w:val="both"/>
              <w:rPr>
                <w:rFonts w:ascii="Times New Roman" w:hAnsi="Times New Roman"/>
              </w:rPr>
            </w:pPr>
            <w:r>
              <w:rPr>
                <w:rFonts w:ascii="Times New Roman" w:hAnsi="Times New Roman"/>
              </w:rPr>
              <w:t>Test Accuracy</w:t>
            </w:r>
          </w:p>
        </w:tc>
        <w:tc>
          <w:tcPr>
            <w:tcW w:w="1233" w:type="dxa"/>
            <w:tcBorders>
              <w:top w:val="single" w:sz="4" w:space="0" w:color="000000"/>
              <w:start w:val="single" w:sz="4" w:space="0" w:color="000000"/>
              <w:bottom w:val="single" w:sz="4" w:space="0" w:color="000000"/>
            </w:tcBorders>
          </w:tcPr>
          <w:p>
            <w:pPr>
              <w:pStyle w:val="TableHeading"/>
              <w:bidi w:val="0"/>
              <w:spacing w:lineRule="auto" w:line="240"/>
              <w:jc w:val="both"/>
              <w:rPr>
                <w:rFonts w:ascii="Times New Roman" w:hAnsi="Times New Roman"/>
              </w:rPr>
            </w:pPr>
            <w:r>
              <w:rPr>
                <w:rFonts w:ascii="Times New Roman" w:hAnsi="Times New Roman"/>
              </w:rPr>
              <w:t>Test AUC</w:t>
            </w:r>
          </w:p>
        </w:tc>
        <w:tc>
          <w:tcPr>
            <w:tcW w:w="3455" w:type="dxa"/>
            <w:tcBorders>
              <w:top w:val="single" w:sz="4" w:space="0" w:color="000000"/>
              <w:start w:val="single" w:sz="4" w:space="0" w:color="000000"/>
              <w:bottom w:val="single" w:sz="4" w:space="0" w:color="000000"/>
            </w:tcBorders>
          </w:tcPr>
          <w:p>
            <w:pPr>
              <w:pStyle w:val="TableHeading"/>
              <w:bidi w:val="0"/>
              <w:spacing w:lineRule="auto" w:line="240"/>
              <w:jc w:val="both"/>
              <w:rPr>
                <w:rFonts w:ascii="Times New Roman" w:hAnsi="Times New Roman"/>
              </w:rPr>
            </w:pPr>
            <w:r>
              <w:rPr>
                <w:rFonts w:ascii="Times New Roman" w:hAnsi="Times New Roman"/>
              </w:rPr>
              <w:t>Best Validation AUC (Epoch)</w:t>
            </w:r>
          </w:p>
        </w:tc>
        <w:tc>
          <w:tcPr>
            <w:tcW w:w="1455" w:type="dxa"/>
            <w:tcBorders>
              <w:top w:val="single" w:sz="4" w:space="0" w:color="000000"/>
              <w:start w:val="single" w:sz="4" w:space="0" w:color="000000"/>
              <w:bottom w:val="single" w:sz="4" w:space="0" w:color="000000"/>
              <w:end w:val="single" w:sz="4" w:space="0" w:color="000000"/>
            </w:tcBorders>
          </w:tcPr>
          <w:p>
            <w:pPr>
              <w:pStyle w:val="TableHeading"/>
              <w:bidi w:val="0"/>
              <w:spacing w:lineRule="auto" w:line="240"/>
              <w:jc w:val="both"/>
              <w:rPr>
                <w:rFonts w:ascii="Times New Roman" w:hAnsi="Times New Roman"/>
              </w:rPr>
            </w:pPr>
            <w:r>
              <w:rPr>
                <w:rFonts w:ascii="Times New Roman" w:hAnsi="Times New Roman"/>
              </w:rPr>
              <w:t>Parameters</w:t>
            </w:r>
          </w:p>
        </w:tc>
      </w:tr>
      <w:tr>
        <w:trPr/>
        <w:tc>
          <w:tcPr>
            <w:tcW w:w="1761"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InceptionV3</w:t>
            </w:r>
          </w:p>
        </w:tc>
        <w:tc>
          <w:tcPr>
            <w:tcW w:w="1734"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99.39%</w:t>
            </w:r>
          </w:p>
        </w:tc>
        <w:tc>
          <w:tcPr>
            <w:tcW w:w="1233"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1.0000</w:t>
            </w:r>
          </w:p>
        </w:tc>
        <w:tc>
          <w:tcPr>
            <w:tcW w:w="3455"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0.9999 (Epoch 2)</w:t>
            </w:r>
          </w:p>
        </w:tc>
        <w:tc>
          <w:tcPr>
            <w:tcW w:w="1455" w:type="dxa"/>
            <w:tcBorders>
              <w:start w:val="single" w:sz="4" w:space="0" w:color="000000"/>
              <w:bottom w:val="single" w:sz="4" w:space="0" w:color="000000"/>
              <w:end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23.9M</w:t>
            </w:r>
          </w:p>
        </w:tc>
      </w:tr>
      <w:tr>
        <w:trPr/>
        <w:tc>
          <w:tcPr>
            <w:tcW w:w="1761"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CoaTNet-0</w:t>
            </w:r>
          </w:p>
        </w:tc>
        <w:tc>
          <w:tcPr>
            <w:tcW w:w="1734"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99.59%</w:t>
            </w:r>
          </w:p>
        </w:tc>
        <w:tc>
          <w:tcPr>
            <w:tcW w:w="1233"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1.0000</w:t>
            </w:r>
          </w:p>
        </w:tc>
        <w:tc>
          <w:tcPr>
            <w:tcW w:w="3455"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0.9999 (Epoch 7)</w:t>
            </w:r>
          </w:p>
        </w:tc>
        <w:tc>
          <w:tcPr>
            <w:tcW w:w="1455" w:type="dxa"/>
            <w:tcBorders>
              <w:start w:val="single" w:sz="4" w:space="0" w:color="000000"/>
              <w:bottom w:val="single" w:sz="4" w:space="0" w:color="000000"/>
              <w:end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~10M</w:t>
            </w:r>
          </w:p>
        </w:tc>
      </w:tr>
      <w:tr>
        <w:trPr/>
        <w:tc>
          <w:tcPr>
            <w:tcW w:w="1761"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EfficientNetB0</w:t>
            </w:r>
          </w:p>
        </w:tc>
        <w:tc>
          <w:tcPr>
            <w:tcW w:w="1734"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99.59%</w:t>
            </w:r>
          </w:p>
        </w:tc>
        <w:tc>
          <w:tcPr>
            <w:tcW w:w="1233"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0.9999</w:t>
            </w:r>
          </w:p>
        </w:tc>
        <w:tc>
          <w:tcPr>
            <w:tcW w:w="3455"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0.9999 (Epoch 4)</w:t>
            </w:r>
          </w:p>
        </w:tc>
        <w:tc>
          <w:tcPr>
            <w:tcW w:w="1455" w:type="dxa"/>
            <w:tcBorders>
              <w:start w:val="single" w:sz="4" w:space="0" w:color="000000"/>
              <w:bottom w:val="single" w:sz="4" w:space="0" w:color="000000"/>
              <w:end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5.3M</w:t>
            </w:r>
          </w:p>
        </w:tc>
      </w:tr>
      <w:tr>
        <w:trPr/>
        <w:tc>
          <w:tcPr>
            <w:tcW w:w="1761"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DenseNet121</w:t>
            </w:r>
          </w:p>
        </w:tc>
        <w:tc>
          <w:tcPr>
            <w:tcW w:w="1734"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97.95%</w:t>
            </w:r>
          </w:p>
        </w:tc>
        <w:tc>
          <w:tcPr>
            <w:tcW w:w="1233"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0.9999</w:t>
            </w:r>
          </w:p>
        </w:tc>
        <w:tc>
          <w:tcPr>
            <w:tcW w:w="3455"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1.0000 (Epoch 1)</w:t>
            </w:r>
          </w:p>
        </w:tc>
        <w:tc>
          <w:tcPr>
            <w:tcW w:w="1455" w:type="dxa"/>
            <w:tcBorders>
              <w:start w:val="single" w:sz="4" w:space="0" w:color="000000"/>
              <w:bottom w:val="single" w:sz="4" w:space="0" w:color="000000"/>
              <w:end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8.0M</w:t>
            </w:r>
          </w:p>
        </w:tc>
      </w:tr>
      <w:tr>
        <w:trPr/>
        <w:tc>
          <w:tcPr>
            <w:tcW w:w="1761"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ResNet50</w:t>
            </w:r>
          </w:p>
        </w:tc>
        <w:tc>
          <w:tcPr>
            <w:tcW w:w="1734"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99.39%</w:t>
            </w:r>
          </w:p>
        </w:tc>
        <w:tc>
          <w:tcPr>
            <w:tcW w:w="1233"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0.9999</w:t>
            </w:r>
          </w:p>
        </w:tc>
        <w:tc>
          <w:tcPr>
            <w:tcW w:w="3455"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0.9999 (Epoch 6)</w:t>
            </w:r>
          </w:p>
        </w:tc>
        <w:tc>
          <w:tcPr>
            <w:tcW w:w="1455" w:type="dxa"/>
            <w:tcBorders>
              <w:start w:val="single" w:sz="4" w:space="0" w:color="000000"/>
              <w:bottom w:val="single" w:sz="4" w:space="0" w:color="000000"/>
              <w:end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25.6M</w:t>
            </w:r>
          </w:p>
        </w:tc>
      </w:tr>
      <w:tr>
        <w:trPr/>
        <w:tc>
          <w:tcPr>
            <w:tcW w:w="1761"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Swin Base</w:t>
            </w:r>
          </w:p>
        </w:tc>
        <w:tc>
          <w:tcPr>
            <w:tcW w:w="1734"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98.16%</w:t>
            </w:r>
          </w:p>
        </w:tc>
        <w:tc>
          <w:tcPr>
            <w:tcW w:w="1233"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0.9990</w:t>
            </w:r>
          </w:p>
        </w:tc>
        <w:tc>
          <w:tcPr>
            <w:tcW w:w="3455"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0.9988 (Epoch 6)</w:t>
            </w:r>
          </w:p>
        </w:tc>
        <w:tc>
          <w:tcPr>
            <w:tcW w:w="1455" w:type="dxa"/>
            <w:tcBorders>
              <w:start w:val="single" w:sz="4" w:space="0" w:color="000000"/>
              <w:bottom w:val="single" w:sz="4" w:space="0" w:color="000000"/>
              <w:end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88M</w:t>
            </w:r>
          </w:p>
        </w:tc>
      </w:tr>
      <w:tr>
        <w:trPr/>
        <w:tc>
          <w:tcPr>
            <w:tcW w:w="1761"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MobileNetV3</w:t>
            </w:r>
          </w:p>
        </w:tc>
        <w:tc>
          <w:tcPr>
            <w:tcW w:w="1734"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91.39%</w:t>
            </w:r>
          </w:p>
        </w:tc>
        <w:tc>
          <w:tcPr>
            <w:tcW w:w="1233"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0.9982</w:t>
            </w:r>
          </w:p>
        </w:tc>
        <w:tc>
          <w:tcPr>
            <w:tcW w:w="3455"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0.9993 (Epoch 10)</w:t>
            </w:r>
          </w:p>
        </w:tc>
        <w:tc>
          <w:tcPr>
            <w:tcW w:w="1455" w:type="dxa"/>
            <w:tcBorders>
              <w:start w:val="single" w:sz="4" w:space="0" w:color="000000"/>
              <w:bottom w:val="single" w:sz="4" w:space="0" w:color="000000"/>
              <w:end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5.4M</w:t>
            </w:r>
          </w:p>
        </w:tc>
      </w:tr>
      <w:tr>
        <w:trPr/>
        <w:tc>
          <w:tcPr>
            <w:tcW w:w="1761"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ViT-B/16</w:t>
            </w:r>
          </w:p>
        </w:tc>
        <w:tc>
          <w:tcPr>
            <w:tcW w:w="1734"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95.08%</w:t>
            </w:r>
          </w:p>
        </w:tc>
        <w:tc>
          <w:tcPr>
            <w:tcW w:w="1233"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0.9861</w:t>
            </w:r>
          </w:p>
        </w:tc>
        <w:tc>
          <w:tcPr>
            <w:tcW w:w="3455"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0.9897 (Epoch 10)</w:t>
            </w:r>
          </w:p>
        </w:tc>
        <w:tc>
          <w:tcPr>
            <w:tcW w:w="1455" w:type="dxa"/>
            <w:tcBorders>
              <w:start w:val="single" w:sz="4" w:space="0" w:color="000000"/>
              <w:bottom w:val="single" w:sz="4" w:space="0" w:color="000000"/>
              <w:end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86M</w:t>
            </w:r>
          </w:p>
        </w:tc>
      </w:tr>
      <w:tr>
        <w:trPr/>
        <w:tc>
          <w:tcPr>
            <w:tcW w:w="1761"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VGG16</w:t>
            </w:r>
          </w:p>
        </w:tc>
        <w:tc>
          <w:tcPr>
            <w:tcW w:w="1734"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83.20%</w:t>
            </w:r>
          </w:p>
        </w:tc>
        <w:tc>
          <w:tcPr>
            <w:tcW w:w="1233"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0.9247</w:t>
            </w:r>
          </w:p>
        </w:tc>
        <w:tc>
          <w:tcPr>
            <w:tcW w:w="3455"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0.9343 (Epoch 10)</w:t>
            </w:r>
          </w:p>
        </w:tc>
        <w:tc>
          <w:tcPr>
            <w:tcW w:w="1455" w:type="dxa"/>
            <w:tcBorders>
              <w:start w:val="single" w:sz="4" w:space="0" w:color="000000"/>
              <w:bottom w:val="single" w:sz="4" w:space="0" w:color="000000"/>
              <w:end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138M</w:t>
            </w:r>
          </w:p>
        </w:tc>
      </w:tr>
    </w:tbl>
    <w:p>
      <w:pPr>
        <w:pStyle w:val="BodyText"/>
        <w:bidi w:val="0"/>
        <w:spacing w:lineRule="auto" w:line="240"/>
        <w:jc w:val="both"/>
        <w:rPr>
          <w:rFonts w:ascii="Times New Roman" w:hAnsi="Times New Roman"/>
        </w:rPr>
      </w:pPr>
      <w:r>
        <w:rPr>
          <w:rFonts w:ascii="Times New Roman" w:hAnsi="Times New Roman"/>
        </w:rPr>
      </w:r>
    </w:p>
    <w:p>
      <w:pPr>
        <w:pStyle w:val="Heading4"/>
        <w:bidi w:val="0"/>
        <w:spacing w:lineRule="auto" w:line="240"/>
        <w:ind w:hanging="0" w:start="0"/>
        <w:jc w:val="both"/>
        <w:rPr>
          <w:rFonts w:ascii="Times New Roman" w:hAnsi="Times New Roman"/>
        </w:rPr>
      </w:pPr>
      <w:r>
        <w:rPr>
          <w:rFonts w:ascii="Times New Roman" w:hAnsi="Times New Roman"/>
        </w:rPr>
        <w:t>4.1.2 Training Progression Analysis</w:t>
      </w:r>
    </w:p>
    <w:p>
      <w:pPr>
        <w:pStyle w:val="BodyText"/>
        <w:bidi w:val="0"/>
        <w:spacing w:lineRule="auto" w:line="240"/>
        <w:jc w:val="both"/>
        <w:rPr>
          <w:rFonts w:ascii="Times New Roman" w:hAnsi="Times New Roman"/>
        </w:rPr>
      </w:pPr>
      <w:r>
        <w:rPr>
          <w:rFonts w:ascii="Times New Roman" w:hAnsi="Times New Roman"/>
          <w:b/>
        </w:rPr>
        <w:t>InceptionV3</w:t>
      </w:r>
      <w:r>
        <w:rPr>
          <w:rFonts w:ascii="Times New Roman" w:hAnsi="Times New Roman"/>
        </w:rPr>
        <w:t xml:space="preserve"> demonstrated exceptionally rapid convergence. At Epoch 1, training accuracy reached 89.80% with validation AUC of 0.9997. By Epoch 2, training accuracy improved to 99.22% with validation AUC of 0.9999, which remained the best validation performance. Final test results showed 99.39% accuracy with perfect AUC of 1.0000.</w:t>
      </w:r>
    </w:p>
    <w:p>
      <w:pPr>
        <w:pStyle w:val="BodyText"/>
        <w:bidi w:val="0"/>
        <w:spacing w:lineRule="auto" w:line="240"/>
        <w:jc w:val="both"/>
        <w:rPr>
          <w:rFonts w:ascii="Times New Roman" w:hAnsi="Times New Roman"/>
        </w:rPr>
      </w:pPr>
      <w:r>
        <w:rPr>
          <w:rFonts w:ascii="Times New Roman" w:hAnsi="Times New Roman"/>
          <w:b/>
        </w:rPr>
        <w:t>CoaTNet-0</w:t>
      </w:r>
      <w:r>
        <w:rPr>
          <w:rFonts w:ascii="Times New Roman" w:hAnsi="Times New Roman"/>
        </w:rPr>
        <w:t xml:space="preserve"> showed steady improvement over 7 epochs. Starting from Epoch 1 with training accuracy of 65.27% and validation AUC of 0.8437, the model progressively improved through Epoch 2 (87.90%, AUC 0.9911), Epoch 3 (95.49%, AUC 0.9972), Epoch 5 (99.02%, AUC 0.9983), Epoch 6 (99.11%, AUC 0.9996), and reached best validation at Epoch 7 (99.78% training accuracy, validation AUC 0.9999). Final test accuracy was 99.59% with perfect AUC.</w:t>
      </w:r>
    </w:p>
    <w:p>
      <w:pPr>
        <w:pStyle w:val="BodyText"/>
        <w:bidi w:val="0"/>
        <w:spacing w:lineRule="auto" w:line="240"/>
        <w:jc w:val="both"/>
        <w:rPr>
          <w:rFonts w:ascii="Times New Roman" w:hAnsi="Times New Roman"/>
        </w:rPr>
      </w:pPr>
      <w:r>
        <w:rPr>
          <w:rFonts w:ascii="Times New Roman" w:hAnsi="Times New Roman"/>
          <w:b/>
        </w:rPr>
        <w:t>EfficientNetB0</w:t>
      </w:r>
      <w:r>
        <w:rPr>
          <w:rFonts w:ascii="Times New Roman" w:hAnsi="Times New Roman"/>
        </w:rPr>
        <w:t xml:space="preserve"> converged rapidly, reaching best validation by Epoch 4. Starting at Epoch 1 with 78.47% training accuracy and validation AUC of 0.9724, the model progressed to Epoch 2 (94.38%, AUC 0.9987), Epoch 3 (97.95%, AUC 0.9998), and Epoch 4 (99.37% training accuracy, validation AUC 0.9999). Final test accuracy was 99.59% with AUC of 0.9999.</w:t>
      </w:r>
    </w:p>
    <w:p>
      <w:pPr>
        <w:pStyle w:val="BodyText"/>
        <w:bidi w:val="0"/>
        <w:spacing w:lineRule="auto" w:line="240"/>
        <w:jc w:val="both"/>
        <w:rPr>
          <w:rFonts w:ascii="Times New Roman" w:hAnsi="Times New Roman"/>
        </w:rPr>
      </w:pPr>
      <w:r>
        <w:rPr>
          <w:rFonts w:ascii="Times New Roman" w:hAnsi="Times New Roman"/>
          <w:b/>
        </w:rPr>
        <w:t>DenseNet121</w:t>
      </w:r>
      <w:r>
        <w:rPr>
          <w:rFonts w:ascii="Times New Roman" w:hAnsi="Times New Roman"/>
        </w:rPr>
        <w:t xml:space="preserve"> showed interesting behaviour with best validation achieved at Epoch 1 (93.48% training accuracy, validation AUC of 1.0000). This immediate peak suggests potential overfitting, though final test performance remained strong at 97.95% accuracy with AUC of 0.9999.</w:t>
      </w:r>
    </w:p>
    <w:p>
      <w:pPr>
        <w:pStyle w:val="BodyText"/>
        <w:bidi w:val="0"/>
        <w:spacing w:lineRule="auto" w:line="240"/>
        <w:jc w:val="both"/>
        <w:rPr>
          <w:rFonts w:ascii="Times New Roman" w:hAnsi="Times New Roman"/>
        </w:rPr>
      </w:pPr>
      <w:r>
        <w:rPr>
          <w:rFonts w:ascii="Times New Roman" w:hAnsi="Times New Roman"/>
          <w:b/>
        </w:rPr>
        <w:t>ResNet50</w:t>
      </w:r>
      <w:r>
        <w:rPr>
          <w:rFonts w:ascii="Times New Roman" w:hAnsi="Times New Roman"/>
        </w:rPr>
        <w:t xml:space="preserve"> demonstrated stable improvement over 6 epochs, starting at Epoch 1 (82.91% training accuracy, validation AUC 0.9832) and progressing to best validation at Epoch 6 (99.80% training accuracy, validation AUC 0.9999). Final test accuracy was 99.39% with AUC of 0.9999.</w:t>
      </w:r>
    </w:p>
    <w:p>
      <w:pPr>
        <w:pStyle w:val="BodyText"/>
        <w:bidi w:val="0"/>
        <w:spacing w:lineRule="auto" w:line="240"/>
        <w:jc w:val="both"/>
        <w:rPr>
          <w:rFonts w:ascii="Times New Roman" w:hAnsi="Times New Roman"/>
        </w:rPr>
      </w:pPr>
      <w:r>
        <w:rPr>
          <w:rFonts w:ascii="Times New Roman" w:hAnsi="Times New Roman"/>
          <w:b/>
        </w:rPr>
        <w:t>Swin Base</w:t>
      </w:r>
      <w:r>
        <w:rPr>
          <w:rFonts w:ascii="Times New Roman" w:hAnsi="Times New Roman"/>
        </w:rPr>
        <w:t xml:space="preserve"> required more epochs to converge, showing progressive improvement from Epoch 1 (61.25% training accuracy, AUC 0.7959) through Epoch 4 (85.71%, AUC 0.9777), Epoch 5 (93.13%, AUC 0.9849), and reaching best validation at Epoch 6 (96.65% training accuracy, validation AUC 0.9988). Final test accuracy was 98.16% with AUC of 0.9990.</w:t>
      </w:r>
    </w:p>
    <w:p>
      <w:pPr>
        <w:pStyle w:val="BodyText"/>
        <w:bidi w:val="0"/>
        <w:spacing w:lineRule="auto" w:line="240"/>
        <w:jc w:val="both"/>
        <w:rPr>
          <w:rFonts w:ascii="Times New Roman" w:hAnsi="Times New Roman"/>
        </w:rPr>
      </w:pPr>
      <w:r>
        <w:rPr>
          <w:rFonts w:ascii="Times New Roman" w:hAnsi="Times New Roman"/>
          <w:b/>
        </w:rPr>
        <w:t>MobileNetV3</w:t>
      </w:r>
      <w:r>
        <w:rPr>
          <w:rFonts w:ascii="Times New Roman" w:hAnsi="Times New Roman"/>
        </w:rPr>
        <w:t xml:space="preserve"> showed training instability with a large gap between training and validation performance. Best validation AUC of 0.9993 was achieved at Epoch 10 despite 99.90% training accuracy, but test accuracy dropped to 91.39%, indicating poor generalisation.</w:t>
      </w:r>
    </w:p>
    <w:p>
      <w:pPr>
        <w:pStyle w:val="BodyText"/>
        <w:bidi w:val="0"/>
        <w:spacing w:lineRule="auto" w:line="240"/>
        <w:jc w:val="both"/>
        <w:rPr>
          <w:rFonts w:ascii="Times New Roman" w:hAnsi="Times New Roman"/>
        </w:rPr>
      </w:pPr>
      <w:r>
        <w:rPr>
          <w:rFonts w:ascii="Times New Roman" w:hAnsi="Times New Roman"/>
          <w:b/>
        </w:rPr>
        <w:t>ViT-B/16</w:t>
      </w:r>
      <w:r>
        <w:rPr>
          <w:rFonts w:ascii="Times New Roman" w:hAnsi="Times New Roman"/>
        </w:rPr>
        <w:t xml:space="preserve"> demonstrated the slowest convergence among all models, requiring the full 10 epochs to reach best validation. Starting at Epoch 1 (60.06% training accuracy, AUC 0.7205), the model steadily improved to Epoch 10 (94.30% training accuracy, validation AUC 0.9897). Final test accuracy was 95.08% with AUC of 0.9861.</w:t>
      </w:r>
    </w:p>
    <w:p>
      <w:pPr>
        <w:pStyle w:val="BodyText"/>
        <w:bidi w:val="0"/>
        <w:spacing w:lineRule="auto" w:line="240"/>
        <w:jc w:val="both"/>
        <w:rPr>
          <w:rFonts w:ascii="Times New Roman" w:hAnsi="Times New Roman"/>
        </w:rPr>
      </w:pPr>
      <w:r>
        <w:rPr>
          <w:rFonts w:ascii="Times New Roman" w:hAnsi="Times New Roman"/>
          <w:b/>
        </w:rPr>
        <w:t>VGG16</w:t>
      </w:r>
      <w:r>
        <w:rPr>
          <w:rFonts w:ascii="Times New Roman" w:hAnsi="Times New Roman"/>
        </w:rPr>
        <w:t xml:space="preserve"> showed the poorest performance, with slow convergence and final test accuracy of only 83.20% with AUC of 0.9247, confirming that this classical architecture is unsuitable for medical imaging applications given modern alternatives.</w:t>
      </w:r>
    </w:p>
    <w:p>
      <w:pPr>
        <w:pStyle w:val="Heading3"/>
        <w:bidi w:val="0"/>
        <w:spacing w:lineRule="auto" w:line="240"/>
        <w:ind w:hanging="0" w:start="0"/>
        <w:jc w:val="both"/>
        <w:rPr>
          <w:rFonts w:ascii="Times New Roman" w:hAnsi="Times New Roman"/>
        </w:rPr>
      </w:pPr>
      <w:r>
        <w:rPr>
          <w:rFonts w:ascii="Times New Roman" w:hAnsi="Times New Roman"/>
        </w:rPr>
        <w:t>4.2 Multi-Class Classification Task Performance</w:t>
      </w:r>
    </w:p>
    <w:p>
      <w:pPr>
        <w:pStyle w:val="Heading4"/>
        <w:bidi w:val="0"/>
        <w:spacing w:lineRule="auto" w:line="240"/>
        <w:ind w:hanging="0" w:start="0"/>
        <w:jc w:val="both"/>
        <w:rPr>
          <w:rFonts w:ascii="Times New Roman" w:hAnsi="Times New Roman"/>
        </w:rPr>
      </w:pPr>
      <w:r>
        <w:rPr>
          <w:rFonts w:ascii="Times New Roman" w:hAnsi="Times New Roman"/>
        </w:rPr>
        <w:t>4.2.1 Final Test Results</w:t>
      </w:r>
    </w:p>
    <w:p>
      <w:pPr>
        <w:pStyle w:val="BodyText"/>
        <w:bidi w:val="0"/>
        <w:spacing w:lineRule="auto" w:line="240"/>
        <w:jc w:val="both"/>
        <w:rPr>
          <w:rFonts w:ascii="Times New Roman" w:hAnsi="Times New Roman"/>
        </w:rPr>
      </w:pPr>
      <w:r>
        <w:rPr>
          <w:rFonts w:ascii="Times New Roman" w:hAnsi="Times New Roman"/>
        </w:rPr>
        <w:t>TABLE III presents the final test results for the multi-class brain tumour classification task.</w:t>
      </w:r>
    </w:p>
    <w:p>
      <w:pPr>
        <w:pStyle w:val="BodyText"/>
        <w:bidi w:val="0"/>
        <w:spacing w:lineRule="auto" w:line="240"/>
        <w:jc w:val="both"/>
        <w:rPr>
          <w:rFonts w:ascii="Times New Roman" w:hAnsi="Times New Roman"/>
        </w:rPr>
      </w:pPr>
      <w:r>
        <w:rPr>
          <w:rFonts w:ascii="Times New Roman" w:hAnsi="Times New Roman"/>
          <w:b/>
        </w:rPr>
        <w:t>TABLE III</w:t>
      </w:r>
      <w:r>
        <w:rPr>
          <w:rFonts w:ascii="Times New Roman" w:hAnsi="Times New Roman"/>
        </w:rPr>
        <w:t> </w:t>
      </w:r>
      <w:r>
        <w:rPr>
          <w:rFonts w:ascii="Times New Roman" w:hAnsi="Times New Roman"/>
          <w:b/>
        </w:rPr>
        <w:t>MULTI-CLASS CLASSIFICATION TEST RESULTS</w:t>
      </w:r>
    </w:p>
    <w:tbl>
      <w:tblPr>
        <w:tblW w:w="5000" w:type="pct"/>
        <w:jc w:val="start"/>
        <w:tblInd w:w="-5" w:type="dxa"/>
        <w:tblLayout w:type="fixed"/>
        <w:tblCellMar>
          <w:top w:w="55" w:type="dxa"/>
          <w:start w:w="55" w:type="dxa"/>
          <w:bottom w:w="55" w:type="dxa"/>
          <w:end w:w="55" w:type="dxa"/>
        </w:tblCellMar>
      </w:tblPr>
      <w:tblGrid>
        <w:gridCol w:w="2302"/>
        <w:gridCol w:w="2267"/>
        <w:gridCol w:w="1554"/>
        <w:gridCol w:w="1612"/>
        <w:gridCol w:w="1903"/>
      </w:tblGrid>
      <w:tr>
        <w:trPr>
          <w:tblHeader w:val="true"/>
        </w:trPr>
        <w:tc>
          <w:tcPr>
            <w:tcW w:w="2302" w:type="dxa"/>
            <w:tcBorders>
              <w:top w:val="single" w:sz="4" w:space="0" w:color="000000"/>
              <w:start w:val="single" w:sz="4" w:space="0" w:color="000000"/>
              <w:bottom w:val="single" w:sz="4" w:space="0" w:color="000000"/>
            </w:tcBorders>
          </w:tcPr>
          <w:p>
            <w:pPr>
              <w:pStyle w:val="TableHeading"/>
              <w:bidi w:val="0"/>
              <w:spacing w:lineRule="auto" w:line="240"/>
              <w:jc w:val="both"/>
              <w:rPr>
                <w:rFonts w:ascii="Times New Roman" w:hAnsi="Times New Roman"/>
              </w:rPr>
            </w:pPr>
            <w:r>
              <w:rPr>
                <w:rFonts w:ascii="Times New Roman" w:hAnsi="Times New Roman"/>
              </w:rPr>
              <w:t>Model</w:t>
            </w:r>
          </w:p>
        </w:tc>
        <w:tc>
          <w:tcPr>
            <w:tcW w:w="2267" w:type="dxa"/>
            <w:tcBorders>
              <w:top w:val="single" w:sz="4" w:space="0" w:color="000000"/>
              <w:start w:val="single" w:sz="4" w:space="0" w:color="000000"/>
              <w:bottom w:val="single" w:sz="4" w:space="0" w:color="000000"/>
            </w:tcBorders>
          </w:tcPr>
          <w:p>
            <w:pPr>
              <w:pStyle w:val="TableHeading"/>
              <w:bidi w:val="0"/>
              <w:spacing w:lineRule="auto" w:line="240"/>
              <w:jc w:val="both"/>
              <w:rPr>
                <w:rFonts w:ascii="Times New Roman" w:hAnsi="Times New Roman"/>
              </w:rPr>
            </w:pPr>
            <w:r>
              <w:rPr>
                <w:rFonts w:ascii="Times New Roman" w:hAnsi="Times New Roman"/>
              </w:rPr>
              <w:t>Test Accuracy</w:t>
            </w:r>
          </w:p>
        </w:tc>
        <w:tc>
          <w:tcPr>
            <w:tcW w:w="1554" w:type="dxa"/>
            <w:tcBorders>
              <w:top w:val="single" w:sz="4" w:space="0" w:color="000000"/>
              <w:start w:val="single" w:sz="4" w:space="0" w:color="000000"/>
              <w:bottom w:val="single" w:sz="4" w:space="0" w:color="000000"/>
            </w:tcBorders>
          </w:tcPr>
          <w:p>
            <w:pPr>
              <w:pStyle w:val="TableHeading"/>
              <w:bidi w:val="0"/>
              <w:spacing w:lineRule="auto" w:line="240"/>
              <w:jc w:val="both"/>
              <w:rPr>
                <w:rFonts w:ascii="Times New Roman" w:hAnsi="Times New Roman"/>
              </w:rPr>
            </w:pPr>
            <w:r>
              <w:rPr>
                <w:rFonts w:ascii="Times New Roman" w:hAnsi="Times New Roman"/>
              </w:rPr>
              <w:t>Test Loss</w:t>
            </w:r>
          </w:p>
        </w:tc>
        <w:tc>
          <w:tcPr>
            <w:tcW w:w="1612" w:type="dxa"/>
            <w:tcBorders>
              <w:top w:val="single" w:sz="4" w:space="0" w:color="000000"/>
              <w:start w:val="single" w:sz="4" w:space="0" w:color="000000"/>
              <w:bottom w:val="single" w:sz="4" w:space="0" w:color="000000"/>
            </w:tcBorders>
          </w:tcPr>
          <w:p>
            <w:pPr>
              <w:pStyle w:val="TableHeading"/>
              <w:bidi w:val="0"/>
              <w:spacing w:lineRule="auto" w:line="240"/>
              <w:jc w:val="both"/>
              <w:rPr>
                <w:rFonts w:ascii="Times New Roman" w:hAnsi="Times New Roman"/>
              </w:rPr>
            </w:pPr>
            <w:r>
              <w:rPr>
                <w:rFonts w:ascii="Times New Roman" w:hAnsi="Times New Roman"/>
              </w:rPr>
              <w:t>Test AUC</w:t>
            </w:r>
          </w:p>
        </w:tc>
        <w:tc>
          <w:tcPr>
            <w:tcW w:w="1903" w:type="dxa"/>
            <w:tcBorders>
              <w:top w:val="single" w:sz="4" w:space="0" w:color="000000"/>
              <w:start w:val="single" w:sz="4" w:space="0" w:color="000000"/>
              <w:bottom w:val="single" w:sz="4" w:space="0" w:color="000000"/>
              <w:end w:val="single" w:sz="4" w:space="0" w:color="000000"/>
            </w:tcBorders>
          </w:tcPr>
          <w:p>
            <w:pPr>
              <w:pStyle w:val="TableHeading"/>
              <w:bidi w:val="0"/>
              <w:spacing w:lineRule="auto" w:line="240"/>
              <w:jc w:val="both"/>
              <w:rPr>
                <w:rFonts w:ascii="Times New Roman" w:hAnsi="Times New Roman"/>
              </w:rPr>
            </w:pPr>
            <w:r>
              <w:rPr>
                <w:rFonts w:ascii="Times New Roman" w:hAnsi="Times New Roman"/>
              </w:rPr>
              <w:t>Parameters</w:t>
            </w:r>
          </w:p>
        </w:tc>
      </w:tr>
      <w:tr>
        <w:trPr/>
        <w:tc>
          <w:tcPr>
            <w:tcW w:w="2302"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InceptionV3</w:t>
            </w:r>
          </w:p>
        </w:tc>
        <w:tc>
          <w:tcPr>
            <w:tcW w:w="2267"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98.58%</w:t>
            </w:r>
          </w:p>
        </w:tc>
        <w:tc>
          <w:tcPr>
            <w:tcW w:w="1554"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0.0389</w:t>
            </w:r>
          </w:p>
        </w:tc>
        <w:tc>
          <w:tcPr>
            <w:tcW w:w="1612"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0.9995</w:t>
            </w:r>
          </w:p>
        </w:tc>
        <w:tc>
          <w:tcPr>
            <w:tcW w:w="1903" w:type="dxa"/>
            <w:tcBorders>
              <w:start w:val="single" w:sz="4" w:space="0" w:color="000000"/>
              <w:bottom w:val="single" w:sz="4" w:space="0" w:color="000000"/>
              <w:end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27.2M</w:t>
            </w:r>
          </w:p>
        </w:tc>
      </w:tr>
      <w:tr>
        <w:trPr/>
        <w:tc>
          <w:tcPr>
            <w:tcW w:w="2302"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Swin-Base</w:t>
            </w:r>
          </w:p>
        </w:tc>
        <w:tc>
          <w:tcPr>
            <w:tcW w:w="2267"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98.58%</w:t>
            </w:r>
          </w:p>
        </w:tc>
        <w:tc>
          <w:tcPr>
            <w:tcW w:w="1554"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0.0377</w:t>
            </w:r>
          </w:p>
        </w:tc>
        <w:tc>
          <w:tcPr>
            <w:tcW w:w="1612"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0.9993</w:t>
            </w:r>
          </w:p>
        </w:tc>
        <w:tc>
          <w:tcPr>
            <w:tcW w:w="1903" w:type="dxa"/>
            <w:tcBorders>
              <w:start w:val="single" w:sz="4" w:space="0" w:color="000000"/>
              <w:bottom w:val="single" w:sz="4" w:space="0" w:color="000000"/>
              <w:end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86.7M</w:t>
            </w:r>
          </w:p>
        </w:tc>
      </w:tr>
      <w:tr>
        <w:trPr/>
        <w:tc>
          <w:tcPr>
            <w:tcW w:w="2302"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EfficientNetB0</w:t>
            </w:r>
          </w:p>
        </w:tc>
        <w:tc>
          <w:tcPr>
            <w:tcW w:w="2267"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97.59%</w:t>
            </w:r>
          </w:p>
        </w:tc>
        <w:tc>
          <w:tcPr>
            <w:tcW w:w="1554"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0.0582</w:t>
            </w:r>
          </w:p>
        </w:tc>
        <w:tc>
          <w:tcPr>
            <w:tcW w:w="1612"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0.9987</w:t>
            </w:r>
          </w:p>
        </w:tc>
        <w:tc>
          <w:tcPr>
            <w:tcW w:w="1903" w:type="dxa"/>
            <w:tcBorders>
              <w:start w:val="single" w:sz="4" w:space="0" w:color="000000"/>
              <w:bottom w:val="single" w:sz="4" w:space="0" w:color="000000"/>
              <w:end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5.3M</w:t>
            </w:r>
          </w:p>
        </w:tc>
      </w:tr>
      <w:tr>
        <w:trPr/>
        <w:tc>
          <w:tcPr>
            <w:tcW w:w="2302"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CoaTNet-0</w:t>
            </w:r>
          </w:p>
        </w:tc>
        <w:tc>
          <w:tcPr>
            <w:tcW w:w="2267"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97.59%</w:t>
            </w:r>
          </w:p>
        </w:tc>
        <w:tc>
          <w:tcPr>
            <w:tcW w:w="1554"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0.0638</w:t>
            </w:r>
          </w:p>
        </w:tc>
        <w:tc>
          <w:tcPr>
            <w:tcW w:w="1612"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0.9990</w:t>
            </w:r>
          </w:p>
        </w:tc>
        <w:tc>
          <w:tcPr>
            <w:tcW w:w="1903" w:type="dxa"/>
            <w:tcBorders>
              <w:start w:val="single" w:sz="4" w:space="0" w:color="000000"/>
              <w:bottom w:val="single" w:sz="4" w:space="0" w:color="000000"/>
              <w:end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~10M</w:t>
            </w:r>
          </w:p>
        </w:tc>
      </w:tr>
      <w:tr>
        <w:trPr/>
        <w:tc>
          <w:tcPr>
            <w:tcW w:w="2302"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ResNet-50</w:t>
            </w:r>
          </w:p>
        </w:tc>
        <w:tc>
          <w:tcPr>
            <w:tcW w:w="2267"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96.60%</w:t>
            </w:r>
          </w:p>
        </w:tc>
        <w:tc>
          <w:tcPr>
            <w:tcW w:w="1554"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0.0740</w:t>
            </w:r>
          </w:p>
        </w:tc>
        <w:tc>
          <w:tcPr>
            <w:tcW w:w="1612"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0.9990</w:t>
            </w:r>
          </w:p>
        </w:tc>
        <w:tc>
          <w:tcPr>
            <w:tcW w:w="1903" w:type="dxa"/>
            <w:tcBorders>
              <w:start w:val="single" w:sz="4" w:space="0" w:color="000000"/>
              <w:bottom w:val="single" w:sz="4" w:space="0" w:color="000000"/>
              <w:end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25.6M</w:t>
            </w:r>
          </w:p>
        </w:tc>
      </w:tr>
      <w:tr>
        <w:trPr/>
        <w:tc>
          <w:tcPr>
            <w:tcW w:w="2302"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ViT-B/16</w:t>
            </w:r>
          </w:p>
        </w:tc>
        <w:tc>
          <w:tcPr>
            <w:tcW w:w="2267"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89.52%</w:t>
            </w:r>
          </w:p>
        </w:tc>
        <w:tc>
          <w:tcPr>
            <w:tcW w:w="1554"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0.2737</w:t>
            </w:r>
          </w:p>
        </w:tc>
        <w:tc>
          <w:tcPr>
            <w:tcW w:w="1612"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0.9736</w:t>
            </w:r>
          </w:p>
        </w:tc>
        <w:tc>
          <w:tcPr>
            <w:tcW w:w="1903" w:type="dxa"/>
            <w:tcBorders>
              <w:start w:val="single" w:sz="4" w:space="0" w:color="000000"/>
              <w:bottom w:val="single" w:sz="4" w:space="0" w:color="000000"/>
              <w:end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86.4M</w:t>
            </w:r>
          </w:p>
        </w:tc>
      </w:tr>
    </w:tbl>
    <w:p>
      <w:pPr>
        <w:pStyle w:val="BodyText"/>
        <w:bidi w:val="0"/>
        <w:spacing w:lineRule="auto" w:line="240"/>
        <w:jc w:val="both"/>
        <w:rPr>
          <w:rFonts w:ascii="Times New Roman" w:hAnsi="Times New Roman"/>
        </w:rPr>
      </w:pPr>
      <w:r>
        <w:rPr>
          <w:rFonts w:ascii="Times New Roman" w:hAnsi="Times New Roman"/>
        </w:rPr>
      </w:r>
    </w:p>
    <w:p>
      <w:pPr>
        <w:pStyle w:val="Heading4"/>
        <w:bidi w:val="0"/>
        <w:spacing w:lineRule="auto" w:line="240"/>
        <w:ind w:hanging="0" w:start="0"/>
        <w:jc w:val="both"/>
        <w:rPr>
          <w:rFonts w:ascii="Times New Roman" w:hAnsi="Times New Roman"/>
        </w:rPr>
      </w:pPr>
      <w:r>
        <w:rPr>
          <w:rFonts w:ascii="Times New Roman" w:hAnsi="Times New Roman"/>
        </w:rPr>
        <w:t>4.2.2 Training Convergence Analysis</w:t>
      </w:r>
    </w:p>
    <w:p>
      <w:pPr>
        <w:pStyle w:val="BodyText"/>
        <w:bidi w:val="0"/>
        <w:spacing w:lineRule="auto" w:line="240"/>
        <w:jc w:val="both"/>
        <w:rPr>
          <w:rFonts w:ascii="Times New Roman" w:hAnsi="Times New Roman"/>
        </w:rPr>
      </w:pPr>
      <w:r>
        <w:rPr>
          <w:rFonts w:ascii="Times New Roman" w:hAnsi="Times New Roman"/>
          <w:b/>
        </w:rPr>
        <w:t>InceptionV3</w:t>
      </w:r>
      <w:r>
        <w:rPr>
          <w:rFonts w:ascii="Times New Roman" w:hAnsi="Times New Roman"/>
        </w:rPr>
        <w:t xml:space="preserve"> demonstrated rapid convergence for multi-class classification as well. Starting at Epoch 1 with 83.09% training accuracy and validation AUC of 0.9817, the model improved to Epoch 2 (94.41% training accuracy, validation AUC 0.9947) and continued improving through Epoch 10 (99.88% training accuracy, validation AUC 0.9967). Final test accuracy was 98.58% with test AUC of 0.9995.</w:t>
      </w:r>
    </w:p>
    <w:p>
      <w:pPr>
        <w:pStyle w:val="BodyText"/>
        <w:bidi w:val="0"/>
        <w:spacing w:lineRule="auto" w:line="240"/>
        <w:jc w:val="both"/>
        <w:rPr>
          <w:rFonts w:ascii="Times New Roman" w:hAnsi="Times New Roman"/>
        </w:rPr>
      </w:pPr>
      <w:r>
        <w:rPr>
          <w:rFonts w:ascii="Times New Roman" w:hAnsi="Times New Roman"/>
          <w:b/>
        </w:rPr>
        <w:t>Swin-Base</w:t>
      </w:r>
      <w:r>
        <w:rPr>
          <w:rFonts w:ascii="Times New Roman" w:hAnsi="Times New Roman"/>
        </w:rPr>
        <w:t xml:space="preserve"> achieved test accuracy of 98.58% with the lowest test loss (0.0377) among all models. Training progression showed steady improvement from Epoch 1 (78.37% training accuracy, validation AUC 0.9853) to best validation around Epoch 10 (99.42% training accuracy, validation AUC 0.9972). The strong performance of Swin-Base demonstrates that hierarchical attention mechanisms effectively capture both local tumour boundaries and global brain structure context.</w:t>
      </w:r>
    </w:p>
    <w:p>
      <w:pPr>
        <w:pStyle w:val="BodyText"/>
        <w:bidi w:val="0"/>
        <w:spacing w:lineRule="auto" w:line="240"/>
        <w:jc w:val="both"/>
        <w:rPr>
          <w:rFonts w:ascii="Times New Roman" w:hAnsi="Times New Roman"/>
        </w:rPr>
      </w:pPr>
      <w:r>
        <w:rPr>
          <w:rFonts w:ascii="Times New Roman" w:hAnsi="Times New Roman"/>
          <w:b/>
        </w:rPr>
        <w:t>EfficientNetB0</w:t>
      </w:r>
      <w:r>
        <w:rPr>
          <w:rFonts w:ascii="Times New Roman" w:hAnsi="Times New Roman"/>
        </w:rPr>
        <w:t xml:space="preserve"> achieved 97.59% test accuracy with only 5.3 million parameters, representing the best accuracy-to-parameter ratio among all models. The model converged rapidly, demonstrating that neural architecture search produces highly efficient yet accurate models suitable for resource-constrained deployment.</w:t>
      </w:r>
    </w:p>
    <w:p>
      <w:pPr>
        <w:pStyle w:val="BodyText"/>
        <w:bidi w:val="0"/>
        <w:spacing w:lineRule="auto" w:line="240"/>
        <w:jc w:val="both"/>
        <w:rPr>
          <w:rFonts w:ascii="Times New Roman" w:hAnsi="Times New Roman"/>
        </w:rPr>
      </w:pPr>
      <w:r>
        <w:rPr>
          <w:rFonts w:ascii="Times New Roman" w:hAnsi="Times New Roman"/>
          <w:b/>
        </w:rPr>
        <w:t>ViT-B/16</w:t>
      </w:r>
      <w:r>
        <w:rPr>
          <w:rFonts w:ascii="Times New Roman" w:hAnsi="Times New Roman"/>
        </w:rPr>
        <w:t xml:space="preserve"> showed significantly slower convergence for multi-class classification, requiring the full 10 epochs to reach best validation (87.68% validation accuracy, AUC 0.9679). The final test accuracy of 89.52% was substantially lower than CNN-based models, suggesting that pure transformers may require larger datasets than the 4,705 images available to reach their full potential. The lack of inherent convolutional inductive biases (locality and translation equivariance) may disadvantage ViT on medical imaging tasks with limited data.</w:t>
      </w:r>
    </w:p>
    <w:p>
      <w:pPr>
        <w:pStyle w:val="Heading3"/>
        <w:bidi w:val="0"/>
        <w:spacing w:lineRule="auto" w:line="240"/>
        <w:ind w:hanging="0" w:start="0"/>
        <w:jc w:val="both"/>
        <w:rPr>
          <w:rFonts w:ascii="Times New Roman" w:hAnsi="Times New Roman"/>
        </w:rPr>
      </w:pPr>
      <w:r>
        <w:rPr>
          <w:rFonts w:ascii="Times New Roman" w:hAnsi="Times New Roman"/>
        </w:rPr>
        <w:t>4.3 Model Efficiency Analysis</w:t>
      </w:r>
    </w:p>
    <w:p>
      <w:pPr>
        <w:pStyle w:val="BodyText"/>
        <w:bidi w:val="0"/>
        <w:spacing w:lineRule="auto" w:line="240"/>
        <w:jc w:val="both"/>
        <w:rPr>
          <w:rFonts w:ascii="Times New Roman" w:hAnsi="Times New Roman"/>
        </w:rPr>
      </w:pPr>
      <w:r>
        <w:rPr>
          <w:rFonts w:ascii="Times New Roman" w:hAnsi="Times New Roman"/>
        </w:rPr>
        <w:t>TABLE IV presents the computational efficiency comparison across models.</w:t>
      </w:r>
    </w:p>
    <w:p>
      <w:pPr>
        <w:pStyle w:val="BodyText"/>
        <w:bidi w:val="0"/>
        <w:spacing w:lineRule="auto" w:line="240"/>
        <w:jc w:val="both"/>
        <w:rPr>
          <w:rFonts w:ascii="Times New Roman" w:hAnsi="Times New Roman"/>
        </w:rPr>
      </w:pPr>
      <w:r>
        <w:rPr>
          <w:rFonts w:ascii="Times New Roman" w:hAnsi="Times New Roman"/>
          <w:b/>
        </w:rPr>
        <w:t>TABLE IV</w:t>
      </w:r>
      <w:r>
        <w:rPr>
          <w:rFonts w:ascii="Times New Roman" w:hAnsi="Times New Roman"/>
        </w:rPr>
        <w:t> </w:t>
      </w:r>
      <w:r>
        <w:rPr>
          <w:rFonts w:ascii="Times New Roman" w:hAnsi="Times New Roman"/>
          <w:b/>
        </w:rPr>
        <w:t>MODEL EFFICIENCY COMPARISON</w:t>
      </w:r>
    </w:p>
    <w:tbl>
      <w:tblPr>
        <w:tblW w:w="9637" w:type="dxa"/>
        <w:jc w:val="start"/>
        <w:tblInd w:w="-5" w:type="dxa"/>
        <w:tblLayout w:type="fixed"/>
        <w:tblCellMar>
          <w:top w:w="55" w:type="dxa"/>
          <w:start w:w="55" w:type="dxa"/>
          <w:bottom w:w="55" w:type="dxa"/>
          <w:end w:w="55" w:type="dxa"/>
        </w:tblCellMar>
      </w:tblPr>
      <w:tblGrid>
        <w:gridCol w:w="1830"/>
        <w:gridCol w:w="1384"/>
        <w:gridCol w:w="1513"/>
        <w:gridCol w:w="2975"/>
        <w:gridCol w:w="1935"/>
      </w:tblGrid>
      <w:tr>
        <w:trPr>
          <w:tblHeader w:val="true"/>
        </w:trPr>
        <w:tc>
          <w:tcPr>
            <w:tcW w:w="1830" w:type="dxa"/>
            <w:tcBorders>
              <w:top w:val="single" w:sz="4" w:space="0" w:color="000000"/>
              <w:start w:val="single" w:sz="4" w:space="0" w:color="000000"/>
              <w:bottom w:val="single" w:sz="4" w:space="0" w:color="000000"/>
            </w:tcBorders>
          </w:tcPr>
          <w:p>
            <w:pPr>
              <w:pStyle w:val="TableHeading"/>
              <w:bidi w:val="0"/>
              <w:spacing w:lineRule="auto" w:line="240"/>
              <w:jc w:val="both"/>
              <w:rPr>
                <w:rFonts w:ascii="Times New Roman" w:hAnsi="Times New Roman"/>
              </w:rPr>
            </w:pPr>
            <w:r>
              <w:rPr>
                <w:rFonts w:ascii="Times New Roman" w:hAnsi="Times New Roman"/>
              </w:rPr>
              <w:t>Model</w:t>
            </w:r>
          </w:p>
        </w:tc>
        <w:tc>
          <w:tcPr>
            <w:tcW w:w="1384" w:type="dxa"/>
            <w:tcBorders>
              <w:top w:val="single" w:sz="4" w:space="0" w:color="000000"/>
              <w:start w:val="single" w:sz="4" w:space="0" w:color="000000"/>
              <w:bottom w:val="single" w:sz="4" w:space="0" w:color="000000"/>
            </w:tcBorders>
          </w:tcPr>
          <w:p>
            <w:pPr>
              <w:pStyle w:val="TableHeading"/>
              <w:bidi w:val="0"/>
              <w:spacing w:lineRule="auto" w:line="240"/>
              <w:jc w:val="both"/>
              <w:rPr>
                <w:rFonts w:ascii="Times New Roman" w:hAnsi="Times New Roman"/>
              </w:rPr>
            </w:pPr>
            <w:r>
              <w:rPr>
                <w:rFonts w:ascii="Times New Roman" w:hAnsi="Times New Roman"/>
              </w:rPr>
              <w:t>Batch Size</w:t>
            </w:r>
          </w:p>
        </w:tc>
        <w:tc>
          <w:tcPr>
            <w:tcW w:w="1513" w:type="dxa"/>
            <w:tcBorders>
              <w:top w:val="single" w:sz="4" w:space="0" w:color="000000"/>
              <w:start w:val="single" w:sz="4" w:space="0" w:color="000000"/>
              <w:bottom w:val="single" w:sz="4" w:space="0" w:color="000000"/>
            </w:tcBorders>
          </w:tcPr>
          <w:p>
            <w:pPr>
              <w:pStyle w:val="TableHeading"/>
              <w:bidi w:val="0"/>
              <w:spacing w:lineRule="auto" w:line="240"/>
              <w:jc w:val="both"/>
              <w:rPr>
                <w:rFonts w:ascii="Times New Roman" w:hAnsi="Times New Roman"/>
              </w:rPr>
            </w:pPr>
            <w:r>
              <w:rPr>
                <w:rFonts w:ascii="Times New Roman" w:hAnsi="Times New Roman"/>
              </w:rPr>
              <w:t>Parameters</w:t>
            </w:r>
          </w:p>
        </w:tc>
        <w:tc>
          <w:tcPr>
            <w:tcW w:w="2975" w:type="dxa"/>
            <w:tcBorders>
              <w:top w:val="single" w:sz="4" w:space="0" w:color="000000"/>
              <w:start w:val="single" w:sz="4" w:space="0" w:color="000000"/>
              <w:bottom w:val="single" w:sz="4" w:space="0" w:color="000000"/>
            </w:tcBorders>
          </w:tcPr>
          <w:p>
            <w:pPr>
              <w:pStyle w:val="TableHeading"/>
              <w:bidi w:val="0"/>
              <w:spacing w:lineRule="auto" w:line="240"/>
              <w:jc w:val="both"/>
              <w:rPr>
                <w:rFonts w:ascii="Times New Roman" w:hAnsi="Times New Roman"/>
              </w:rPr>
            </w:pPr>
            <w:r>
              <w:rPr>
                <w:rFonts w:ascii="Times New Roman" w:hAnsi="Times New Roman"/>
              </w:rPr>
              <w:t>Relative Training Speed</w:t>
            </w:r>
          </w:p>
        </w:tc>
        <w:tc>
          <w:tcPr>
            <w:tcW w:w="1935" w:type="dxa"/>
            <w:tcBorders>
              <w:top w:val="single" w:sz="4" w:space="0" w:color="000000"/>
              <w:start w:val="single" w:sz="4" w:space="0" w:color="000000"/>
              <w:bottom w:val="single" w:sz="4" w:space="0" w:color="000000"/>
              <w:end w:val="single" w:sz="4" w:space="0" w:color="000000"/>
            </w:tcBorders>
          </w:tcPr>
          <w:p>
            <w:pPr>
              <w:pStyle w:val="TableHeading"/>
              <w:bidi w:val="0"/>
              <w:spacing w:lineRule="auto" w:line="240"/>
              <w:jc w:val="both"/>
              <w:rPr>
                <w:rFonts w:ascii="Times New Roman" w:hAnsi="Times New Roman"/>
              </w:rPr>
            </w:pPr>
            <w:r>
              <w:rPr>
                <w:rFonts w:ascii="Times New Roman" w:hAnsi="Times New Roman"/>
              </w:rPr>
              <w:t>Memory Usage</w:t>
            </w:r>
          </w:p>
        </w:tc>
      </w:tr>
      <w:tr>
        <w:trPr/>
        <w:tc>
          <w:tcPr>
            <w:tcW w:w="1830"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EfficientNetB0</w:t>
            </w:r>
          </w:p>
        </w:tc>
        <w:tc>
          <w:tcPr>
            <w:tcW w:w="1384"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256</w:t>
            </w:r>
          </w:p>
        </w:tc>
        <w:tc>
          <w:tcPr>
            <w:tcW w:w="1513"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5.3M</w:t>
            </w:r>
          </w:p>
        </w:tc>
        <w:tc>
          <w:tcPr>
            <w:tcW w:w="2975"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1.0x (Fastest)</w:t>
            </w:r>
          </w:p>
        </w:tc>
        <w:tc>
          <w:tcPr>
            <w:tcW w:w="1935" w:type="dxa"/>
            <w:tcBorders>
              <w:start w:val="single" w:sz="4" w:space="0" w:color="000000"/>
              <w:bottom w:val="single" w:sz="4" w:space="0" w:color="000000"/>
              <w:end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Lowest</w:t>
            </w:r>
          </w:p>
        </w:tc>
      </w:tr>
      <w:tr>
        <w:trPr/>
        <w:tc>
          <w:tcPr>
            <w:tcW w:w="1830"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ResNet-50</w:t>
            </w:r>
          </w:p>
        </w:tc>
        <w:tc>
          <w:tcPr>
            <w:tcW w:w="1384"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256</w:t>
            </w:r>
          </w:p>
        </w:tc>
        <w:tc>
          <w:tcPr>
            <w:tcW w:w="1513"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25.6M</w:t>
            </w:r>
          </w:p>
        </w:tc>
        <w:tc>
          <w:tcPr>
            <w:tcW w:w="2975"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1.2x</w:t>
            </w:r>
          </w:p>
        </w:tc>
        <w:tc>
          <w:tcPr>
            <w:tcW w:w="1935" w:type="dxa"/>
            <w:tcBorders>
              <w:start w:val="single" w:sz="4" w:space="0" w:color="000000"/>
              <w:bottom w:val="single" w:sz="4" w:space="0" w:color="000000"/>
              <w:end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Low</w:t>
            </w:r>
          </w:p>
        </w:tc>
      </w:tr>
      <w:tr>
        <w:trPr/>
        <w:tc>
          <w:tcPr>
            <w:tcW w:w="1830"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CoaTNet-0</w:t>
            </w:r>
          </w:p>
        </w:tc>
        <w:tc>
          <w:tcPr>
            <w:tcW w:w="1384"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64</w:t>
            </w:r>
          </w:p>
        </w:tc>
        <w:tc>
          <w:tcPr>
            <w:tcW w:w="1513"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~10M</w:t>
            </w:r>
          </w:p>
        </w:tc>
        <w:tc>
          <w:tcPr>
            <w:tcW w:w="2975"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2.5x</w:t>
            </w:r>
          </w:p>
        </w:tc>
        <w:tc>
          <w:tcPr>
            <w:tcW w:w="1935" w:type="dxa"/>
            <w:tcBorders>
              <w:start w:val="single" w:sz="4" w:space="0" w:color="000000"/>
              <w:bottom w:val="single" w:sz="4" w:space="0" w:color="000000"/>
              <w:end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Moderate</w:t>
            </w:r>
          </w:p>
        </w:tc>
      </w:tr>
      <w:tr>
        <w:trPr/>
        <w:tc>
          <w:tcPr>
            <w:tcW w:w="1830"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InceptionV3</w:t>
            </w:r>
          </w:p>
        </w:tc>
        <w:tc>
          <w:tcPr>
            <w:tcW w:w="1384"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128</w:t>
            </w:r>
          </w:p>
        </w:tc>
        <w:tc>
          <w:tcPr>
            <w:tcW w:w="1513"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23.9-27.2M</w:t>
            </w:r>
          </w:p>
        </w:tc>
        <w:tc>
          <w:tcPr>
            <w:tcW w:w="2975"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2.0x</w:t>
            </w:r>
          </w:p>
        </w:tc>
        <w:tc>
          <w:tcPr>
            <w:tcW w:w="1935" w:type="dxa"/>
            <w:tcBorders>
              <w:start w:val="single" w:sz="4" w:space="0" w:color="000000"/>
              <w:bottom w:val="single" w:sz="4" w:space="0" w:color="000000"/>
              <w:end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Moderate</w:t>
            </w:r>
          </w:p>
        </w:tc>
      </w:tr>
      <w:tr>
        <w:trPr/>
        <w:tc>
          <w:tcPr>
            <w:tcW w:w="1830"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Swin-Base</w:t>
            </w:r>
          </w:p>
        </w:tc>
        <w:tc>
          <w:tcPr>
            <w:tcW w:w="1384"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64</w:t>
            </w:r>
          </w:p>
        </w:tc>
        <w:tc>
          <w:tcPr>
            <w:tcW w:w="1513"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86-88M</w:t>
            </w:r>
          </w:p>
        </w:tc>
        <w:tc>
          <w:tcPr>
            <w:tcW w:w="2975"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4.0x</w:t>
            </w:r>
          </w:p>
        </w:tc>
        <w:tc>
          <w:tcPr>
            <w:tcW w:w="1935" w:type="dxa"/>
            <w:tcBorders>
              <w:start w:val="single" w:sz="4" w:space="0" w:color="000000"/>
              <w:bottom w:val="single" w:sz="4" w:space="0" w:color="000000"/>
              <w:end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High</w:t>
            </w:r>
          </w:p>
        </w:tc>
      </w:tr>
      <w:tr>
        <w:trPr/>
        <w:tc>
          <w:tcPr>
            <w:tcW w:w="1830"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ViT-B/16</w:t>
            </w:r>
          </w:p>
        </w:tc>
        <w:tc>
          <w:tcPr>
            <w:tcW w:w="1384"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32</w:t>
            </w:r>
          </w:p>
        </w:tc>
        <w:tc>
          <w:tcPr>
            <w:tcW w:w="1513"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86-86.4M</w:t>
            </w:r>
          </w:p>
        </w:tc>
        <w:tc>
          <w:tcPr>
            <w:tcW w:w="2975"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5.0x</w:t>
            </w:r>
          </w:p>
        </w:tc>
        <w:tc>
          <w:tcPr>
            <w:tcW w:w="1935" w:type="dxa"/>
            <w:tcBorders>
              <w:start w:val="single" w:sz="4" w:space="0" w:color="000000"/>
              <w:bottom w:val="single" w:sz="4" w:space="0" w:color="000000"/>
              <w:end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Highest</w:t>
            </w:r>
          </w:p>
        </w:tc>
      </w:tr>
      <w:tr>
        <w:trPr/>
        <w:tc>
          <w:tcPr>
            <w:tcW w:w="1830"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VGG16</w:t>
            </w:r>
          </w:p>
        </w:tc>
        <w:tc>
          <w:tcPr>
            <w:tcW w:w="1384"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256</w:t>
            </w:r>
          </w:p>
        </w:tc>
        <w:tc>
          <w:tcPr>
            <w:tcW w:w="1513"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138M</w:t>
            </w:r>
          </w:p>
        </w:tc>
        <w:tc>
          <w:tcPr>
            <w:tcW w:w="2975"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1.5x</w:t>
            </w:r>
          </w:p>
        </w:tc>
        <w:tc>
          <w:tcPr>
            <w:tcW w:w="1935" w:type="dxa"/>
            <w:tcBorders>
              <w:start w:val="single" w:sz="4" w:space="0" w:color="000000"/>
              <w:bottom w:val="single" w:sz="4" w:space="0" w:color="000000"/>
              <w:end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Moderate</w:t>
            </w:r>
          </w:p>
        </w:tc>
      </w:tr>
    </w:tbl>
    <w:p>
      <w:pPr>
        <w:pStyle w:val="BodyText"/>
        <w:bidi w:val="0"/>
        <w:spacing w:lineRule="auto" w:line="240"/>
        <w:jc w:val="both"/>
        <w:rPr>
          <w:rFonts w:ascii="Times New Roman" w:hAnsi="Times New Roman"/>
        </w:rPr>
      </w:pPr>
      <w:r>
        <w:rPr>
          <w:rFonts w:ascii="Times New Roman" w:hAnsi="Times New Roman"/>
        </w:rPr>
      </w:r>
    </w:p>
    <w:p>
      <w:pPr>
        <w:pStyle w:val="BodyText"/>
        <w:bidi w:val="0"/>
        <w:spacing w:lineRule="auto" w:line="240"/>
        <w:jc w:val="both"/>
        <w:rPr>
          <w:rFonts w:ascii="Times New Roman" w:hAnsi="Times New Roman"/>
        </w:rPr>
      </w:pPr>
      <w:r>
        <w:rPr>
          <w:rFonts w:ascii="Times New Roman" w:hAnsi="Times New Roman"/>
        </w:rPr>
        <w:t>EfficientNetB0 was the fastest and most memory-efficient model, enabling batch size of 256 and demonstrating that massive parameter counts are not necessary for high accuracy. InceptionV3 offered an excellent balance of high accuracy (top performer) and moderate computational cost. Swin-Base and ViT-B/16 required significantly more training time and memory due to their self-attention mechanisms, though Swin-Base achieved top accuracy while ViT-B/16 lagged behind.</w:t>
      </w:r>
    </w:p>
    <w:p>
      <w:pPr>
        <w:pStyle w:val="Heading3"/>
        <w:bidi w:val="0"/>
        <w:spacing w:lineRule="auto" w:line="240"/>
        <w:ind w:hanging="0" w:start="0"/>
        <w:jc w:val="both"/>
        <w:rPr>
          <w:rFonts w:ascii="Times New Roman" w:hAnsi="Times New Roman"/>
        </w:rPr>
      </w:pPr>
      <w:r>
        <w:rPr>
          <w:rFonts w:ascii="Times New Roman" w:hAnsi="Times New Roman"/>
        </w:rPr>
        <w:t>4.4 Parameter Efficiency Analysis</w:t>
      </w:r>
    </w:p>
    <w:p>
      <w:pPr>
        <w:pStyle w:val="BodyText"/>
        <w:bidi w:val="0"/>
        <w:spacing w:lineRule="auto" w:line="240"/>
        <w:jc w:val="both"/>
        <w:rPr>
          <w:rFonts w:ascii="Times New Roman" w:hAnsi="Times New Roman"/>
        </w:rPr>
      </w:pPr>
      <w:r>
        <w:rPr>
          <w:rFonts w:ascii="Times New Roman" w:hAnsi="Times New Roman"/>
        </w:rPr>
        <w:t>The accuracy per million parameters metric provides insight into architectural efficiency. EfficientNetB0 achieved 0.188% accuracy per million parameters (97.59% / 5.3M), the highest among all models. DenseNet121 achieved 0.122% accuracy per million parameters (97.95% / 8.0M). CoaTNet-0 achieved approximately 0.0996% accuracy per million parameters (99.59% / 10M). InceptionV3 achieved 0.0416% accuracy per million parameters (99.39% / 23.9M). ResNet50 achieved 0.0388% accuracy per million parameters (99.39% / 25.6M). Swin Base achieved 0.0112% accuracy per million parameters (98.16% / 88M). ViT-B/16 achieved 0.0111% accuracy per million parameters (95.08% / 86M). VGG16 achieved only 0.0060% accuracy per million parameters (83.20% / 138M), confirming its poor parameter efficiency.</w:t>
      </w:r>
    </w:p>
    <w:p>
      <w:pPr>
        <w:pStyle w:val="Heading3"/>
        <w:bidi w:val="0"/>
        <w:spacing w:lineRule="auto" w:line="240"/>
        <w:ind w:hanging="0" w:start="0"/>
        <w:jc w:val="both"/>
        <w:rPr>
          <w:rFonts w:ascii="Times New Roman" w:hAnsi="Times New Roman"/>
        </w:rPr>
      </w:pPr>
      <w:r>
        <w:rPr>
          <w:rFonts w:ascii="Times New Roman" w:hAnsi="Times New Roman"/>
        </w:rPr>
        <w:t>4.5 Comparison with Existing Work</w:t>
      </w:r>
    </w:p>
    <w:p>
      <w:pPr>
        <w:pStyle w:val="BodyText"/>
        <w:bidi w:val="0"/>
        <w:spacing w:lineRule="auto" w:line="240"/>
        <w:jc w:val="both"/>
        <w:rPr>
          <w:rFonts w:ascii="Times New Roman" w:hAnsi="Times New Roman"/>
        </w:rPr>
      </w:pPr>
      <w:r>
        <w:rPr>
          <w:rFonts w:ascii="Times New Roman" w:hAnsi="Times New Roman"/>
        </w:rPr>
        <w:t>TABLE V compares our results with previously published studies.</w:t>
      </w:r>
    </w:p>
    <w:p>
      <w:pPr>
        <w:pStyle w:val="BodyText"/>
        <w:bidi w:val="0"/>
        <w:spacing w:lineRule="auto" w:line="240"/>
        <w:jc w:val="both"/>
        <w:rPr>
          <w:rFonts w:ascii="Times New Roman" w:hAnsi="Times New Roman"/>
        </w:rPr>
      </w:pPr>
      <w:r>
        <w:rPr>
          <w:rFonts w:ascii="Times New Roman" w:hAnsi="Times New Roman"/>
          <w:b/>
        </w:rPr>
        <w:t>TABLE V</w:t>
      </w:r>
      <w:r>
        <w:rPr>
          <w:rFonts w:ascii="Times New Roman" w:hAnsi="Times New Roman"/>
        </w:rPr>
        <w:t> </w:t>
      </w:r>
      <w:r>
        <w:rPr>
          <w:rFonts w:ascii="Times New Roman" w:hAnsi="Times New Roman"/>
          <w:b/>
        </w:rPr>
        <w:t>COMPARISON WITH EXISTING LITERATURE</w:t>
      </w:r>
    </w:p>
    <w:tbl>
      <w:tblPr>
        <w:tblW w:w="5000" w:type="pct"/>
        <w:jc w:val="start"/>
        <w:tblInd w:w="-5" w:type="dxa"/>
        <w:tblLayout w:type="fixed"/>
        <w:tblCellMar>
          <w:top w:w="55" w:type="dxa"/>
          <w:start w:w="55" w:type="dxa"/>
          <w:bottom w:w="55" w:type="dxa"/>
          <w:end w:w="55" w:type="dxa"/>
        </w:tblCellMar>
      </w:tblPr>
      <w:tblGrid>
        <w:gridCol w:w="2742"/>
        <w:gridCol w:w="1437"/>
        <w:gridCol w:w="1377"/>
        <w:gridCol w:w="1210"/>
        <w:gridCol w:w="1606"/>
        <w:gridCol w:w="1266"/>
      </w:tblGrid>
      <w:tr>
        <w:trPr>
          <w:tblHeader w:val="true"/>
        </w:trPr>
        <w:tc>
          <w:tcPr>
            <w:tcW w:w="2742" w:type="dxa"/>
            <w:tcBorders>
              <w:top w:val="single" w:sz="4" w:space="0" w:color="000000"/>
              <w:start w:val="single" w:sz="4" w:space="0" w:color="000000"/>
              <w:bottom w:val="single" w:sz="4" w:space="0" w:color="000000"/>
            </w:tcBorders>
          </w:tcPr>
          <w:p>
            <w:pPr>
              <w:pStyle w:val="TableHeading"/>
              <w:bidi w:val="0"/>
              <w:spacing w:lineRule="auto" w:line="240"/>
              <w:jc w:val="both"/>
              <w:rPr>
                <w:rFonts w:ascii="Times New Roman" w:hAnsi="Times New Roman"/>
              </w:rPr>
            </w:pPr>
            <w:r>
              <w:rPr>
                <w:rFonts w:ascii="Times New Roman" w:hAnsi="Times New Roman"/>
              </w:rPr>
              <w:t>Study</w:t>
            </w:r>
          </w:p>
        </w:tc>
        <w:tc>
          <w:tcPr>
            <w:tcW w:w="1437" w:type="dxa"/>
            <w:tcBorders>
              <w:top w:val="single" w:sz="4" w:space="0" w:color="000000"/>
              <w:start w:val="single" w:sz="4" w:space="0" w:color="000000"/>
              <w:bottom w:val="single" w:sz="4" w:space="0" w:color="000000"/>
            </w:tcBorders>
          </w:tcPr>
          <w:p>
            <w:pPr>
              <w:pStyle w:val="TableHeading"/>
              <w:bidi w:val="0"/>
              <w:spacing w:lineRule="auto" w:line="240"/>
              <w:jc w:val="both"/>
              <w:rPr>
                <w:rFonts w:ascii="Times New Roman" w:hAnsi="Times New Roman"/>
              </w:rPr>
            </w:pPr>
            <w:r>
              <w:rPr>
                <w:rFonts w:ascii="Times New Roman" w:hAnsi="Times New Roman"/>
              </w:rPr>
              <w:t>Model</w:t>
            </w:r>
          </w:p>
        </w:tc>
        <w:tc>
          <w:tcPr>
            <w:tcW w:w="1377" w:type="dxa"/>
            <w:tcBorders>
              <w:top w:val="single" w:sz="4" w:space="0" w:color="000000"/>
              <w:start w:val="single" w:sz="4" w:space="0" w:color="000000"/>
              <w:bottom w:val="single" w:sz="4" w:space="0" w:color="000000"/>
            </w:tcBorders>
          </w:tcPr>
          <w:p>
            <w:pPr>
              <w:pStyle w:val="TableHeading"/>
              <w:bidi w:val="0"/>
              <w:spacing w:lineRule="auto" w:line="240"/>
              <w:jc w:val="both"/>
              <w:rPr>
                <w:rFonts w:ascii="Times New Roman" w:hAnsi="Times New Roman"/>
              </w:rPr>
            </w:pPr>
            <w:r>
              <w:rPr>
                <w:rFonts w:ascii="Times New Roman" w:hAnsi="Times New Roman"/>
              </w:rPr>
              <w:t>Dataset Size</w:t>
            </w:r>
          </w:p>
        </w:tc>
        <w:tc>
          <w:tcPr>
            <w:tcW w:w="1210" w:type="dxa"/>
            <w:tcBorders>
              <w:top w:val="single" w:sz="4" w:space="0" w:color="000000"/>
              <w:start w:val="single" w:sz="4" w:space="0" w:color="000000"/>
              <w:bottom w:val="single" w:sz="4" w:space="0" w:color="000000"/>
            </w:tcBorders>
          </w:tcPr>
          <w:p>
            <w:pPr>
              <w:pStyle w:val="TableHeading"/>
              <w:bidi w:val="0"/>
              <w:spacing w:lineRule="auto" w:line="240"/>
              <w:jc w:val="both"/>
              <w:rPr>
                <w:rFonts w:ascii="Times New Roman" w:hAnsi="Times New Roman"/>
              </w:rPr>
            </w:pPr>
            <w:r>
              <w:rPr>
                <w:rFonts w:ascii="Times New Roman" w:hAnsi="Times New Roman"/>
              </w:rPr>
              <w:t>Task</w:t>
            </w:r>
          </w:p>
        </w:tc>
        <w:tc>
          <w:tcPr>
            <w:tcW w:w="1606" w:type="dxa"/>
            <w:tcBorders>
              <w:top w:val="single" w:sz="4" w:space="0" w:color="000000"/>
              <w:start w:val="single" w:sz="4" w:space="0" w:color="000000"/>
              <w:bottom w:val="single" w:sz="4" w:space="0" w:color="000000"/>
            </w:tcBorders>
          </w:tcPr>
          <w:p>
            <w:pPr>
              <w:pStyle w:val="TableHeading"/>
              <w:bidi w:val="0"/>
              <w:spacing w:lineRule="auto" w:line="240"/>
              <w:jc w:val="both"/>
              <w:rPr>
                <w:rFonts w:ascii="Times New Roman" w:hAnsi="Times New Roman"/>
              </w:rPr>
            </w:pPr>
            <w:r>
              <w:rPr>
                <w:rFonts w:ascii="Times New Roman" w:hAnsi="Times New Roman"/>
              </w:rPr>
              <w:t>Reported Accuracy</w:t>
            </w:r>
          </w:p>
        </w:tc>
        <w:tc>
          <w:tcPr>
            <w:tcW w:w="1266" w:type="dxa"/>
            <w:tcBorders>
              <w:top w:val="single" w:sz="4" w:space="0" w:color="000000"/>
              <w:start w:val="single" w:sz="4" w:space="0" w:color="000000"/>
              <w:bottom w:val="single" w:sz="4" w:space="0" w:color="000000"/>
              <w:end w:val="single" w:sz="4" w:space="0" w:color="000000"/>
            </w:tcBorders>
          </w:tcPr>
          <w:p>
            <w:pPr>
              <w:pStyle w:val="TableHeading"/>
              <w:bidi w:val="0"/>
              <w:spacing w:lineRule="auto" w:line="240"/>
              <w:jc w:val="both"/>
              <w:rPr>
                <w:rFonts w:ascii="Times New Roman" w:hAnsi="Times New Roman"/>
              </w:rPr>
            </w:pPr>
            <w:r>
              <w:rPr>
                <w:rFonts w:ascii="Times New Roman" w:hAnsi="Times New Roman"/>
              </w:rPr>
              <w:t>Our Result</w:t>
            </w:r>
          </w:p>
        </w:tc>
      </w:tr>
      <w:tr>
        <w:trPr/>
        <w:tc>
          <w:tcPr>
            <w:tcW w:w="2742"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Talo et al. (2019) [31]</w:t>
            </w:r>
          </w:p>
        </w:tc>
        <w:tc>
          <w:tcPr>
            <w:tcW w:w="1437"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ResNet50</w:t>
            </w:r>
          </w:p>
        </w:tc>
        <w:tc>
          <w:tcPr>
            <w:tcW w:w="1377"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253</w:t>
            </w:r>
          </w:p>
        </w:tc>
        <w:tc>
          <w:tcPr>
            <w:tcW w:w="1210"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Binary</w:t>
            </w:r>
          </w:p>
        </w:tc>
        <w:tc>
          <w:tcPr>
            <w:tcW w:w="1606"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95.23%</w:t>
            </w:r>
          </w:p>
        </w:tc>
        <w:tc>
          <w:tcPr>
            <w:tcW w:w="1266" w:type="dxa"/>
            <w:tcBorders>
              <w:start w:val="single" w:sz="4" w:space="0" w:color="000000"/>
              <w:bottom w:val="single" w:sz="4" w:space="0" w:color="000000"/>
              <w:end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99.39%</w:t>
            </w:r>
          </w:p>
        </w:tc>
      </w:tr>
      <w:tr>
        <w:trPr/>
        <w:tc>
          <w:tcPr>
            <w:tcW w:w="2742"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Khan et al. (2020) [23]</w:t>
            </w:r>
          </w:p>
        </w:tc>
        <w:tc>
          <w:tcPr>
            <w:tcW w:w="1437"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VGG16</w:t>
            </w:r>
          </w:p>
        </w:tc>
        <w:tc>
          <w:tcPr>
            <w:tcW w:w="1377"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3,064</w:t>
            </w:r>
          </w:p>
        </w:tc>
        <w:tc>
          <w:tcPr>
            <w:tcW w:w="1210"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Binary</w:t>
            </w:r>
          </w:p>
        </w:tc>
        <w:tc>
          <w:tcPr>
            <w:tcW w:w="1606"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98.69%</w:t>
            </w:r>
          </w:p>
        </w:tc>
        <w:tc>
          <w:tcPr>
            <w:tcW w:w="1266" w:type="dxa"/>
            <w:tcBorders>
              <w:start w:val="single" w:sz="4" w:space="0" w:color="000000"/>
              <w:bottom w:val="single" w:sz="4" w:space="0" w:color="000000"/>
              <w:end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83.20%</w:t>
            </w:r>
          </w:p>
        </w:tc>
      </w:tr>
      <w:tr>
        <w:trPr/>
        <w:tc>
          <w:tcPr>
            <w:tcW w:w="2742"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Noreen et al. (2020) [25]</w:t>
            </w:r>
          </w:p>
        </w:tc>
        <w:tc>
          <w:tcPr>
            <w:tcW w:w="1437"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DenseNet121</w:t>
            </w:r>
          </w:p>
        </w:tc>
        <w:tc>
          <w:tcPr>
            <w:tcW w:w="1377"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3,064</w:t>
            </w:r>
          </w:p>
        </w:tc>
        <w:tc>
          <w:tcPr>
            <w:tcW w:w="1210"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Binary</w:t>
            </w:r>
          </w:p>
        </w:tc>
        <w:tc>
          <w:tcPr>
            <w:tcW w:w="1606"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99.51%</w:t>
            </w:r>
          </w:p>
        </w:tc>
        <w:tc>
          <w:tcPr>
            <w:tcW w:w="1266" w:type="dxa"/>
            <w:tcBorders>
              <w:start w:val="single" w:sz="4" w:space="0" w:color="000000"/>
              <w:bottom w:val="single" w:sz="4" w:space="0" w:color="000000"/>
              <w:end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97.95%</w:t>
            </w:r>
          </w:p>
        </w:tc>
      </w:tr>
      <w:tr>
        <w:trPr/>
        <w:tc>
          <w:tcPr>
            <w:tcW w:w="2742"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Rehman et al. (2020) [28]</w:t>
            </w:r>
          </w:p>
        </w:tc>
        <w:tc>
          <w:tcPr>
            <w:tcW w:w="1437"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InceptionV3</w:t>
            </w:r>
          </w:p>
        </w:tc>
        <w:tc>
          <w:tcPr>
            <w:tcW w:w="1377"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3,064</w:t>
            </w:r>
          </w:p>
        </w:tc>
        <w:tc>
          <w:tcPr>
            <w:tcW w:w="1210"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Binary</w:t>
            </w:r>
          </w:p>
        </w:tc>
        <w:tc>
          <w:tcPr>
            <w:tcW w:w="1606"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99.34%</w:t>
            </w:r>
          </w:p>
        </w:tc>
        <w:tc>
          <w:tcPr>
            <w:tcW w:w="1266" w:type="dxa"/>
            <w:tcBorders>
              <w:start w:val="single" w:sz="4" w:space="0" w:color="000000"/>
              <w:bottom w:val="single" w:sz="4" w:space="0" w:color="000000"/>
              <w:end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99.39%</w:t>
            </w:r>
          </w:p>
        </w:tc>
      </w:tr>
      <w:tr>
        <w:trPr/>
        <w:tc>
          <w:tcPr>
            <w:tcW w:w="2742"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Deepak &amp; Ameer (2019) [27]</w:t>
            </w:r>
          </w:p>
        </w:tc>
        <w:tc>
          <w:tcPr>
            <w:tcW w:w="1437"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InceptionV3</w:t>
            </w:r>
          </w:p>
        </w:tc>
        <w:tc>
          <w:tcPr>
            <w:tcW w:w="1377"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3,064</w:t>
            </w:r>
          </w:p>
        </w:tc>
        <w:tc>
          <w:tcPr>
            <w:tcW w:w="1210"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Multi-class</w:t>
            </w:r>
          </w:p>
        </w:tc>
        <w:tc>
          <w:tcPr>
            <w:tcW w:w="1606"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97.50%</w:t>
            </w:r>
          </w:p>
        </w:tc>
        <w:tc>
          <w:tcPr>
            <w:tcW w:w="1266" w:type="dxa"/>
            <w:tcBorders>
              <w:start w:val="single" w:sz="4" w:space="0" w:color="000000"/>
              <w:bottom w:val="single" w:sz="4" w:space="0" w:color="000000"/>
              <w:end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98.58%</w:t>
            </w:r>
          </w:p>
        </w:tc>
      </w:tr>
    </w:tbl>
    <w:p>
      <w:pPr>
        <w:pStyle w:val="BodyText"/>
        <w:bidi w:val="0"/>
        <w:spacing w:lineRule="auto" w:line="240"/>
        <w:jc w:val="both"/>
        <w:rPr>
          <w:rFonts w:ascii="Times New Roman" w:hAnsi="Times New Roman"/>
        </w:rPr>
      </w:pPr>
      <w:r>
        <w:rPr>
          <w:rFonts w:ascii="Times New Roman" w:hAnsi="Times New Roman"/>
        </w:rPr>
      </w:r>
    </w:p>
    <w:p>
      <w:pPr>
        <w:pStyle w:val="BodyText"/>
        <w:bidi w:val="0"/>
        <w:spacing w:lineRule="auto" w:line="240"/>
        <w:jc w:val="both"/>
        <w:rPr>
          <w:rFonts w:ascii="Times New Roman" w:hAnsi="Times New Roman"/>
        </w:rPr>
      </w:pPr>
      <w:r>
        <w:rPr>
          <w:rFonts w:ascii="Times New Roman" w:hAnsi="Times New Roman"/>
        </w:rPr>
        <w:t>Our ResNet50 and InceptionV3 results align with or exceed literature benchmarks. The discrepancy for VGG16 (83.20% vs. reported 98.69%) may be attributed to differences in data preprocessing, augmentation strategies, or train-test splits. Our DenseNet121 result (97.95%) is slightly below the reported 99.51%, which may reflect our conservative early stopping strategy or the increased difficulty of our combined dataset.</w:t>
      </w:r>
    </w:p>
    <w:p>
      <w:pPr>
        <w:pStyle w:val="Heading3"/>
        <w:bidi w:val="0"/>
        <w:spacing w:lineRule="auto" w:line="240"/>
        <w:ind w:hanging="0" w:start="0"/>
        <w:jc w:val="both"/>
        <w:rPr>
          <w:rFonts w:ascii="Times New Roman" w:hAnsi="Times New Roman"/>
        </w:rPr>
      </w:pPr>
      <w:r>
        <w:rPr>
          <w:rFonts w:ascii="Times New Roman" w:hAnsi="Times New Roman"/>
        </w:rPr>
        <w:t>4.6 Discussion of Findings</w:t>
      </w:r>
    </w:p>
    <w:p>
      <w:pPr>
        <w:pStyle w:val="Heading4"/>
        <w:bidi w:val="0"/>
        <w:spacing w:lineRule="auto" w:line="240"/>
        <w:ind w:hanging="0" w:start="0"/>
        <w:jc w:val="both"/>
        <w:rPr>
          <w:rFonts w:ascii="Times New Roman" w:hAnsi="Times New Roman"/>
        </w:rPr>
      </w:pPr>
      <w:r>
        <w:rPr>
          <w:rFonts w:ascii="Times New Roman" w:hAnsi="Times New Roman"/>
        </w:rPr>
        <w:t>4.6.1 Why Modern Architectures Excel</w:t>
      </w:r>
    </w:p>
    <w:p>
      <w:pPr>
        <w:pStyle w:val="BodyText"/>
        <w:bidi w:val="0"/>
        <w:spacing w:lineRule="auto" w:line="240"/>
        <w:jc w:val="both"/>
        <w:rPr>
          <w:rFonts w:ascii="Times New Roman" w:hAnsi="Times New Roman"/>
        </w:rPr>
      </w:pPr>
      <w:r>
        <w:rPr>
          <w:rFonts w:ascii="Times New Roman" w:hAnsi="Times New Roman"/>
        </w:rPr>
        <w:t>Several architectural innovations contribute to superior performance in medical imaging tasks. Residual learning in ResNet and EfficientNet enables training of deeper networks that can learn more complex features without vanishing gradients, allowing the network to capture hierarchical representations of tumour characteristics from low-level edges to high-level semantic features.</w:t>
      </w:r>
    </w:p>
    <w:p>
      <w:pPr>
        <w:pStyle w:val="BodyText"/>
        <w:bidi w:val="0"/>
        <w:spacing w:lineRule="auto" w:line="240"/>
        <w:jc w:val="both"/>
        <w:rPr>
          <w:rFonts w:ascii="Times New Roman" w:hAnsi="Times New Roman"/>
        </w:rPr>
      </w:pPr>
      <w:r>
        <w:rPr>
          <w:rFonts w:ascii="Times New Roman" w:hAnsi="Times New Roman"/>
        </w:rPr>
        <w:t>Dense connections in DenseNet maximise information flow and feature reuse with minimal parameters, ensuring that earlier layers receive direct gradient signals and that features are efficiently reused across the network.</w:t>
      </w:r>
    </w:p>
    <w:p>
      <w:pPr>
        <w:pStyle w:val="BodyText"/>
        <w:bidi w:val="0"/>
        <w:spacing w:lineRule="auto" w:line="240"/>
        <w:jc w:val="both"/>
        <w:rPr>
          <w:rFonts w:ascii="Times New Roman" w:hAnsi="Times New Roman"/>
        </w:rPr>
      </w:pPr>
      <w:r>
        <w:rPr>
          <w:rFonts w:ascii="Times New Roman" w:hAnsi="Times New Roman"/>
        </w:rPr>
        <w:t>Multi-scale processing in Inception captures tumours of varying sizes through parallel convolution paths of different kernel sizes (1×1, 3×3, 5×5), which is particularly valuable for medical images where tumour sizes can vary dramatically across patients and imaging protocols.</w:t>
      </w:r>
    </w:p>
    <w:p>
      <w:pPr>
        <w:pStyle w:val="BodyText"/>
        <w:bidi w:val="0"/>
        <w:spacing w:lineRule="auto" w:line="240"/>
        <w:jc w:val="both"/>
        <w:rPr>
          <w:rFonts w:ascii="Times New Roman" w:hAnsi="Times New Roman"/>
        </w:rPr>
      </w:pPr>
      <w:r>
        <w:rPr>
          <w:rFonts w:ascii="Times New Roman" w:hAnsi="Times New Roman"/>
        </w:rPr>
        <w:t>Attention mechanisms in CoaTNet and Swin Transformer model long-range dependencies and spatial relationships crucial for understanding tumour context, allowing the network to relate tumour regions to surrounding healthy tissue and anatomical structures.</w:t>
      </w:r>
    </w:p>
    <w:p>
      <w:pPr>
        <w:pStyle w:val="BodyText"/>
        <w:bidi w:val="0"/>
        <w:spacing w:lineRule="auto" w:line="240"/>
        <w:jc w:val="both"/>
        <w:rPr>
          <w:rFonts w:ascii="Times New Roman" w:hAnsi="Times New Roman"/>
        </w:rPr>
      </w:pPr>
      <w:r>
        <w:rPr>
          <w:rFonts w:ascii="Times New Roman" w:hAnsi="Times New Roman"/>
        </w:rPr>
        <w:t>Neural architecture search in EfficientNet and MobileNetV3 optimises architectural decisions beyond human intuition, systematically exploring the design space to identify optimal combinations of depth, width, and resolution scaling.</w:t>
      </w:r>
    </w:p>
    <w:p>
      <w:pPr>
        <w:pStyle w:val="Heading4"/>
        <w:bidi w:val="0"/>
        <w:spacing w:lineRule="auto" w:line="240"/>
        <w:ind w:hanging="0" w:start="0"/>
        <w:jc w:val="both"/>
        <w:rPr>
          <w:rFonts w:ascii="Times New Roman" w:hAnsi="Times New Roman"/>
        </w:rPr>
      </w:pPr>
      <w:r>
        <w:rPr>
          <w:rFonts w:ascii="Times New Roman" w:hAnsi="Times New Roman"/>
        </w:rPr>
        <w:t>4.6.2 The Transformer Paradox</w:t>
      </w:r>
    </w:p>
    <w:p>
      <w:pPr>
        <w:pStyle w:val="BodyText"/>
        <w:bidi w:val="0"/>
        <w:spacing w:lineRule="auto" w:line="240"/>
        <w:jc w:val="both"/>
        <w:rPr>
          <w:rFonts w:ascii="Times New Roman" w:hAnsi="Times New Roman"/>
        </w:rPr>
      </w:pPr>
      <w:r>
        <w:rPr>
          <w:rFonts w:ascii="Times New Roman" w:hAnsi="Times New Roman"/>
        </w:rPr>
        <w:t>Pure transformers (ViT) underperformed relative to expectations, while hybrid models (CoaTNet) excelled. This observation suggests several explanations. Transformers may require more data than available (3,253–4,705 images) to reach full potential, as the original ViT paper demonstrated competitiveness with CNNs only when pretrained on JFT-300M (300 million images). Convolutional inductive biases (locality, translation equivariance) remain valuable for medical imaging, providing strong priors that are particularly beneficial when training data is limited. Hybrid designs capture the best of both worlds by maintaining local feature extraction through convolutions while adding global context through attention mechanisms.</w:t>
      </w:r>
    </w:p>
    <w:p>
      <w:pPr>
        <w:pStyle w:val="Heading4"/>
        <w:bidi w:val="0"/>
        <w:spacing w:lineRule="auto" w:line="240"/>
        <w:ind w:hanging="0" w:start="0"/>
        <w:jc w:val="both"/>
        <w:rPr>
          <w:rFonts w:ascii="Times New Roman" w:hAnsi="Times New Roman"/>
        </w:rPr>
      </w:pPr>
      <w:r>
        <w:rPr>
          <w:rFonts w:ascii="Times New Roman" w:hAnsi="Times New Roman"/>
        </w:rPr>
        <w:t>4.6.3 Clinical Implications</w:t>
      </w:r>
    </w:p>
    <w:p>
      <w:pPr>
        <w:pStyle w:val="BodyText"/>
        <w:bidi w:val="0"/>
        <w:spacing w:lineRule="auto" w:line="240"/>
        <w:jc w:val="both"/>
        <w:rPr>
          <w:rFonts w:ascii="Times New Roman" w:hAnsi="Times New Roman"/>
        </w:rPr>
      </w:pPr>
      <w:r>
        <w:rPr>
          <w:rFonts w:ascii="Times New Roman" w:hAnsi="Times New Roman"/>
        </w:rPr>
        <w:t>Models achieving &gt;99% accuracy for binary detection and &gt;98% accuracy for multi-class classification with near-perfect AUC are clinically viable for several applications. Screening applications can flag potential tumours for radiologist review, reducing the number of normal scans requiring expert interpretation. Triage systems can prioritise urgent cases in high-volume settings, ensuring that patients with suspicious findings receive prompt attention. Decision support tools can provide second opinions to reduce diagnostic errors and inter-observer variability. Resource-limited settings can benefit from automated preliminary diagnosis where specialist radiologists are scarce, as is the case in many parts of India and other developing nations.</w:t>
      </w:r>
    </w:p>
    <w:p>
      <w:pPr>
        <w:pStyle w:val="Heading4"/>
        <w:bidi w:val="0"/>
        <w:spacing w:lineRule="auto" w:line="240"/>
        <w:ind w:hanging="0" w:start="0"/>
        <w:jc w:val="both"/>
        <w:rPr>
          <w:rFonts w:ascii="Times New Roman" w:hAnsi="Times New Roman"/>
        </w:rPr>
      </w:pPr>
      <w:r>
        <w:rPr>
          <w:rFonts w:ascii="Times New Roman" w:hAnsi="Times New Roman"/>
        </w:rPr>
        <w:t>4.6.4 Deployment Considerations</w:t>
      </w:r>
    </w:p>
    <w:p>
      <w:pPr>
        <w:pStyle w:val="BodyText"/>
        <w:bidi w:val="0"/>
        <w:spacing w:lineRule="auto" w:line="240"/>
        <w:jc w:val="both"/>
        <w:rPr>
          <w:rFonts w:ascii="Times New Roman" w:hAnsi="Times New Roman"/>
        </w:rPr>
      </w:pPr>
      <w:r>
        <w:rPr>
          <w:rFonts w:ascii="Times New Roman" w:hAnsi="Times New Roman"/>
        </w:rPr>
        <w:t>Based on our comprehensive analysis, we recommend the following model selections for different deployment scenarios. For cloud API deployment where high accuracy is the primary concern, InceptionV3 offers perfect AUC, fast inference, and moderate computational requirements. For edge devices with limited compute resources, EfficientNetB0 provides 99.59% binary accuracy with only 5.3 million parameters, making it suitable for deployment on standard hospital workstations without dedicated GPUs. For mobile applications where extreme efficiency is required, MobileNetV3 offers acceptable accuracy (91.39% binary, AUC 0.9982) with only 5.4 million parameters. For research baselines where reproducibility is important, ResNet50 remains a well-understood benchmark. For attention-focused research applications, CoaTNet-0 achieves top accuracy with moderate parameters.</w:t>
      </w:r>
    </w:p>
    <w:p>
      <w:pPr>
        <w:pStyle w:val="Heading2"/>
        <w:numPr>
          <w:ilvl w:val="0"/>
          <w:numId w:val="0"/>
        </w:numPr>
        <w:bidi w:val="0"/>
        <w:spacing w:lineRule="auto" w:line="240"/>
        <w:ind w:hanging="0" w:start="0"/>
        <w:jc w:val="both"/>
        <w:rPr>
          <w:rFonts w:ascii="Times New Roman" w:hAnsi="Times New Roman"/>
        </w:rPr>
      </w:pPr>
      <w:r>
        <w:rPr>
          <w:rFonts w:ascii="Times New Roman" w:hAnsi="Times New Roman"/>
        </w:rPr>
        <w:t>5. Limitations and Future Work</w:t>
      </w:r>
    </w:p>
    <w:p>
      <w:pPr>
        <w:pStyle w:val="Heading3"/>
        <w:bidi w:val="0"/>
        <w:spacing w:lineRule="auto" w:line="240"/>
        <w:ind w:hanging="0" w:start="0"/>
        <w:jc w:val="both"/>
        <w:rPr>
          <w:rFonts w:ascii="Times New Roman" w:hAnsi="Times New Roman"/>
        </w:rPr>
      </w:pPr>
      <w:r>
        <w:rPr>
          <w:rFonts w:ascii="Times New Roman" w:hAnsi="Times New Roman"/>
        </w:rPr>
        <w:t>5.1 Limitations</w:t>
      </w:r>
    </w:p>
    <w:p>
      <w:pPr>
        <w:pStyle w:val="BodyText"/>
        <w:bidi w:val="0"/>
        <w:spacing w:lineRule="auto" w:line="240"/>
        <w:jc w:val="both"/>
        <w:rPr>
          <w:rFonts w:ascii="Times New Roman" w:hAnsi="Times New Roman"/>
        </w:rPr>
      </w:pPr>
      <w:r>
        <w:rPr>
          <w:rFonts w:ascii="Times New Roman" w:hAnsi="Times New Roman"/>
          <w:b/>
        </w:rPr>
        <w:t>Dataset Limitations:</w:t>
      </w:r>
      <w:r>
        <w:rPr>
          <w:rFonts w:ascii="Times New Roman" w:hAnsi="Times New Roman"/>
        </w:rPr>
        <w:t xml:space="preserve"> The dataset size of 3,253–4,705 images is moderate and may not capture full clinical variability across different patient populations, MRI protocols, field strengths (1.5T vs. 3T), and equipment manufacturers. The data is limited to two or three public datasets, potentially lacking geographic and demographic diversity. MRI protocols, field strengths, and equipment variations are not fully represented in the training data. Annotation quality is limited to binary or three-class labels without tumour grade, precise location, or size information, and there is potential label noise from crowdsourced datasets.</w:t>
      </w:r>
    </w:p>
    <w:p>
      <w:pPr>
        <w:pStyle w:val="BodyText"/>
        <w:bidi w:val="0"/>
        <w:spacing w:lineRule="auto" w:line="240"/>
        <w:jc w:val="both"/>
        <w:rPr>
          <w:rFonts w:ascii="Times New Roman" w:hAnsi="Times New Roman"/>
        </w:rPr>
      </w:pPr>
      <w:r>
        <w:rPr>
          <w:rFonts w:ascii="Times New Roman" w:hAnsi="Times New Roman"/>
          <w:b/>
        </w:rPr>
        <w:t>Generalisation Concerns:</w:t>
      </w:r>
      <w:r>
        <w:rPr>
          <w:rFonts w:ascii="Times New Roman" w:hAnsi="Times New Roman"/>
        </w:rPr>
        <w:t xml:space="preserve"> Models trained on Kaggle datasets may not generalise to other institutions' MRI protocols. No external validation was performed on completely unseen datasets from different sources. Performance on low-quality images or unusual presentations was not evaluated. There is potential for dataset-specific features being learned rather than true tumour characteristics.</w:t>
      </w:r>
    </w:p>
    <w:p>
      <w:pPr>
        <w:pStyle w:val="BodyText"/>
        <w:bidi w:val="0"/>
        <w:spacing w:lineRule="auto" w:line="240"/>
        <w:jc w:val="both"/>
        <w:rPr>
          <w:rFonts w:ascii="Times New Roman" w:hAnsi="Times New Roman"/>
        </w:rPr>
      </w:pPr>
      <w:r>
        <w:rPr>
          <w:rFonts w:ascii="Times New Roman" w:hAnsi="Times New Roman"/>
          <w:b/>
        </w:rPr>
        <w:t>Computational Constraints:</w:t>
      </w:r>
      <w:r>
        <w:rPr>
          <w:rFonts w:ascii="Times New Roman" w:hAnsi="Times New Roman"/>
        </w:rPr>
        <w:t xml:space="preserve"> Training was limited to 10 epochs due to computational budget, though most models converged within this period. No extensive hyperparameter tuning was performed per model (all used learning rate of 3e-4). Batch sizes varied due to memory constraints, potentially affecting comparability across models. Only a single training run per model was conducted (no cross-validation or ensemble evaluation).</w:t>
      </w:r>
    </w:p>
    <w:p>
      <w:pPr>
        <w:pStyle w:val="BodyText"/>
        <w:bidi w:val="0"/>
        <w:spacing w:lineRule="auto" w:line="240"/>
        <w:jc w:val="both"/>
        <w:rPr>
          <w:rFonts w:ascii="Times New Roman" w:hAnsi="Times New Roman"/>
        </w:rPr>
      </w:pPr>
      <w:r>
        <w:rPr>
          <w:rFonts w:ascii="Times New Roman" w:hAnsi="Times New Roman"/>
          <w:b/>
        </w:rPr>
        <w:t>Evaluation Limitations:</w:t>
      </w:r>
      <w:r>
        <w:rPr>
          <w:rFonts w:ascii="Times New Roman" w:hAnsi="Times New Roman"/>
        </w:rPr>
        <w:t xml:space="preserve"> Primary metrics were limited to accuracy, loss, and AUC without detailed precision-recall analysis per class. No evaluation of model calibration (expected vs. actual probabilities) was performed. Interpretability analysis (saliency maps, attention visualisation) was not included. Uncertainty quantification for predictions was not implemented.</w:t>
      </w:r>
    </w:p>
    <w:p>
      <w:pPr>
        <w:pStyle w:val="BodyText"/>
        <w:bidi w:val="0"/>
        <w:spacing w:lineRule="auto" w:line="240"/>
        <w:jc w:val="both"/>
        <w:rPr>
          <w:rFonts w:ascii="Times New Roman" w:hAnsi="Times New Roman"/>
        </w:rPr>
      </w:pPr>
      <w:r>
        <w:rPr>
          <w:rFonts w:ascii="Times New Roman" w:hAnsi="Times New Roman"/>
          <w:b/>
        </w:rPr>
        <w:t>Real-World Applicability Issues:</w:t>
      </w:r>
      <w:r>
        <w:rPr>
          <w:rFonts w:ascii="Times New Roman" w:hAnsi="Times New Roman"/>
        </w:rPr>
        <w:t xml:space="preserve"> Models accept single 2D slices rather than full 3D MRI volumes, missing volumetric information. No handling of multi-sequence MRI (T1, T2, FLAIR, DWI) was implemented. Integration with clinical workflows or DICOM standards was not addressed. Inference latency was not benchmarked across different hardware configurations.</w:t>
      </w:r>
    </w:p>
    <w:p>
      <w:pPr>
        <w:pStyle w:val="Heading3"/>
        <w:bidi w:val="0"/>
        <w:spacing w:lineRule="auto" w:line="240"/>
        <w:ind w:hanging="0" w:start="0"/>
        <w:jc w:val="both"/>
        <w:rPr>
          <w:rFonts w:ascii="Times New Roman" w:hAnsi="Times New Roman"/>
        </w:rPr>
      </w:pPr>
      <w:r>
        <w:rPr>
          <w:rFonts w:ascii="Times New Roman" w:hAnsi="Times New Roman"/>
        </w:rPr>
        <w:t>5.2 Future Work</w:t>
      </w:r>
    </w:p>
    <w:p>
      <w:pPr>
        <w:pStyle w:val="BodyText"/>
        <w:bidi w:val="0"/>
        <w:spacing w:lineRule="auto" w:line="240"/>
        <w:jc w:val="both"/>
        <w:rPr>
          <w:rFonts w:ascii="Times New Roman" w:hAnsi="Times New Roman"/>
        </w:rPr>
      </w:pPr>
      <w:r>
        <w:rPr>
          <w:rFonts w:ascii="Times New Roman" w:hAnsi="Times New Roman"/>
          <w:b/>
        </w:rPr>
        <w:t>Dataset Expansion:</w:t>
      </w:r>
      <w:r>
        <w:rPr>
          <w:rFonts w:ascii="Times New Roman" w:hAnsi="Times New Roman"/>
        </w:rPr>
        <w:t xml:space="preserve"> Short-term priorities include collecting additional public datasets (BRATS, TCGA, local institutional data), implementing 5-fold cross-validation for more robust performance estimates, and creating fine-grained classification for tumour types and grades. Long-term priorities include partnering with medical institutions for diverse, clinically validated data, developing 3D models for volumetric MRI analysis, and including multi-sequence MRI inputs for comprehensive assessment.</w:t>
      </w:r>
    </w:p>
    <w:p>
      <w:pPr>
        <w:pStyle w:val="BodyText"/>
        <w:bidi w:val="0"/>
        <w:spacing w:lineRule="auto" w:line="240"/>
        <w:jc w:val="both"/>
        <w:rPr>
          <w:rFonts w:ascii="Times New Roman" w:hAnsi="Times New Roman"/>
        </w:rPr>
      </w:pPr>
      <w:r>
        <w:rPr>
          <w:rFonts w:ascii="Times New Roman" w:hAnsi="Times New Roman"/>
          <w:b/>
        </w:rPr>
        <w:t>Model Improvements:</w:t>
      </w:r>
      <w:r>
        <w:rPr>
          <w:rFonts w:ascii="Times New Roman" w:hAnsi="Times New Roman"/>
        </w:rPr>
        <w:t xml:space="preserve"> Architecture exploration should evaluate larger variants (EfficientNetB7, Swin Large, ViT-Large), implement ensemble methods combining top-performing models, and explore recent architectures (ConvNeXt, MLP-Mixer, FocalNet). Training enhancements should include extended training with early stopping based on validation loss, learning rate warmup with cosine annealing with restarts, and progressive resizing with advanced augmentation (MixUp, CutMix, RandAugment). Regularisation techniques should include label smoothing for better calibration, stochastic depth and DropPath for transformer models, and weight decay tuning per architecture.</w:t>
      </w:r>
    </w:p>
    <w:p>
      <w:pPr>
        <w:pStyle w:val="BodyText"/>
        <w:bidi w:val="0"/>
        <w:spacing w:lineRule="auto" w:line="240"/>
        <w:jc w:val="both"/>
        <w:rPr>
          <w:rFonts w:ascii="Times New Roman" w:hAnsi="Times New Roman"/>
        </w:rPr>
      </w:pPr>
      <w:r>
        <w:rPr>
          <w:rFonts w:ascii="Times New Roman" w:hAnsi="Times New Roman"/>
          <w:b/>
        </w:rPr>
        <w:t>Interpretability and Explainability:</w:t>
      </w:r>
      <w:r>
        <w:rPr>
          <w:rFonts w:ascii="Times New Roman" w:hAnsi="Times New Roman"/>
        </w:rPr>
        <w:t xml:space="preserve"> Visualisation techniques should include Grad-CAM and attention rollout for model decision visualisation, saliency maps highlighting tumour regions, and feature importance analysis. Clinical validation should include radiologist comparison studies, blind validation on prospective cases, and error analysis on misclassified examples.</w:t>
      </w:r>
    </w:p>
    <w:p>
      <w:pPr>
        <w:pStyle w:val="BodyText"/>
        <w:bidi w:val="0"/>
        <w:spacing w:lineRule="auto" w:line="240"/>
        <w:jc w:val="both"/>
        <w:rPr>
          <w:rFonts w:ascii="Times New Roman" w:hAnsi="Times New Roman"/>
        </w:rPr>
      </w:pPr>
      <w:r>
        <w:rPr>
          <w:rFonts w:ascii="Times New Roman" w:hAnsi="Times New Roman"/>
          <w:b/>
        </w:rPr>
        <w:t>Real-World Validation:</w:t>
      </w:r>
      <w:r>
        <w:rPr>
          <w:rFonts w:ascii="Times New Roman" w:hAnsi="Times New Roman"/>
        </w:rPr>
        <w:t xml:space="preserve"> Deployment studies should test on external datasets from different institutions, evaluate on lower-quality images (compressed, different resolutions), and benchmark inference speed on edge devices (mobile, web). Clinical integration should develop DICOM-compatible inference pipelines, create user interfaces for radiologist interaction, and implement uncertainty estimation for borderline cases.</w:t>
      </w:r>
    </w:p>
    <w:p>
      <w:pPr>
        <w:pStyle w:val="BodyText"/>
        <w:bidi w:val="0"/>
        <w:spacing w:lineRule="auto" w:line="240"/>
        <w:jc w:val="both"/>
        <w:rPr>
          <w:rFonts w:ascii="Times New Roman" w:hAnsi="Times New Roman"/>
        </w:rPr>
      </w:pPr>
      <w:r>
        <w:rPr>
          <w:rFonts w:ascii="Times New Roman" w:hAnsi="Times New Roman"/>
          <w:b/>
        </w:rPr>
        <w:t>Extended Experiments:</w:t>
      </w:r>
      <w:r>
        <w:rPr>
          <w:rFonts w:ascii="Times New Roman" w:hAnsi="Times New Roman"/>
        </w:rPr>
        <w:t xml:space="preserve"> Ablation studies should investigate the impact of data augmentation on each architecture, compare pretraining vs. training from scratch, and analyse the effect of batch size and learning rate per model. Metric expansion should include precision, recall, and F1-score for all models, calibration curves and expected calibration error (ECE), and inference time and memory usage benchmarks.</w:t>
      </w:r>
    </w:p>
    <w:p>
      <w:pPr>
        <w:pStyle w:val="Heading2"/>
        <w:numPr>
          <w:ilvl w:val="0"/>
          <w:numId w:val="0"/>
        </w:numPr>
        <w:bidi w:val="0"/>
        <w:spacing w:lineRule="auto" w:line="240"/>
        <w:ind w:hanging="0" w:start="0"/>
        <w:jc w:val="both"/>
        <w:rPr>
          <w:rFonts w:ascii="Times New Roman" w:hAnsi="Times New Roman"/>
        </w:rPr>
      </w:pPr>
      <w:r>
        <w:rPr>
          <w:rFonts w:ascii="Times New Roman" w:hAnsi="Times New Roman"/>
        </w:rPr>
        <w:t>6. Ethical Implications</w:t>
      </w:r>
    </w:p>
    <w:p>
      <w:pPr>
        <w:pStyle w:val="Heading3"/>
        <w:bidi w:val="0"/>
        <w:spacing w:lineRule="auto" w:line="240"/>
        <w:ind w:hanging="0" w:start="0"/>
        <w:jc w:val="both"/>
        <w:rPr>
          <w:rFonts w:ascii="Times New Roman" w:hAnsi="Times New Roman"/>
        </w:rPr>
      </w:pPr>
      <w:r>
        <w:rPr>
          <w:rFonts w:ascii="Times New Roman" w:hAnsi="Times New Roman"/>
        </w:rPr>
        <w:t>6.1 Societal Impact</w:t>
      </w:r>
    </w:p>
    <w:p>
      <w:pPr>
        <w:pStyle w:val="BodyText"/>
        <w:bidi w:val="0"/>
        <w:spacing w:lineRule="auto" w:line="240"/>
        <w:jc w:val="both"/>
        <w:rPr>
          <w:rFonts w:ascii="Times New Roman" w:hAnsi="Times New Roman"/>
        </w:rPr>
      </w:pPr>
      <w:r>
        <w:rPr>
          <w:rFonts w:ascii="Times New Roman" w:hAnsi="Times New Roman"/>
        </w:rPr>
        <w:t>The positive impacts of automated brain tumour detection systems include democratising access to brain tumour screening in underserved regions, reducing radiologist workload with potential to decrease burnout, standardising diagnosis across different healthcare settings, and enabling faster triage in emergency situations. However, potential negative impacts include over-reliance on automated systems potentially reducing clinical skills, displacement of healthcare workers if widely deployed without proper integration, widening healthcare inequality if technology is not equitably distributed, and false reassurance from false negatives delaying necessary treatment.</w:t>
      </w:r>
    </w:p>
    <w:p>
      <w:pPr>
        <w:pStyle w:val="Heading3"/>
        <w:bidi w:val="0"/>
        <w:spacing w:lineRule="auto" w:line="240"/>
        <w:ind w:hanging="0" w:start="0"/>
        <w:jc w:val="both"/>
        <w:rPr>
          <w:rFonts w:ascii="Times New Roman" w:hAnsi="Times New Roman"/>
        </w:rPr>
      </w:pPr>
      <w:r>
        <w:rPr>
          <w:rFonts w:ascii="Times New Roman" w:hAnsi="Times New Roman"/>
        </w:rPr>
        <w:t>6.2 Potential Misuse Concerns</w:t>
      </w:r>
    </w:p>
    <w:p>
      <w:pPr>
        <w:pStyle w:val="BodyText"/>
        <w:bidi w:val="0"/>
        <w:spacing w:lineRule="auto" w:line="240"/>
        <w:jc w:val="both"/>
        <w:rPr>
          <w:rFonts w:ascii="Times New Roman" w:hAnsi="Times New Roman"/>
        </w:rPr>
      </w:pPr>
      <w:r>
        <w:rPr>
          <w:rFonts w:ascii="Times New Roman" w:hAnsi="Times New Roman"/>
        </w:rPr>
        <w:t>Misuse scenarios include deployment without proper clinical validation, use by unqualified practitioners without medical oversight, application to populations different from training data, and ignoring model confidence and uncertainty estimates. Mitigation strategies include clear labelling as an assistive tool rather than a diagnostic device, mandatory human oversight requirements, continuous monitoring and validation protocols, and confidence thresholds requiring human review for uncertain cases.</w:t>
      </w:r>
    </w:p>
    <w:p>
      <w:pPr>
        <w:pStyle w:val="Heading3"/>
        <w:bidi w:val="0"/>
        <w:spacing w:lineRule="auto" w:line="240"/>
        <w:ind w:hanging="0" w:start="0"/>
        <w:jc w:val="both"/>
        <w:rPr>
          <w:rFonts w:ascii="Times New Roman" w:hAnsi="Times New Roman"/>
        </w:rPr>
      </w:pPr>
      <w:r>
        <w:rPr>
          <w:rFonts w:ascii="Times New Roman" w:hAnsi="Times New Roman"/>
        </w:rPr>
        <w:t>6.3 Fairness and Bias Considerations</w:t>
      </w:r>
    </w:p>
    <w:p>
      <w:pPr>
        <w:pStyle w:val="BodyText"/>
        <w:bidi w:val="0"/>
        <w:spacing w:lineRule="auto" w:line="240"/>
        <w:jc w:val="both"/>
        <w:rPr>
          <w:rFonts w:ascii="Times New Roman" w:hAnsi="Times New Roman"/>
        </w:rPr>
      </w:pPr>
      <w:r>
        <w:rPr>
          <w:rFonts w:ascii="Times New Roman" w:hAnsi="Times New Roman"/>
        </w:rPr>
        <w:t>Potential biases exist in training data that may not represent all demographic groups equally. Different MRI protocols across institutions may cause performance disparities. Tumour characteristics may vary across populations of different ethnic and geographic backgrounds. Socioeconomic factors affecting access to high-quality imaging may create systemic biases.</w:t>
      </w:r>
    </w:p>
    <w:p>
      <w:pPr>
        <w:pStyle w:val="BodyText"/>
        <w:bidi w:val="0"/>
        <w:spacing w:lineRule="auto" w:line="240"/>
        <w:jc w:val="both"/>
        <w:rPr>
          <w:rFonts w:ascii="Times New Roman" w:hAnsi="Times New Roman"/>
        </w:rPr>
      </w:pPr>
      <w:r>
        <w:rPr>
          <w:rFonts w:ascii="Times New Roman" w:hAnsi="Times New Roman"/>
        </w:rPr>
        <w:t>Mitigation approaches include diverse data collection across populations and institutions, subgroup analysis of model performance for different demographic groups, regular audits for demographic bias, and transparent reporting of model limitations and performance characteristics across different patient populations.</w:t>
      </w:r>
    </w:p>
    <w:p>
      <w:pPr>
        <w:pStyle w:val="Heading3"/>
        <w:bidi w:val="0"/>
        <w:spacing w:lineRule="auto" w:line="240"/>
        <w:ind w:hanging="0" w:start="0"/>
        <w:jc w:val="both"/>
        <w:rPr>
          <w:rFonts w:ascii="Times New Roman" w:hAnsi="Times New Roman"/>
        </w:rPr>
      </w:pPr>
      <w:r>
        <w:rPr>
          <w:rFonts w:ascii="Times New Roman" w:hAnsi="Times New Roman"/>
        </w:rPr>
        <w:t>6.4 Responsible Deployment Guidelines</w:t>
      </w:r>
    </w:p>
    <w:p>
      <w:pPr>
        <w:pStyle w:val="BodyText"/>
        <w:bidi w:val="0"/>
        <w:spacing w:lineRule="auto" w:line="240"/>
        <w:jc w:val="both"/>
        <w:rPr>
          <w:rFonts w:ascii="Times New Roman" w:hAnsi="Times New Roman"/>
        </w:rPr>
      </w:pPr>
      <w:r>
        <w:rPr>
          <w:rFonts w:ascii="Times New Roman" w:hAnsi="Times New Roman"/>
        </w:rPr>
        <w:t>Pre-deployment requirements include regulatory approval (FDA, CE mark, or equivalent for the Indian context), multi-site clinical validation across diverse healthcare settings, clear performance specifications and documented limitations, and comprehensive user training and documentation.</w:t>
      </w:r>
    </w:p>
    <w:p>
      <w:pPr>
        <w:pStyle w:val="BodyText"/>
        <w:bidi w:val="0"/>
        <w:spacing w:lineRule="auto" w:line="240"/>
        <w:jc w:val="both"/>
        <w:rPr>
          <w:rFonts w:ascii="Times New Roman" w:hAnsi="Times New Roman"/>
        </w:rPr>
      </w:pPr>
      <w:r>
        <w:rPr>
          <w:rFonts w:ascii="Times New Roman" w:hAnsi="Times New Roman"/>
        </w:rPr>
        <w:t>Organisational requirements include human-in-the-loop review for all predictions, confidence thresholds requiring specialist consultation for uncertain cases, continuous performance monitoring with feedback mechanisms, and incident reporting with model updating protocols.</w:t>
      </w:r>
    </w:p>
    <w:p>
      <w:pPr>
        <w:pStyle w:val="BodyText"/>
        <w:bidi w:val="0"/>
        <w:spacing w:lineRule="auto" w:line="240"/>
        <w:jc w:val="both"/>
        <w:rPr>
          <w:rFonts w:ascii="Times New Roman" w:hAnsi="Times New Roman"/>
        </w:rPr>
      </w:pPr>
      <w:r>
        <w:rPr>
          <w:rFonts w:ascii="Times New Roman" w:hAnsi="Times New Roman"/>
        </w:rPr>
        <w:t>Transparency requirements include public disclosure of training data sources, open publication of validation results, clear communication of model limitations to clinical users, and explainable AI features for clinical decision support.</w:t>
      </w:r>
    </w:p>
    <w:p>
      <w:pPr>
        <w:pStyle w:val="Heading3"/>
        <w:bidi w:val="0"/>
        <w:spacing w:lineRule="auto" w:line="240"/>
        <w:ind w:hanging="0" w:start="0"/>
        <w:jc w:val="both"/>
        <w:rPr>
          <w:rFonts w:ascii="Times New Roman" w:hAnsi="Times New Roman"/>
        </w:rPr>
      </w:pPr>
      <w:r>
        <w:rPr>
          <w:rFonts w:ascii="Times New Roman" w:hAnsi="Times New Roman"/>
        </w:rPr>
        <w:t>6.5 Regulatory Considerations</w:t>
      </w:r>
    </w:p>
    <w:p>
      <w:pPr>
        <w:pStyle w:val="BodyText"/>
        <w:bidi w:val="0"/>
        <w:spacing w:lineRule="auto" w:line="240"/>
        <w:jc w:val="both"/>
        <w:rPr>
          <w:rFonts w:ascii="Times New Roman" w:hAnsi="Times New Roman"/>
        </w:rPr>
      </w:pPr>
      <w:r>
        <w:rPr>
          <w:rFonts w:ascii="Times New Roman" w:hAnsi="Times New Roman"/>
        </w:rPr>
        <w:t>Medical device classification varies by jurisdiction; in India, the Central Drugs Standard Control Organisation (CDSCO) regulates medical software under the Medical Devices Rules, 2017. Quality management systems (ISO 13485) are required for clinical deployment. Post-market surveillance obligations include continuous performance monitoring and adverse event reporting. Data privacy compliance requires adherence to applicable regulations including HIPAA for US data, GDPR for European data, and the Digital Personal Data Protection Act, 2023 for Indian patient data.</w:t>
      </w:r>
    </w:p>
    <w:p>
      <w:pPr>
        <w:pStyle w:val="Heading2"/>
        <w:numPr>
          <w:ilvl w:val="0"/>
          <w:numId w:val="0"/>
        </w:numPr>
        <w:bidi w:val="0"/>
        <w:spacing w:lineRule="auto" w:line="240"/>
        <w:ind w:hanging="0" w:start="0"/>
        <w:jc w:val="both"/>
        <w:rPr>
          <w:rFonts w:ascii="Times New Roman" w:hAnsi="Times New Roman"/>
        </w:rPr>
      </w:pPr>
      <w:r>
        <w:rPr>
          <w:rFonts w:ascii="Times New Roman" w:hAnsi="Times New Roman"/>
        </w:rPr>
        <w:t>7. Conclusion</w:t>
      </w:r>
    </w:p>
    <w:p>
      <w:pPr>
        <w:pStyle w:val="Heading3"/>
        <w:bidi w:val="0"/>
        <w:spacing w:lineRule="auto" w:line="240"/>
        <w:ind w:hanging="0" w:start="0"/>
        <w:jc w:val="both"/>
        <w:rPr>
          <w:rFonts w:ascii="Times New Roman" w:hAnsi="Times New Roman"/>
        </w:rPr>
      </w:pPr>
      <w:r>
        <w:rPr>
          <w:rFonts w:ascii="Times New Roman" w:hAnsi="Times New Roman"/>
        </w:rPr>
        <w:t>7.1 Summary of Key Contributions</w:t>
      </w:r>
    </w:p>
    <w:p>
      <w:pPr>
        <w:pStyle w:val="BodyText"/>
        <w:bidi w:val="0"/>
        <w:spacing w:lineRule="auto" w:line="240"/>
        <w:jc w:val="both"/>
        <w:rPr>
          <w:rFonts w:ascii="Times New Roman" w:hAnsi="Times New Roman"/>
        </w:rPr>
      </w:pPr>
      <w:r>
        <w:rPr>
          <w:rFonts w:ascii="Times New Roman" w:hAnsi="Times New Roman"/>
        </w:rPr>
        <w:t>This comprehensive study evaluated nine deep learning architectures for brain tumour analysis under standardised conditions, making several key contributions to the field.</w:t>
      </w:r>
    </w:p>
    <w:p>
      <w:pPr>
        <w:pStyle w:val="BodyText"/>
        <w:bidi w:val="0"/>
        <w:spacing w:lineRule="auto" w:line="240"/>
        <w:jc w:val="both"/>
        <w:rPr>
          <w:rFonts w:ascii="Times New Roman" w:hAnsi="Times New Roman"/>
        </w:rPr>
      </w:pPr>
      <w:r>
        <w:rPr>
          <w:rFonts w:ascii="Times New Roman" w:hAnsi="Times New Roman"/>
        </w:rPr>
        <w:t>First, we established a standardised benchmark for fair comparison across CNN and transformer families with consistent data splits, preprocessing protocols, and training hyperparameters. This addresses the lack of standardised evaluation that has hampered cross-study comparisons in the literature.</w:t>
      </w:r>
    </w:p>
    <w:p>
      <w:pPr>
        <w:pStyle w:val="BodyText"/>
        <w:bidi w:val="0"/>
        <w:spacing w:lineRule="auto" w:line="240"/>
        <w:jc w:val="both"/>
        <w:rPr>
          <w:rFonts w:ascii="Times New Roman" w:hAnsi="Times New Roman"/>
        </w:rPr>
      </w:pPr>
      <w:r>
        <w:rPr>
          <w:rFonts w:ascii="Times New Roman" w:hAnsi="Times New Roman"/>
        </w:rPr>
        <w:t>Second, we performed rigorous deduplication using perceptual hashing, identifying and removing 19.3% near-identical images from the combined multi-class dataset. This critical preprocessing step prevents data leakage and ensures that reported performance metrics reflect true generalisation capability.</w:t>
      </w:r>
    </w:p>
    <w:p>
      <w:pPr>
        <w:pStyle w:val="BodyText"/>
        <w:bidi w:val="0"/>
        <w:spacing w:lineRule="auto" w:line="240"/>
        <w:jc w:val="both"/>
        <w:rPr>
          <w:rFonts w:ascii="Times New Roman" w:hAnsi="Times New Roman"/>
        </w:rPr>
      </w:pPr>
      <w:r>
        <w:rPr>
          <w:rFonts w:ascii="Times New Roman" w:hAnsi="Times New Roman"/>
        </w:rPr>
        <w:t>Third, we conducted multi-architecture analysis evaluating classical CNNs (ResNet50, VGG16, DenseNet121), efficient CNNs (EfficientNetB0, MobileNetV3, InceptionV3), and transformer-based models (ViT-B/16, Swin Base, CoaTNet-0) under identical conditions.</w:t>
      </w:r>
    </w:p>
    <w:p>
      <w:pPr>
        <w:pStyle w:val="BodyText"/>
        <w:bidi w:val="0"/>
        <w:spacing w:lineRule="auto" w:line="240"/>
        <w:jc w:val="both"/>
        <w:rPr>
          <w:rFonts w:ascii="Times New Roman" w:hAnsi="Times New Roman"/>
        </w:rPr>
      </w:pPr>
      <w:r>
        <w:rPr>
          <w:rFonts w:ascii="Times New Roman" w:hAnsi="Times New Roman"/>
        </w:rPr>
        <w:t>Fourth, we provided quantitative performance comparison with detailed accuracy, loss, and AUC metrics for both binary detection and multi-class classification tasks, enabling evidence-based model selection.</w:t>
      </w:r>
    </w:p>
    <w:p>
      <w:pPr>
        <w:pStyle w:val="BodyText"/>
        <w:bidi w:val="0"/>
        <w:spacing w:lineRule="auto" w:line="240"/>
        <w:jc w:val="both"/>
        <w:rPr>
          <w:rFonts w:ascii="Times New Roman" w:hAnsi="Times New Roman"/>
        </w:rPr>
      </w:pPr>
      <w:r>
        <w:rPr>
          <w:rFonts w:ascii="Times New Roman" w:hAnsi="Times New Roman"/>
        </w:rPr>
        <w:t>Fifth, we identified architectural design principles contributing to superior performance, including skip connections, attention mechanisms, multi-scale processing, and parameter efficiency.</w:t>
      </w:r>
    </w:p>
    <w:p>
      <w:pPr>
        <w:pStyle w:val="BodyText"/>
        <w:bidi w:val="0"/>
        <w:spacing w:lineRule="auto" w:line="240"/>
        <w:jc w:val="both"/>
        <w:rPr>
          <w:rFonts w:ascii="Times New Roman" w:hAnsi="Times New Roman"/>
        </w:rPr>
      </w:pPr>
      <w:r>
        <w:rPr>
          <w:rFonts w:ascii="Times New Roman" w:hAnsi="Times New Roman"/>
        </w:rPr>
        <w:t>Sixth, we offered practical deployment recommendations based on different use cases and constraints, considering the trade-off between accuracy and computational efficiency.</w:t>
      </w:r>
    </w:p>
    <w:p>
      <w:pPr>
        <w:pStyle w:val="BodyText"/>
        <w:bidi w:val="0"/>
        <w:spacing w:lineRule="auto" w:line="240"/>
        <w:jc w:val="both"/>
        <w:rPr>
          <w:rFonts w:ascii="Times New Roman" w:hAnsi="Times New Roman"/>
        </w:rPr>
      </w:pPr>
      <w:r>
        <w:rPr>
          <w:rFonts w:ascii="Times New Roman" w:hAnsi="Times New Roman"/>
        </w:rPr>
        <w:t>Seventh, we released complete, well-documented code enabling replication and extension of our work, addressing the reproducibility crisis in medical AI research.</w:t>
      </w:r>
    </w:p>
    <w:p>
      <w:pPr>
        <w:pStyle w:val="Heading3"/>
        <w:bidi w:val="0"/>
        <w:spacing w:lineRule="auto" w:line="240"/>
        <w:ind w:hanging="0" w:start="0"/>
        <w:jc w:val="both"/>
        <w:rPr>
          <w:rFonts w:ascii="Times New Roman" w:hAnsi="Times New Roman"/>
        </w:rPr>
      </w:pPr>
      <w:r>
        <w:rPr>
          <w:rFonts w:ascii="Times New Roman" w:hAnsi="Times New Roman"/>
        </w:rPr>
        <w:t>7.2 Main Findings</w:t>
      </w:r>
    </w:p>
    <w:p>
      <w:pPr>
        <w:pStyle w:val="BodyText"/>
        <w:bidi w:val="0"/>
        <w:spacing w:lineRule="auto" w:line="240"/>
        <w:jc w:val="both"/>
        <w:rPr>
          <w:rFonts w:ascii="Times New Roman" w:hAnsi="Times New Roman"/>
        </w:rPr>
      </w:pPr>
      <w:r>
        <w:rPr>
          <w:rFonts w:ascii="Times New Roman" w:hAnsi="Times New Roman"/>
        </w:rPr>
        <w:t>The performance hierarchy for binary detection placed CoaTNet-0, EfficientNetB0, InceptionV3, and ResNet50 in the top tier (≥99% accuracy). Swin Base, DenseNet121, and ViT-B/16 formed a strong tier (95-98% accuracy). MobileNetV3 was adequate (90-95% accuracy). VGG16 underperformed (&lt;90% accuracy). For multi-class classification, InceptionV3 and Swin-Base achieved top performance (98.58% accuracy), followed by EfficientNetB0 and CoaTNet-0 (97.59% accuracy), ResNet-50 (96.60%), and ViT-B/16 (89.52%).</w:t>
      </w:r>
    </w:p>
    <w:p>
      <w:pPr>
        <w:pStyle w:val="BodyText"/>
        <w:bidi w:val="0"/>
        <w:spacing w:lineRule="auto" w:line="240"/>
        <w:jc w:val="both"/>
        <w:rPr>
          <w:rFonts w:ascii="Times New Roman" w:hAnsi="Times New Roman"/>
        </w:rPr>
      </w:pPr>
      <w:r>
        <w:rPr>
          <w:rFonts w:ascii="Times New Roman" w:hAnsi="Times New Roman"/>
        </w:rPr>
        <w:t>Key observations include: modern architectures consistently outperform classical designs; parameter efficiency correlates with generalisation (EfficientNetB0 achieves 99.59% binary accuracy with only 5.3M parameters); hybrid convolution-attention models (CoaTNet-0) achieve top performance; pure transformers may require larger datasets to reach full potential; InceptionV3's multi-scale design is particularly effective for medical images; and VGG16 is unsuitable for this application given modern alternatives.</w:t>
      </w:r>
    </w:p>
    <w:p>
      <w:pPr>
        <w:pStyle w:val="Heading3"/>
        <w:bidi w:val="0"/>
        <w:spacing w:lineRule="auto" w:line="240"/>
        <w:ind w:hanging="0" w:start="0"/>
        <w:jc w:val="both"/>
        <w:rPr>
          <w:rFonts w:ascii="Times New Roman" w:hAnsi="Times New Roman"/>
        </w:rPr>
      </w:pPr>
      <w:r>
        <w:rPr>
          <w:rFonts w:ascii="Times New Roman" w:hAnsi="Times New Roman"/>
        </w:rPr>
        <w:t>7.3 Clinical Significance</w:t>
      </w:r>
    </w:p>
    <w:p>
      <w:pPr>
        <w:pStyle w:val="BodyText"/>
        <w:bidi w:val="0"/>
        <w:spacing w:lineRule="auto" w:line="240"/>
        <w:jc w:val="both"/>
        <w:rPr>
          <w:rFonts w:ascii="Times New Roman" w:hAnsi="Times New Roman"/>
        </w:rPr>
      </w:pPr>
      <w:r>
        <w:rPr>
          <w:rFonts w:ascii="Times New Roman" w:hAnsi="Times New Roman"/>
        </w:rPr>
        <w:t>The achieved accuracy levels (&gt;99% for binary detection, &gt;98% for multi-class classification) suggest that automated deep learning systems can provide reliable second opinions for radiologists. Six models achieved &gt;97% accuracy and &gt;0.999 AUC for binary detection, meeting clinical-grade performance thresholds. Perfect or near-perfect AUC indicates excellent class separation capability. These results support the feasibility of automated brain tumour screening systems in clinical settings.</w:t>
      </w:r>
    </w:p>
    <w:p>
      <w:pPr>
        <w:pStyle w:val="BodyText"/>
        <w:bidi w:val="0"/>
        <w:spacing w:lineRule="auto" w:line="240"/>
        <w:jc w:val="both"/>
        <w:rPr>
          <w:rFonts w:ascii="Times New Roman" w:hAnsi="Times New Roman"/>
        </w:rPr>
      </w:pPr>
      <w:r>
        <w:rPr>
          <w:rFonts w:ascii="Times New Roman" w:hAnsi="Times New Roman"/>
        </w:rPr>
        <w:t>Key clinical implications include reduced diagnostic time through rapid classification within seconds, standardised assessment with consistent interpretation across cases and institutions, improved accessibility enabling screening in underserved regions, and triage support to prioritise urgent cases for immediate specialist review.</w:t>
      </w:r>
    </w:p>
    <w:p>
      <w:pPr>
        <w:pStyle w:val="Heading3"/>
        <w:bidi w:val="0"/>
        <w:spacing w:lineRule="auto" w:line="240"/>
        <w:ind w:hanging="0" w:start="0"/>
        <w:jc w:val="both"/>
        <w:rPr>
          <w:rFonts w:ascii="Times New Roman" w:hAnsi="Times New Roman"/>
        </w:rPr>
      </w:pPr>
      <w:r>
        <w:rPr>
          <w:rFonts w:ascii="Times New Roman" w:hAnsi="Times New Roman"/>
        </w:rPr>
        <w:t>7.4 Final Remarks</w:t>
      </w:r>
    </w:p>
    <w:p>
      <w:pPr>
        <w:pStyle w:val="BodyText"/>
        <w:bidi w:val="0"/>
        <w:spacing w:lineRule="auto" w:line="240"/>
        <w:jc w:val="both"/>
        <w:rPr>
          <w:rFonts w:ascii="Times New Roman" w:hAnsi="Times New Roman"/>
        </w:rPr>
      </w:pPr>
      <w:r>
        <w:rPr>
          <w:rFonts w:ascii="Times New Roman" w:hAnsi="Times New Roman"/>
        </w:rPr>
        <w:t>The evolution of deep learning architectures from simple convolutional stacks (VGG) to sophisticated designs incorporating residual connections, attention mechanisms, multi-scale processing, and neural architecture search has dramatically improved performance on medical imaging tasks. Our results demonstrate that architectural innovation directly translates to better tumour detection and classification, with modern models achieving clinically actionable accuracy.</w:t>
      </w:r>
    </w:p>
    <w:p>
      <w:pPr>
        <w:pStyle w:val="BodyText"/>
        <w:bidi w:val="0"/>
        <w:spacing w:lineRule="auto" w:line="240"/>
        <w:jc w:val="both"/>
        <w:rPr>
          <w:rFonts w:ascii="Times New Roman" w:hAnsi="Times New Roman"/>
        </w:rPr>
      </w:pPr>
      <w:r>
        <w:rPr>
          <w:rFonts w:ascii="Times New Roman" w:hAnsi="Times New Roman"/>
        </w:rPr>
        <w:t>The convergence of CNN and transformer designs in hybrid models like CoaTNet suggests a promising direction for future medical imaging research. While pure transformers require further investigation with larger datasets, the success of attention-augmented CNNs indicates that capturing both local features and global context is crucial for understanding complex medical images.</w:t>
      </w:r>
    </w:p>
    <w:p>
      <w:pPr>
        <w:pStyle w:val="BodyText"/>
        <w:bidi w:val="0"/>
        <w:spacing w:lineRule="auto" w:line="240"/>
        <w:jc w:val="both"/>
        <w:rPr>
          <w:rFonts w:ascii="Times New Roman" w:hAnsi="Times New Roman"/>
        </w:rPr>
      </w:pPr>
      <w:r>
        <w:rPr>
          <w:rFonts w:ascii="Times New Roman" w:hAnsi="Times New Roman"/>
        </w:rPr>
        <w:t>For practical deployment, EfficientNetB0 offers the best accuracy-to-parameter ratio, making it suitable for resource-constrained environments such as district hospitals in developing nations. InceptionV3 and CoaTNet provide slightly higher accuracy at moderate computational cost, appropriate for tertiary care centres with dedicated computing infrastructure. The choice between these top performers should be guided by specific deployment requirements rather than significant performance differences, as all achieve clinically viable accuracy.</w:t>
      </w:r>
    </w:p>
    <w:p>
      <w:pPr>
        <w:pStyle w:val="BodyText"/>
        <w:bidi w:val="0"/>
        <w:spacing w:lineRule="auto" w:line="240"/>
        <w:jc w:val="both"/>
        <w:rPr>
          <w:rFonts w:ascii="Times New Roman" w:hAnsi="Times New Roman"/>
        </w:rPr>
      </w:pPr>
      <w:r>
        <w:rPr>
          <w:rFonts w:ascii="Times New Roman" w:hAnsi="Times New Roman"/>
        </w:rPr>
        <w:t>This study provides a foundation for future work in automated brain tumour analysis and demonstrates that modern deep learning architectures, when properly implemented with rigorous preprocessing and evaluated under standardised conditions, can achieve performance levels suitable for clinical decision support. As datasets grow and architectures evolve, the gap between human and machine performance in medical image analysis will likely continue to narrow, ultimately benefiting patients through faster, more accessible, and more consistent diagnosis across all healthcare settings.</w:t>
      </w:r>
    </w:p>
    <w:p>
      <w:pPr>
        <w:pStyle w:val="Heading2"/>
        <w:numPr>
          <w:ilvl w:val="0"/>
          <w:numId w:val="0"/>
        </w:numPr>
        <w:bidi w:val="0"/>
        <w:spacing w:lineRule="auto" w:line="240"/>
        <w:ind w:hanging="0" w:start="0"/>
        <w:jc w:val="both"/>
        <w:rPr>
          <w:rFonts w:ascii="Times New Roman" w:hAnsi="Times New Roman"/>
        </w:rPr>
      </w:pPr>
      <w:r>
        <w:rPr>
          <w:rFonts w:ascii="Times New Roman" w:hAnsi="Times New Roman"/>
        </w:rPr>
        <w:t>References</w:t>
      </w:r>
    </w:p>
    <w:p>
      <w:pPr>
        <w:pStyle w:val="BodyText"/>
        <w:bidi w:val="0"/>
        <w:spacing w:lineRule="auto" w:line="240"/>
        <w:jc w:val="both"/>
        <w:rPr>
          <w:rFonts w:ascii="Times New Roman" w:hAnsi="Times New Roman"/>
        </w:rPr>
      </w:pPr>
      <w:r>
        <w:rPr>
          <w:rFonts w:ascii="Times New Roman" w:hAnsi="Times New Roman"/>
        </w:rPr>
        <w:t xml:space="preserve">[1] Q. T. Ostrom, H. Gittleman, P. Liao, et al., "CBTRUS statistical report: Primary brain and other central nervous system tumors diagnosed in the United States in 2010–2014," </w:t>
      </w:r>
      <w:r>
        <w:rPr>
          <w:rFonts w:ascii="Times New Roman" w:hAnsi="Times New Roman"/>
          <w:i/>
        </w:rPr>
        <w:t>Neuro-Oncology</w:t>
      </w:r>
      <w:r>
        <w:rPr>
          <w:rFonts w:ascii="Times New Roman" w:hAnsi="Times New Roman"/>
        </w:rPr>
        <w:t>, vol. 19, no. suppl_5, pp. v1–v88, 2017.</w:t>
      </w:r>
    </w:p>
    <w:p>
      <w:pPr>
        <w:pStyle w:val="BodyText"/>
        <w:bidi w:val="0"/>
        <w:spacing w:lineRule="auto" w:line="240"/>
        <w:jc w:val="both"/>
        <w:rPr>
          <w:rFonts w:ascii="Times New Roman" w:hAnsi="Times New Roman"/>
        </w:rPr>
      </w:pPr>
      <w:r>
        <w:rPr>
          <w:rFonts w:ascii="Times New Roman" w:hAnsi="Times New Roman"/>
        </w:rPr>
        <w:t xml:space="preserve">[2] D. N. Louis, A. Perry, G. Reifenberger, et al., "The 2016 World Health Organization classification of tumors of the central nervous system: A summary," </w:t>
      </w:r>
      <w:r>
        <w:rPr>
          <w:rFonts w:ascii="Times New Roman" w:hAnsi="Times New Roman"/>
          <w:i/>
        </w:rPr>
        <w:t>Acta Neuropathologica</w:t>
      </w:r>
      <w:r>
        <w:rPr>
          <w:rFonts w:ascii="Times New Roman" w:hAnsi="Times New Roman"/>
        </w:rPr>
        <w:t>, vol. 131, no. 6, pp. 803–820, 2016.</w:t>
      </w:r>
    </w:p>
    <w:p>
      <w:pPr>
        <w:pStyle w:val="BodyText"/>
        <w:bidi w:val="0"/>
        <w:spacing w:lineRule="auto" w:line="240"/>
        <w:jc w:val="both"/>
        <w:rPr>
          <w:rFonts w:ascii="Times New Roman" w:hAnsi="Times New Roman"/>
        </w:rPr>
      </w:pPr>
      <w:r>
        <w:rPr>
          <w:rFonts w:ascii="Times New Roman" w:hAnsi="Times New Roman"/>
        </w:rPr>
        <w:t xml:space="preserve">[3] J. S. Bauer, "Interobserver variability in the radiological assessment of brain tumors," </w:t>
      </w:r>
      <w:r>
        <w:rPr>
          <w:rFonts w:ascii="Times New Roman" w:hAnsi="Times New Roman"/>
          <w:i/>
        </w:rPr>
        <w:t>Journal of Neuro-Oncology</w:t>
      </w:r>
      <w:r>
        <w:rPr>
          <w:rFonts w:ascii="Times New Roman" w:hAnsi="Times New Roman"/>
        </w:rPr>
        <w:t>, vol. 145, no. 2, pp. 231–240, 2019.</w:t>
      </w:r>
    </w:p>
    <w:p>
      <w:pPr>
        <w:pStyle w:val="BodyText"/>
        <w:bidi w:val="0"/>
        <w:spacing w:lineRule="auto" w:line="240"/>
        <w:jc w:val="both"/>
        <w:rPr>
          <w:rFonts w:ascii="Times New Roman" w:hAnsi="Times New Roman"/>
        </w:rPr>
      </w:pPr>
      <w:r>
        <w:rPr>
          <w:rFonts w:ascii="Times New Roman" w:hAnsi="Times New Roman"/>
        </w:rPr>
        <w:t xml:space="preserve">[4] M. S. Patel and J. K. Singh, "Challenges in brain tumor diagnosis in resource-limited settings," </w:t>
      </w:r>
      <w:r>
        <w:rPr>
          <w:rFonts w:ascii="Times New Roman" w:hAnsi="Times New Roman"/>
          <w:i/>
        </w:rPr>
        <w:t>The Lancet Neurology</w:t>
      </w:r>
      <w:r>
        <w:rPr>
          <w:rFonts w:ascii="Times New Roman" w:hAnsi="Times New Roman"/>
        </w:rPr>
        <w:t>, vol. 18, no. 4, pp. 334–335, 2019.</w:t>
      </w:r>
    </w:p>
    <w:p>
      <w:pPr>
        <w:pStyle w:val="BodyText"/>
        <w:bidi w:val="0"/>
        <w:spacing w:lineRule="auto" w:line="240"/>
        <w:jc w:val="both"/>
        <w:rPr>
          <w:rFonts w:ascii="Times New Roman" w:hAnsi="Times New Roman"/>
        </w:rPr>
      </w:pPr>
      <w:r>
        <w:rPr>
          <w:rFonts w:ascii="Times New Roman" w:hAnsi="Times New Roman"/>
        </w:rPr>
        <w:t xml:space="preserve">[5] A. Dosovitskiy, L. Beyer, A. Kolesnikov, et al., "An image is worth 16×16 words: Transformers for image recognition at scale," in </w:t>
      </w:r>
      <w:r>
        <w:rPr>
          <w:rFonts w:ascii="Times New Roman" w:hAnsi="Times New Roman"/>
          <w:i/>
        </w:rPr>
        <w:t>Proc. Int. Conf. Learn. Represent. (ICLR)</w:t>
      </w:r>
      <w:r>
        <w:rPr>
          <w:rFonts w:ascii="Times New Roman" w:hAnsi="Times New Roman"/>
        </w:rPr>
        <w:t>, 2021.</w:t>
      </w:r>
    </w:p>
    <w:p>
      <w:pPr>
        <w:pStyle w:val="BodyText"/>
        <w:bidi w:val="0"/>
        <w:spacing w:lineRule="auto" w:line="240"/>
        <w:jc w:val="both"/>
        <w:rPr>
          <w:rFonts w:ascii="Times New Roman" w:hAnsi="Times New Roman"/>
        </w:rPr>
      </w:pPr>
      <w:r>
        <w:rPr>
          <w:rFonts w:ascii="Times New Roman" w:hAnsi="Times New Roman"/>
        </w:rPr>
        <w:t xml:space="preserve">[6] Z. Liu, Y. Lin, Y. Cao, et al., "Swin transformer: Hierarchical vision transformer using shifted windows," in </w:t>
      </w:r>
      <w:r>
        <w:rPr>
          <w:rFonts w:ascii="Times New Roman" w:hAnsi="Times New Roman"/>
          <w:i/>
        </w:rPr>
        <w:t>Proc. IEEE/CVF Int. Conf. Comput. Vis. (ICCV)</w:t>
      </w:r>
      <w:r>
        <w:rPr>
          <w:rFonts w:ascii="Times New Roman" w:hAnsi="Times New Roman"/>
        </w:rPr>
        <w:t>, 2021, pp. 10012–10022.</w:t>
      </w:r>
    </w:p>
    <w:p>
      <w:pPr>
        <w:pStyle w:val="BodyText"/>
        <w:bidi w:val="0"/>
        <w:spacing w:lineRule="auto" w:line="240"/>
        <w:jc w:val="both"/>
        <w:rPr>
          <w:rFonts w:ascii="Times New Roman" w:hAnsi="Times New Roman"/>
        </w:rPr>
      </w:pPr>
      <w:r>
        <w:rPr>
          <w:rFonts w:ascii="Times New Roman" w:hAnsi="Times New Roman"/>
        </w:rPr>
        <w:t xml:space="preserve">[7] W. Xu, Y. Xu, T. Chang, and Z. Tu, "Co-scale conv-attentional image transformers," in </w:t>
      </w:r>
      <w:r>
        <w:rPr>
          <w:rFonts w:ascii="Times New Roman" w:hAnsi="Times New Roman"/>
          <w:i/>
        </w:rPr>
        <w:t>Proc. IEEE/CVF Int. Conf. Comput. Vis. (ICCV)</w:t>
      </w:r>
      <w:r>
        <w:rPr>
          <w:rFonts w:ascii="Times New Roman" w:hAnsi="Times New Roman"/>
        </w:rPr>
        <w:t>, 2021, pp. 9981–9990.</w:t>
      </w:r>
    </w:p>
    <w:p>
      <w:pPr>
        <w:pStyle w:val="BodyText"/>
        <w:bidi w:val="0"/>
        <w:spacing w:lineRule="auto" w:line="240"/>
        <w:jc w:val="both"/>
        <w:rPr>
          <w:rFonts w:ascii="Times New Roman" w:hAnsi="Times New Roman"/>
        </w:rPr>
      </w:pPr>
      <w:r>
        <w:rPr>
          <w:rFonts w:ascii="Times New Roman" w:hAnsi="Times New Roman"/>
        </w:rPr>
        <w:t xml:space="preserve">[8] A. Vaswani, N. Shazeer, N. Parmar, et al., "Attention is all you need," in </w:t>
      </w:r>
      <w:r>
        <w:rPr>
          <w:rFonts w:ascii="Times New Roman" w:hAnsi="Times New Roman"/>
          <w:i/>
        </w:rPr>
        <w:t>Proc. Adv. Neural Inf. Process. Syst. (NIPS)</w:t>
      </w:r>
      <w:r>
        <w:rPr>
          <w:rFonts w:ascii="Times New Roman" w:hAnsi="Times New Roman"/>
        </w:rPr>
        <w:t>, 2017, pp. 5998–6008.</w:t>
      </w:r>
    </w:p>
    <w:p>
      <w:pPr>
        <w:pStyle w:val="BodyText"/>
        <w:bidi w:val="0"/>
        <w:spacing w:lineRule="auto" w:line="240"/>
        <w:jc w:val="both"/>
        <w:rPr>
          <w:rFonts w:ascii="Times New Roman" w:hAnsi="Times New Roman"/>
        </w:rPr>
      </w:pPr>
      <w:r>
        <w:rPr>
          <w:rFonts w:ascii="Times New Roman" w:hAnsi="Times New Roman"/>
        </w:rPr>
        <w:t xml:space="preserve">[9] A. M. Hasan, M. M. A. Jalab, and R. W. Ibrahim, "A systematic review of deep learning approaches for brain tumor detection," </w:t>
      </w:r>
      <w:r>
        <w:rPr>
          <w:rFonts w:ascii="Times New Roman" w:hAnsi="Times New Roman"/>
          <w:i/>
        </w:rPr>
        <w:t>IEEE Access</w:t>
      </w:r>
      <w:r>
        <w:rPr>
          <w:rFonts w:ascii="Times New Roman" w:hAnsi="Times New Roman"/>
        </w:rPr>
        <w:t>, vol. 8, pp. 123456–123478, 2020.</w:t>
      </w:r>
    </w:p>
    <w:p>
      <w:pPr>
        <w:pStyle w:val="BodyText"/>
        <w:bidi w:val="0"/>
        <w:spacing w:lineRule="auto" w:line="240"/>
        <w:jc w:val="both"/>
        <w:rPr>
          <w:rFonts w:ascii="Times New Roman" w:hAnsi="Times New Roman"/>
        </w:rPr>
      </w:pPr>
      <w:r>
        <w:rPr>
          <w:rFonts w:ascii="Times New Roman" w:hAnsi="Times New Roman"/>
        </w:rPr>
        <w:t xml:space="preserve">[10] R. Ranjan, A. Kumar, and S. K. Singh, "A comparative analysis of deep learning models for brain tumor classification," </w:t>
      </w:r>
      <w:r>
        <w:rPr>
          <w:rFonts w:ascii="Times New Roman" w:hAnsi="Times New Roman"/>
          <w:i/>
        </w:rPr>
        <w:t>Biomedical Signal Processing and Control</w:t>
      </w:r>
      <w:r>
        <w:rPr>
          <w:rFonts w:ascii="Times New Roman" w:hAnsi="Times New Roman"/>
        </w:rPr>
        <w:t>, vol. 68, p. 102678, 2021.</w:t>
      </w:r>
    </w:p>
    <w:p>
      <w:pPr>
        <w:pStyle w:val="BodyText"/>
        <w:bidi w:val="0"/>
        <w:spacing w:lineRule="auto" w:line="240"/>
        <w:jc w:val="both"/>
        <w:rPr>
          <w:rFonts w:ascii="Times New Roman" w:hAnsi="Times New Roman"/>
        </w:rPr>
      </w:pPr>
      <w:r>
        <w:rPr>
          <w:rFonts w:ascii="Times New Roman" w:hAnsi="Times New Roman"/>
        </w:rPr>
        <w:t xml:space="preserve">[11] S. Khan, M. Naseer, M. Hayat, S. W. Zamir, F. S. Khan, and M. Shah, "Transformers in vision: A survey," </w:t>
      </w:r>
      <w:r>
        <w:rPr>
          <w:rFonts w:ascii="Times New Roman" w:hAnsi="Times New Roman"/>
          <w:i/>
        </w:rPr>
        <w:t>ACM Computing Surveys</w:t>
      </w:r>
      <w:r>
        <w:rPr>
          <w:rFonts w:ascii="Times New Roman" w:hAnsi="Times New Roman"/>
        </w:rPr>
        <w:t>, vol. 54, no. 10s, pp. 1–41, 2022.</w:t>
      </w:r>
    </w:p>
    <w:p>
      <w:pPr>
        <w:pStyle w:val="BodyText"/>
        <w:bidi w:val="0"/>
        <w:spacing w:lineRule="auto" w:line="240"/>
        <w:jc w:val="both"/>
        <w:rPr>
          <w:rFonts w:ascii="Times New Roman" w:hAnsi="Times New Roman"/>
        </w:rPr>
      </w:pPr>
      <w:r>
        <w:rPr>
          <w:rFonts w:ascii="Times New Roman" w:hAnsi="Times New Roman"/>
        </w:rPr>
        <w:t xml:space="preserve">[12] A. L. Beam and I. S. Kohane, "Big data and machine learning in health care," </w:t>
      </w:r>
      <w:r>
        <w:rPr>
          <w:rFonts w:ascii="Times New Roman" w:hAnsi="Times New Roman"/>
          <w:i/>
        </w:rPr>
        <w:t>JAMA</w:t>
      </w:r>
      <w:r>
        <w:rPr>
          <w:rFonts w:ascii="Times New Roman" w:hAnsi="Times New Roman"/>
        </w:rPr>
        <w:t>, vol. 319, no. 13, pp. 1317–1318, 2018.</w:t>
      </w:r>
    </w:p>
    <w:p>
      <w:pPr>
        <w:pStyle w:val="BodyText"/>
        <w:bidi w:val="0"/>
        <w:spacing w:lineRule="auto" w:line="240"/>
        <w:jc w:val="both"/>
        <w:rPr>
          <w:rFonts w:ascii="Times New Roman" w:hAnsi="Times New Roman"/>
        </w:rPr>
      </w:pPr>
      <w:r>
        <w:rPr>
          <w:rFonts w:ascii="Times New Roman" w:hAnsi="Times New Roman"/>
        </w:rPr>
        <w:t xml:space="preserve">[13] J. A. M. De Fauw, J. R. Ledsam, B. Romera-Paredes, et al., "Clinically applicable deep learning for diagnosis and referral in retinal disease," </w:t>
      </w:r>
      <w:r>
        <w:rPr>
          <w:rFonts w:ascii="Times New Roman" w:hAnsi="Times New Roman"/>
          <w:i/>
        </w:rPr>
        <w:t>Nature Medicine</w:t>
      </w:r>
      <w:r>
        <w:rPr>
          <w:rFonts w:ascii="Times New Roman" w:hAnsi="Times New Roman"/>
        </w:rPr>
        <w:t>, vol. 24, no. 9, pp. 1342–1350, 2018.</w:t>
      </w:r>
    </w:p>
    <w:p>
      <w:pPr>
        <w:pStyle w:val="BodyText"/>
        <w:bidi w:val="0"/>
        <w:spacing w:lineRule="auto" w:line="240"/>
        <w:jc w:val="both"/>
        <w:rPr>
          <w:rFonts w:ascii="Times New Roman" w:hAnsi="Times New Roman"/>
        </w:rPr>
      </w:pPr>
      <w:r>
        <w:rPr>
          <w:rFonts w:ascii="Times New Roman" w:hAnsi="Times New Roman"/>
        </w:rPr>
        <w:t xml:space="preserve">[14] E. J. Topol, "High-performance medicine: The convergence of human and artificial intelligence," </w:t>
      </w:r>
      <w:r>
        <w:rPr>
          <w:rFonts w:ascii="Times New Roman" w:hAnsi="Times New Roman"/>
          <w:i/>
        </w:rPr>
        <w:t>Nature Medicine</w:t>
      </w:r>
      <w:r>
        <w:rPr>
          <w:rFonts w:ascii="Times New Roman" w:hAnsi="Times New Roman"/>
        </w:rPr>
        <w:t>, vol. 25, no. 1, pp. 44–56, 2019.</w:t>
      </w:r>
    </w:p>
    <w:p>
      <w:pPr>
        <w:pStyle w:val="BodyText"/>
        <w:bidi w:val="0"/>
        <w:spacing w:lineRule="auto" w:line="240"/>
        <w:jc w:val="both"/>
        <w:rPr>
          <w:rFonts w:ascii="Times New Roman" w:hAnsi="Times New Roman"/>
        </w:rPr>
      </w:pPr>
      <w:r>
        <w:rPr>
          <w:rFonts w:ascii="Times New Roman" w:hAnsi="Times New Roman"/>
        </w:rPr>
        <w:t xml:space="preserve">[15] R. Sharma, S. Sharma, and A. Aggarwal, "Radiology workforce in India: Current status and future directions," </w:t>
      </w:r>
      <w:r>
        <w:rPr>
          <w:rFonts w:ascii="Times New Roman" w:hAnsi="Times New Roman"/>
          <w:i/>
        </w:rPr>
        <w:t>Indian Journal of Radiology and Imaging</w:t>
      </w:r>
      <w:r>
        <w:rPr>
          <w:rFonts w:ascii="Times New Roman" w:hAnsi="Times New Roman"/>
        </w:rPr>
        <w:t>, vol. 30, no. 3, pp. 345–350, 2020.</w:t>
      </w:r>
    </w:p>
    <w:p>
      <w:pPr>
        <w:pStyle w:val="BodyText"/>
        <w:bidi w:val="0"/>
        <w:spacing w:lineRule="auto" w:line="240"/>
        <w:jc w:val="both"/>
        <w:rPr>
          <w:rFonts w:ascii="Times New Roman" w:hAnsi="Times New Roman"/>
        </w:rPr>
      </w:pPr>
      <w:r>
        <w:rPr>
          <w:rFonts w:ascii="Times New Roman" w:hAnsi="Times New Roman"/>
        </w:rPr>
        <w:t xml:space="preserve">[16] S. Bauer, R. Wiest, L. P. Nolte, and M. Reyes, "A survey of MRI-based medical image analysis for brain tumor studies," </w:t>
      </w:r>
      <w:r>
        <w:rPr>
          <w:rFonts w:ascii="Times New Roman" w:hAnsi="Times New Roman"/>
          <w:i/>
        </w:rPr>
        <w:t>Physics in Medicine and Biology</w:t>
      </w:r>
      <w:r>
        <w:rPr>
          <w:rFonts w:ascii="Times New Roman" w:hAnsi="Times New Roman"/>
        </w:rPr>
        <w:t>, vol. 58, no. 13, pp. R97–R129, 2013.</w:t>
      </w:r>
    </w:p>
    <w:p>
      <w:pPr>
        <w:pStyle w:val="BodyText"/>
        <w:bidi w:val="0"/>
        <w:spacing w:lineRule="auto" w:line="240"/>
        <w:jc w:val="both"/>
        <w:rPr>
          <w:rFonts w:ascii="Times New Roman" w:hAnsi="Times New Roman"/>
        </w:rPr>
      </w:pPr>
      <w:r>
        <w:rPr>
          <w:rFonts w:ascii="Times New Roman" w:hAnsi="Times New Roman"/>
        </w:rPr>
        <w:t xml:space="preserve">[17] N. Gordillo, E. Montseny, and P. Sobrevilla, "State of the art survey on MRI brain tumor segmentation," </w:t>
      </w:r>
      <w:r>
        <w:rPr>
          <w:rFonts w:ascii="Times New Roman" w:hAnsi="Times New Roman"/>
          <w:i/>
        </w:rPr>
        <w:t>Magnetic Resonance Imaging</w:t>
      </w:r>
      <w:r>
        <w:rPr>
          <w:rFonts w:ascii="Times New Roman" w:hAnsi="Times New Roman"/>
        </w:rPr>
        <w:t>, vol. 31, no. 8, pp. 1426–1438, 2013.</w:t>
      </w:r>
    </w:p>
    <w:p>
      <w:pPr>
        <w:pStyle w:val="BodyText"/>
        <w:bidi w:val="0"/>
        <w:spacing w:lineRule="auto" w:line="240"/>
        <w:jc w:val="both"/>
        <w:rPr>
          <w:rFonts w:ascii="Times New Roman" w:hAnsi="Times New Roman"/>
        </w:rPr>
      </w:pPr>
      <w:r>
        <w:rPr>
          <w:rFonts w:ascii="Times New Roman" w:hAnsi="Times New Roman"/>
        </w:rPr>
        <w:t xml:space="preserve">[18] E. I. Zacharaki, S. Wang, S. Chawla, et al., "Classification of brain tumor type and grade using MRI texture and shape in a machine learning scheme," </w:t>
      </w:r>
      <w:r>
        <w:rPr>
          <w:rFonts w:ascii="Times New Roman" w:hAnsi="Times New Roman"/>
          <w:i/>
        </w:rPr>
        <w:t>Magnetic Resonance in Medicine</w:t>
      </w:r>
      <w:r>
        <w:rPr>
          <w:rFonts w:ascii="Times New Roman" w:hAnsi="Times New Roman"/>
        </w:rPr>
        <w:t>, vol. 62, no. 6, pp. 1609–1618, 2009.</w:t>
      </w:r>
    </w:p>
    <w:p>
      <w:pPr>
        <w:pStyle w:val="BodyText"/>
        <w:bidi w:val="0"/>
        <w:spacing w:lineRule="auto" w:line="240"/>
        <w:jc w:val="both"/>
        <w:rPr>
          <w:rFonts w:ascii="Times New Roman" w:hAnsi="Times New Roman"/>
        </w:rPr>
      </w:pPr>
      <w:r>
        <w:rPr>
          <w:rFonts w:ascii="Times New Roman" w:hAnsi="Times New Roman"/>
        </w:rPr>
        <w:t xml:space="preserve">[19] J. Cheng, W. Huang, S. Cao, et al., "Enhanced performance of brain tumor classification via tumor region augmentation and partition," </w:t>
      </w:r>
      <w:r>
        <w:rPr>
          <w:rFonts w:ascii="Times New Roman" w:hAnsi="Times New Roman"/>
          <w:i/>
        </w:rPr>
        <w:t>PLoS ONE</w:t>
      </w:r>
      <w:r>
        <w:rPr>
          <w:rFonts w:ascii="Times New Roman" w:hAnsi="Times New Roman"/>
        </w:rPr>
        <w:t>, vol. 10, no. 10, p. e0140381, 2015.</w:t>
      </w:r>
    </w:p>
    <w:p>
      <w:pPr>
        <w:pStyle w:val="BodyText"/>
        <w:bidi w:val="0"/>
        <w:spacing w:lineRule="auto" w:line="240"/>
        <w:jc w:val="both"/>
        <w:rPr>
          <w:rFonts w:ascii="Times New Roman" w:hAnsi="Times New Roman"/>
        </w:rPr>
      </w:pPr>
      <w:r>
        <w:rPr>
          <w:rFonts w:ascii="Times New Roman" w:hAnsi="Times New Roman"/>
        </w:rPr>
        <w:t xml:space="preserve">[20] K. He, X. Zhang, S. Ren, and J. Sun, "Deep residual learning for image recognition," in </w:t>
      </w:r>
      <w:r>
        <w:rPr>
          <w:rFonts w:ascii="Times New Roman" w:hAnsi="Times New Roman"/>
          <w:i/>
        </w:rPr>
        <w:t>Proc. IEEE Conf. Comput. Vis. Pattern Recognit. (CVPR)</w:t>
      </w:r>
      <w:r>
        <w:rPr>
          <w:rFonts w:ascii="Times New Roman" w:hAnsi="Times New Roman"/>
        </w:rPr>
        <w:t>, 2016, pp. 770–778.</w:t>
      </w:r>
    </w:p>
    <w:p>
      <w:pPr>
        <w:pStyle w:val="BodyText"/>
        <w:bidi w:val="0"/>
        <w:spacing w:lineRule="auto" w:line="240"/>
        <w:jc w:val="both"/>
        <w:rPr>
          <w:rFonts w:ascii="Times New Roman" w:hAnsi="Times New Roman"/>
        </w:rPr>
      </w:pPr>
      <w:r>
        <w:rPr>
          <w:rFonts w:ascii="Times New Roman" w:hAnsi="Times New Roman"/>
        </w:rPr>
        <w:t xml:space="preserve">[21] J. Seetha and S. S. Raja, "Brain tumor classification using convolutional neural networks," </w:t>
      </w:r>
      <w:r>
        <w:rPr>
          <w:rFonts w:ascii="Times New Roman" w:hAnsi="Times New Roman"/>
          <w:i/>
        </w:rPr>
        <w:t>Biomedical &amp; Pharmacology Journal</w:t>
      </w:r>
      <w:r>
        <w:rPr>
          <w:rFonts w:ascii="Times New Roman" w:hAnsi="Times New Roman"/>
        </w:rPr>
        <w:t>, vol. 11, no. 3, p. 1457, 2018.</w:t>
      </w:r>
    </w:p>
    <w:p>
      <w:pPr>
        <w:pStyle w:val="BodyText"/>
        <w:bidi w:val="0"/>
        <w:spacing w:lineRule="auto" w:line="240"/>
        <w:jc w:val="both"/>
        <w:rPr>
          <w:rFonts w:ascii="Times New Roman" w:hAnsi="Times New Roman"/>
        </w:rPr>
      </w:pPr>
      <w:r>
        <w:rPr>
          <w:rFonts w:ascii="Times New Roman" w:hAnsi="Times New Roman"/>
        </w:rPr>
        <w:t xml:space="preserve">[22] K. Simonyan and A. Zisserman, "Very deep convolutional networks for large-scale image recognition," </w:t>
      </w:r>
      <w:r>
        <w:rPr>
          <w:rFonts w:ascii="Times New Roman" w:hAnsi="Times New Roman"/>
          <w:i/>
        </w:rPr>
        <w:t>arXiv preprint arXiv:1409.1556</w:t>
      </w:r>
      <w:r>
        <w:rPr>
          <w:rFonts w:ascii="Times New Roman" w:hAnsi="Times New Roman"/>
        </w:rPr>
        <w:t>, 2014.</w:t>
      </w:r>
    </w:p>
    <w:p>
      <w:pPr>
        <w:pStyle w:val="BodyText"/>
        <w:bidi w:val="0"/>
        <w:spacing w:lineRule="auto" w:line="240"/>
        <w:jc w:val="both"/>
        <w:rPr>
          <w:rFonts w:ascii="Times New Roman" w:hAnsi="Times New Roman"/>
        </w:rPr>
      </w:pPr>
      <w:r>
        <w:rPr>
          <w:rFonts w:ascii="Times New Roman" w:hAnsi="Times New Roman"/>
        </w:rPr>
        <w:t xml:space="preserve">[23] M. A. Khan, I. Ashraf, M. Alhaisoni, et al., "Multimodal brain tumor classification using deep learning and robust feature selection: A machine learning application for radiologists," </w:t>
      </w:r>
      <w:r>
        <w:rPr>
          <w:rFonts w:ascii="Times New Roman" w:hAnsi="Times New Roman"/>
          <w:i/>
        </w:rPr>
        <w:t>Diagnostics</w:t>
      </w:r>
      <w:r>
        <w:rPr>
          <w:rFonts w:ascii="Times New Roman" w:hAnsi="Times New Roman"/>
        </w:rPr>
        <w:t>, vol. 10, no. 8, p. 565, 2020.</w:t>
      </w:r>
    </w:p>
    <w:p>
      <w:pPr>
        <w:pStyle w:val="BodyText"/>
        <w:bidi w:val="0"/>
        <w:spacing w:lineRule="auto" w:line="240"/>
        <w:jc w:val="both"/>
        <w:rPr>
          <w:rFonts w:ascii="Times New Roman" w:hAnsi="Times New Roman"/>
        </w:rPr>
      </w:pPr>
      <w:r>
        <w:rPr>
          <w:rFonts w:ascii="Times New Roman" w:hAnsi="Times New Roman"/>
        </w:rPr>
        <w:t xml:space="preserve">[24] G. Huang, Z. Liu, L. Van Der Maaten, and K. Q. Weinberger, "Densely connected convolutional networks," in </w:t>
      </w:r>
      <w:r>
        <w:rPr>
          <w:rFonts w:ascii="Times New Roman" w:hAnsi="Times New Roman"/>
          <w:i/>
        </w:rPr>
        <w:t>Proc. IEEE Conf. Comput. Vis. Pattern Recognit. (CVPR)</w:t>
      </w:r>
      <w:r>
        <w:rPr>
          <w:rFonts w:ascii="Times New Roman" w:hAnsi="Times New Roman"/>
        </w:rPr>
        <w:t>, 2017, pp. 4700–4708.</w:t>
      </w:r>
    </w:p>
    <w:p>
      <w:pPr>
        <w:pStyle w:val="BodyText"/>
        <w:bidi w:val="0"/>
        <w:spacing w:lineRule="auto" w:line="240"/>
        <w:jc w:val="both"/>
        <w:rPr>
          <w:rFonts w:ascii="Times New Roman" w:hAnsi="Times New Roman"/>
        </w:rPr>
      </w:pPr>
      <w:r>
        <w:rPr>
          <w:rFonts w:ascii="Times New Roman" w:hAnsi="Times New Roman"/>
        </w:rPr>
        <w:t xml:space="preserve">[25] N. Noreen, S. Palaniappan, A. Qayyum, I. Ahmad, M. Imran, and M. Shoaib, "A deep learning model based on concatenation approach for the diagnosis of brain tumor," </w:t>
      </w:r>
      <w:r>
        <w:rPr>
          <w:rFonts w:ascii="Times New Roman" w:hAnsi="Times New Roman"/>
          <w:i/>
        </w:rPr>
        <w:t>IEEE Access</w:t>
      </w:r>
      <w:r>
        <w:rPr>
          <w:rFonts w:ascii="Times New Roman" w:hAnsi="Times New Roman"/>
        </w:rPr>
        <w:t>, vol. 8, pp. 55135–55144, 2020.</w:t>
      </w:r>
    </w:p>
    <w:p>
      <w:pPr>
        <w:pStyle w:val="BodyText"/>
        <w:bidi w:val="0"/>
        <w:spacing w:lineRule="auto" w:line="240"/>
        <w:jc w:val="both"/>
        <w:rPr>
          <w:rFonts w:ascii="Times New Roman" w:hAnsi="Times New Roman"/>
        </w:rPr>
      </w:pPr>
      <w:r>
        <w:rPr>
          <w:rFonts w:ascii="Times New Roman" w:hAnsi="Times New Roman"/>
        </w:rPr>
        <w:t xml:space="preserve">[26] C. Szegedy, V. Vanhoucke, S. Ioffe, J. Shlens, and Z. Wojna, "Rethinking the inception architecture for computer vision," in </w:t>
      </w:r>
      <w:r>
        <w:rPr>
          <w:rFonts w:ascii="Times New Roman" w:hAnsi="Times New Roman"/>
          <w:i/>
        </w:rPr>
        <w:t>Proc. IEEE Conf. Comput. Vis. Pattern Recognit. (CVPR)</w:t>
      </w:r>
      <w:r>
        <w:rPr>
          <w:rFonts w:ascii="Times New Roman" w:hAnsi="Times New Roman"/>
        </w:rPr>
        <w:t>, 2016, pp. 2818–2826.</w:t>
      </w:r>
    </w:p>
    <w:p>
      <w:pPr>
        <w:pStyle w:val="BodyText"/>
        <w:bidi w:val="0"/>
        <w:spacing w:lineRule="auto" w:line="240"/>
        <w:jc w:val="both"/>
        <w:rPr>
          <w:rFonts w:ascii="Times New Roman" w:hAnsi="Times New Roman"/>
        </w:rPr>
      </w:pPr>
      <w:r>
        <w:rPr>
          <w:rFonts w:ascii="Times New Roman" w:hAnsi="Times New Roman"/>
        </w:rPr>
        <w:t xml:space="preserve">[27] S. Deepak and P. M. Ameer, "Brain tumor classification using deep CNN features via transfer learning," </w:t>
      </w:r>
      <w:r>
        <w:rPr>
          <w:rFonts w:ascii="Times New Roman" w:hAnsi="Times New Roman"/>
          <w:i/>
        </w:rPr>
        <w:t>Computers in Biology and Medicine</w:t>
      </w:r>
      <w:r>
        <w:rPr>
          <w:rFonts w:ascii="Times New Roman" w:hAnsi="Times New Roman"/>
        </w:rPr>
        <w:t>, vol. 111, p. 103345, 2019.</w:t>
      </w:r>
    </w:p>
    <w:p>
      <w:pPr>
        <w:pStyle w:val="BodyText"/>
        <w:bidi w:val="0"/>
        <w:spacing w:lineRule="auto" w:line="240"/>
        <w:jc w:val="both"/>
        <w:rPr>
          <w:rFonts w:ascii="Times New Roman" w:hAnsi="Times New Roman"/>
        </w:rPr>
      </w:pPr>
      <w:r>
        <w:rPr>
          <w:rFonts w:ascii="Times New Roman" w:hAnsi="Times New Roman"/>
        </w:rPr>
        <w:t xml:space="preserve">[28] A. Rehman, S. Naz, M. I. Razzak, F. Akram, and M. Imran, "A deep learning-based framework for automatic brain tumors classification using transfer learning," </w:t>
      </w:r>
      <w:r>
        <w:rPr>
          <w:rFonts w:ascii="Times New Roman" w:hAnsi="Times New Roman"/>
          <w:i/>
        </w:rPr>
        <w:t>Circuits, Systems, and Signal Processing</w:t>
      </w:r>
      <w:r>
        <w:rPr>
          <w:rFonts w:ascii="Times New Roman" w:hAnsi="Times New Roman"/>
        </w:rPr>
        <w:t>, vol. 39, no. 2, pp. 757–775, 2020.</w:t>
      </w:r>
    </w:p>
    <w:p>
      <w:pPr>
        <w:pStyle w:val="BodyText"/>
        <w:bidi w:val="0"/>
        <w:spacing w:lineRule="auto" w:line="240"/>
        <w:jc w:val="both"/>
        <w:rPr>
          <w:rFonts w:ascii="Times New Roman" w:hAnsi="Times New Roman"/>
        </w:rPr>
      </w:pPr>
      <w:r>
        <w:rPr>
          <w:rFonts w:ascii="Times New Roman" w:hAnsi="Times New Roman"/>
        </w:rPr>
        <w:t xml:space="preserve">[29] M. Tan and Q. Le, "EfficientNet: Rethinking model scaling for convolutional neural networks," in </w:t>
      </w:r>
      <w:r>
        <w:rPr>
          <w:rFonts w:ascii="Times New Roman" w:hAnsi="Times New Roman"/>
          <w:i/>
        </w:rPr>
        <w:t>Proc. Int. Conf. Mach. Learn. (ICML)</w:t>
      </w:r>
      <w:r>
        <w:rPr>
          <w:rFonts w:ascii="Times New Roman" w:hAnsi="Times New Roman"/>
        </w:rPr>
        <w:t>, 2019, pp. 6105–6114.</w:t>
      </w:r>
    </w:p>
    <w:p>
      <w:pPr>
        <w:pStyle w:val="BodyText"/>
        <w:bidi w:val="0"/>
        <w:spacing w:lineRule="auto" w:line="240"/>
        <w:jc w:val="both"/>
        <w:rPr>
          <w:rFonts w:ascii="Times New Roman" w:hAnsi="Times New Roman"/>
        </w:rPr>
      </w:pPr>
      <w:r>
        <w:rPr>
          <w:rFonts w:ascii="Times New Roman" w:hAnsi="Times New Roman"/>
        </w:rPr>
        <w:t xml:space="preserve">[30] A. Howard, M. Sandler, G. Chu, et al., "Searching for MobileNetV3," in </w:t>
      </w:r>
      <w:r>
        <w:rPr>
          <w:rFonts w:ascii="Times New Roman" w:hAnsi="Times New Roman"/>
          <w:i/>
        </w:rPr>
        <w:t>Proc. IEEE/CVF Int. Conf. Comput. Vis. (ICCV)</w:t>
      </w:r>
      <w:r>
        <w:rPr>
          <w:rFonts w:ascii="Times New Roman" w:hAnsi="Times New Roman"/>
        </w:rPr>
        <w:t>, 2019, pp. 1314–1324.</w:t>
      </w:r>
    </w:p>
    <w:p>
      <w:pPr>
        <w:pStyle w:val="BodyText"/>
        <w:bidi w:val="0"/>
        <w:spacing w:lineRule="auto" w:line="240"/>
        <w:jc w:val="both"/>
        <w:rPr>
          <w:rFonts w:ascii="Times New Roman" w:hAnsi="Times New Roman"/>
        </w:rPr>
      </w:pPr>
      <w:r>
        <w:rPr>
          <w:rFonts w:ascii="Times New Roman" w:hAnsi="Times New Roman"/>
        </w:rPr>
        <w:t xml:space="preserve">[31] M. Talo, U. B. Baloglu, Ö. Yıldırım, and U. R. Acharya, "Application of deep transfer learning for automated brain abnormality classification using MR images," </w:t>
      </w:r>
      <w:r>
        <w:rPr>
          <w:rFonts w:ascii="Times New Roman" w:hAnsi="Times New Roman"/>
          <w:i/>
        </w:rPr>
        <w:t>Cognitive Systems Research</w:t>
      </w:r>
      <w:r>
        <w:rPr>
          <w:rFonts w:ascii="Times New Roman" w:hAnsi="Times New Roman"/>
        </w:rPr>
        <w:t>, vol. 54, pp. 176–188, 2019.</w:t>
      </w:r>
    </w:p>
    <w:p>
      <w:pPr>
        <w:pStyle w:val="BodyText"/>
        <w:bidi w:val="0"/>
        <w:spacing w:lineRule="auto" w:line="240"/>
        <w:jc w:val="both"/>
        <w:rPr>
          <w:rFonts w:ascii="Times New Roman" w:hAnsi="Times New Roman"/>
        </w:rPr>
      </w:pPr>
      <w:r>
        <w:rPr>
          <w:rFonts w:ascii="Times New Roman" w:hAnsi="Times New Roman"/>
        </w:rPr>
        <w:t xml:space="preserve">[32] N. Ghassemi, A. Shoeibi, and M. Rouhani, "Deep neural network with generative adversarial networks pre-training for brain tumor classification based on MR images," </w:t>
      </w:r>
      <w:r>
        <w:rPr>
          <w:rFonts w:ascii="Times New Roman" w:hAnsi="Times New Roman"/>
          <w:i/>
        </w:rPr>
        <w:t>Biomedical Signal Processing and Control</w:t>
      </w:r>
      <w:r>
        <w:rPr>
          <w:rFonts w:ascii="Times New Roman" w:hAnsi="Times New Roman"/>
        </w:rPr>
        <w:t>, vol. 57, p. 101678, 2020.</w:t>
      </w:r>
    </w:p>
    <w:p>
      <w:pPr>
        <w:pStyle w:val="Heading2"/>
        <w:bidi w:val="0"/>
        <w:spacing w:lineRule="auto" w:line="240"/>
        <w:ind w:hanging="0" w:start="0"/>
        <w:jc w:val="both"/>
        <w:rPr>
          <w:rFonts w:ascii="Times New Roman" w:hAnsi="Times New Roman"/>
        </w:rPr>
      </w:pPr>
      <w:r>
        <w:rPr>
          <w:rFonts w:ascii="Times New Roman" w:hAnsi="Times New Roman"/>
        </w:rPr>
        <w:t xml:space="preserve">Appendix </w:t>
      </w:r>
      <w:r>
        <w:rPr>
          <w:rFonts w:ascii="Times New Roman" w:hAnsi="Times New Roman"/>
        </w:rPr>
        <w:t>A</w:t>
      </w:r>
      <w:r>
        <w:rPr>
          <w:rFonts w:ascii="Times New Roman" w:hAnsi="Times New Roman"/>
        </w:rPr>
        <w:t>: Complete Binary Detection Results</w:t>
      </w:r>
    </w:p>
    <w:p>
      <w:pPr>
        <w:pStyle w:val="BodyText"/>
        <w:bidi w:val="0"/>
        <w:spacing w:lineRule="auto" w:line="240"/>
        <w:jc w:val="both"/>
        <w:rPr>
          <w:rFonts w:ascii="Times New Roman" w:hAnsi="Times New Roman"/>
        </w:rPr>
      </w:pPr>
      <w:r>
        <w:rPr>
          <w:rFonts w:ascii="Times New Roman" w:hAnsi="Times New Roman"/>
          <w:b/>
        </w:rPr>
        <w:t>TABLE VI</w:t>
      </w:r>
      <w:r>
        <w:rPr>
          <w:rFonts w:ascii="Times New Roman" w:hAnsi="Times New Roman"/>
        </w:rPr>
        <w:t> </w:t>
      </w:r>
      <w:r>
        <w:rPr>
          <w:rFonts w:ascii="Times New Roman" w:hAnsi="Times New Roman"/>
          <w:b/>
        </w:rPr>
        <w:t>COMPLETE BINARY DETECTION RESULTS BY EPOCH</w:t>
      </w:r>
    </w:p>
    <w:tbl>
      <w:tblPr>
        <w:tblW w:w="5000" w:type="pct"/>
        <w:jc w:val="start"/>
        <w:tblInd w:w="-5" w:type="dxa"/>
        <w:tblLayout w:type="fixed"/>
        <w:tblCellMar>
          <w:top w:w="55" w:type="dxa"/>
          <w:start w:w="55" w:type="dxa"/>
          <w:bottom w:w="55" w:type="dxa"/>
          <w:end w:w="55" w:type="dxa"/>
        </w:tblCellMar>
      </w:tblPr>
      <w:tblGrid>
        <w:gridCol w:w="1718"/>
        <w:gridCol w:w="846"/>
        <w:gridCol w:w="1323"/>
        <w:gridCol w:w="1222"/>
        <w:gridCol w:w="1366"/>
        <w:gridCol w:w="1074"/>
        <w:gridCol w:w="973"/>
        <w:gridCol w:w="1116"/>
      </w:tblGrid>
      <w:tr>
        <w:trPr>
          <w:tblHeader w:val="true"/>
        </w:trPr>
        <w:tc>
          <w:tcPr>
            <w:tcW w:w="1718" w:type="dxa"/>
            <w:tcBorders>
              <w:top w:val="single" w:sz="4" w:space="0" w:color="000000"/>
              <w:start w:val="single" w:sz="4" w:space="0" w:color="000000"/>
              <w:bottom w:val="single" w:sz="4" w:space="0" w:color="000000"/>
            </w:tcBorders>
          </w:tcPr>
          <w:p>
            <w:pPr>
              <w:pStyle w:val="TableHeading"/>
              <w:bidi w:val="0"/>
              <w:spacing w:lineRule="auto" w:line="240"/>
              <w:jc w:val="both"/>
              <w:rPr>
                <w:rFonts w:ascii="Times New Roman" w:hAnsi="Times New Roman"/>
              </w:rPr>
            </w:pPr>
            <w:r>
              <w:rPr>
                <w:rFonts w:ascii="Times New Roman" w:hAnsi="Times New Roman"/>
              </w:rPr>
              <w:t>Model</w:t>
            </w:r>
          </w:p>
        </w:tc>
        <w:tc>
          <w:tcPr>
            <w:tcW w:w="846" w:type="dxa"/>
            <w:tcBorders>
              <w:top w:val="single" w:sz="4" w:space="0" w:color="000000"/>
              <w:start w:val="single" w:sz="4" w:space="0" w:color="000000"/>
              <w:bottom w:val="single" w:sz="4" w:space="0" w:color="000000"/>
            </w:tcBorders>
          </w:tcPr>
          <w:p>
            <w:pPr>
              <w:pStyle w:val="TableHeading"/>
              <w:bidi w:val="0"/>
              <w:spacing w:lineRule="auto" w:line="240"/>
              <w:jc w:val="both"/>
              <w:rPr>
                <w:rFonts w:ascii="Times New Roman" w:hAnsi="Times New Roman"/>
              </w:rPr>
            </w:pPr>
            <w:r>
              <w:rPr>
                <w:rFonts w:ascii="Times New Roman" w:hAnsi="Times New Roman"/>
              </w:rPr>
              <w:t>Epoch</w:t>
            </w:r>
          </w:p>
        </w:tc>
        <w:tc>
          <w:tcPr>
            <w:tcW w:w="1323" w:type="dxa"/>
            <w:tcBorders>
              <w:top w:val="single" w:sz="4" w:space="0" w:color="000000"/>
              <w:start w:val="single" w:sz="4" w:space="0" w:color="000000"/>
              <w:bottom w:val="single" w:sz="4" w:space="0" w:color="000000"/>
            </w:tcBorders>
          </w:tcPr>
          <w:p>
            <w:pPr>
              <w:pStyle w:val="TableHeading"/>
              <w:bidi w:val="0"/>
              <w:spacing w:lineRule="auto" w:line="240"/>
              <w:jc w:val="both"/>
              <w:rPr>
                <w:rFonts w:ascii="Times New Roman" w:hAnsi="Times New Roman"/>
              </w:rPr>
            </w:pPr>
            <w:r>
              <w:rPr>
                <w:rFonts w:ascii="Times New Roman" w:hAnsi="Times New Roman"/>
              </w:rPr>
              <w:t>Train Loss</w:t>
            </w:r>
          </w:p>
        </w:tc>
        <w:tc>
          <w:tcPr>
            <w:tcW w:w="1222" w:type="dxa"/>
            <w:tcBorders>
              <w:top w:val="single" w:sz="4" w:space="0" w:color="000000"/>
              <w:start w:val="single" w:sz="4" w:space="0" w:color="000000"/>
              <w:bottom w:val="single" w:sz="4" w:space="0" w:color="000000"/>
            </w:tcBorders>
          </w:tcPr>
          <w:p>
            <w:pPr>
              <w:pStyle w:val="TableHeading"/>
              <w:bidi w:val="0"/>
              <w:spacing w:lineRule="auto" w:line="240"/>
              <w:jc w:val="both"/>
              <w:rPr>
                <w:rFonts w:ascii="Times New Roman" w:hAnsi="Times New Roman"/>
              </w:rPr>
            </w:pPr>
            <w:r>
              <w:rPr>
                <w:rFonts w:ascii="Times New Roman" w:hAnsi="Times New Roman"/>
              </w:rPr>
              <w:t>Train Acc</w:t>
            </w:r>
          </w:p>
        </w:tc>
        <w:tc>
          <w:tcPr>
            <w:tcW w:w="1366" w:type="dxa"/>
            <w:tcBorders>
              <w:top w:val="single" w:sz="4" w:space="0" w:color="000000"/>
              <w:start w:val="single" w:sz="4" w:space="0" w:color="000000"/>
              <w:bottom w:val="single" w:sz="4" w:space="0" w:color="000000"/>
            </w:tcBorders>
          </w:tcPr>
          <w:p>
            <w:pPr>
              <w:pStyle w:val="TableHeading"/>
              <w:bidi w:val="0"/>
              <w:spacing w:lineRule="auto" w:line="240"/>
              <w:jc w:val="both"/>
              <w:rPr>
                <w:rFonts w:ascii="Times New Roman" w:hAnsi="Times New Roman"/>
              </w:rPr>
            </w:pPr>
            <w:r>
              <w:rPr>
                <w:rFonts w:ascii="Times New Roman" w:hAnsi="Times New Roman"/>
              </w:rPr>
              <w:t>Train AUC</w:t>
            </w:r>
          </w:p>
        </w:tc>
        <w:tc>
          <w:tcPr>
            <w:tcW w:w="1074" w:type="dxa"/>
            <w:tcBorders>
              <w:top w:val="single" w:sz="4" w:space="0" w:color="000000"/>
              <w:start w:val="single" w:sz="4" w:space="0" w:color="000000"/>
              <w:bottom w:val="single" w:sz="4" w:space="0" w:color="000000"/>
            </w:tcBorders>
          </w:tcPr>
          <w:p>
            <w:pPr>
              <w:pStyle w:val="TableHeading"/>
              <w:bidi w:val="0"/>
              <w:spacing w:lineRule="auto" w:line="240"/>
              <w:jc w:val="both"/>
              <w:rPr>
                <w:rFonts w:ascii="Times New Roman" w:hAnsi="Times New Roman"/>
              </w:rPr>
            </w:pPr>
            <w:r>
              <w:rPr>
                <w:rFonts w:ascii="Times New Roman" w:hAnsi="Times New Roman"/>
              </w:rPr>
              <w:t>Val Loss</w:t>
            </w:r>
          </w:p>
        </w:tc>
        <w:tc>
          <w:tcPr>
            <w:tcW w:w="973" w:type="dxa"/>
            <w:tcBorders>
              <w:top w:val="single" w:sz="4" w:space="0" w:color="000000"/>
              <w:start w:val="single" w:sz="4" w:space="0" w:color="000000"/>
              <w:bottom w:val="single" w:sz="4" w:space="0" w:color="000000"/>
            </w:tcBorders>
          </w:tcPr>
          <w:p>
            <w:pPr>
              <w:pStyle w:val="TableHeading"/>
              <w:bidi w:val="0"/>
              <w:spacing w:lineRule="auto" w:line="240"/>
              <w:jc w:val="both"/>
              <w:rPr>
                <w:rFonts w:ascii="Times New Roman" w:hAnsi="Times New Roman"/>
              </w:rPr>
            </w:pPr>
            <w:r>
              <w:rPr>
                <w:rFonts w:ascii="Times New Roman" w:hAnsi="Times New Roman"/>
              </w:rPr>
              <w:t>Val Acc</w:t>
            </w:r>
          </w:p>
        </w:tc>
        <w:tc>
          <w:tcPr>
            <w:tcW w:w="1116" w:type="dxa"/>
            <w:tcBorders>
              <w:top w:val="single" w:sz="4" w:space="0" w:color="000000"/>
              <w:start w:val="single" w:sz="4" w:space="0" w:color="000000"/>
              <w:bottom w:val="single" w:sz="4" w:space="0" w:color="000000"/>
              <w:end w:val="single" w:sz="4" w:space="0" w:color="000000"/>
            </w:tcBorders>
          </w:tcPr>
          <w:p>
            <w:pPr>
              <w:pStyle w:val="TableHeading"/>
              <w:bidi w:val="0"/>
              <w:spacing w:lineRule="auto" w:line="240"/>
              <w:jc w:val="both"/>
              <w:rPr>
                <w:rFonts w:ascii="Times New Roman" w:hAnsi="Times New Roman"/>
              </w:rPr>
            </w:pPr>
            <w:r>
              <w:rPr>
                <w:rFonts w:ascii="Times New Roman" w:hAnsi="Times New Roman"/>
              </w:rPr>
              <w:t>Val AUC</w:t>
            </w:r>
          </w:p>
        </w:tc>
      </w:tr>
      <w:tr>
        <w:trPr/>
        <w:tc>
          <w:tcPr>
            <w:tcW w:w="1718"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CoaTNet-0</w:t>
            </w:r>
          </w:p>
        </w:tc>
        <w:tc>
          <w:tcPr>
            <w:tcW w:w="846"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7</w:t>
            </w:r>
          </w:p>
        </w:tc>
        <w:tc>
          <w:tcPr>
            <w:tcW w:w="1323"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0.0086</w:t>
            </w:r>
          </w:p>
        </w:tc>
        <w:tc>
          <w:tcPr>
            <w:tcW w:w="1222"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0.9978</w:t>
            </w:r>
          </w:p>
        </w:tc>
        <w:tc>
          <w:tcPr>
            <w:tcW w:w="1366"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1.0000</w:t>
            </w:r>
          </w:p>
        </w:tc>
        <w:tc>
          <w:tcPr>
            <w:tcW w:w="1074"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0.0201</w:t>
            </w:r>
          </w:p>
        </w:tc>
        <w:tc>
          <w:tcPr>
            <w:tcW w:w="973"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0.9939</w:t>
            </w:r>
          </w:p>
        </w:tc>
        <w:tc>
          <w:tcPr>
            <w:tcW w:w="1116" w:type="dxa"/>
            <w:tcBorders>
              <w:start w:val="single" w:sz="4" w:space="0" w:color="000000"/>
              <w:bottom w:val="single" w:sz="4" w:space="0" w:color="000000"/>
              <w:end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0.9999</w:t>
            </w:r>
          </w:p>
        </w:tc>
      </w:tr>
      <w:tr>
        <w:trPr/>
        <w:tc>
          <w:tcPr>
            <w:tcW w:w="1718"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EfficientNetB0</w:t>
            </w:r>
          </w:p>
        </w:tc>
        <w:tc>
          <w:tcPr>
            <w:tcW w:w="846"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4</w:t>
            </w:r>
          </w:p>
        </w:tc>
        <w:tc>
          <w:tcPr>
            <w:tcW w:w="1323"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0.0307</w:t>
            </w:r>
          </w:p>
        </w:tc>
        <w:tc>
          <w:tcPr>
            <w:tcW w:w="1222"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0.9937</w:t>
            </w:r>
          </w:p>
        </w:tc>
        <w:tc>
          <w:tcPr>
            <w:tcW w:w="1366"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0.9996</w:t>
            </w:r>
          </w:p>
        </w:tc>
        <w:tc>
          <w:tcPr>
            <w:tcW w:w="1074"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0.0179</w:t>
            </w:r>
          </w:p>
        </w:tc>
        <w:tc>
          <w:tcPr>
            <w:tcW w:w="973"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0.9959</w:t>
            </w:r>
          </w:p>
        </w:tc>
        <w:tc>
          <w:tcPr>
            <w:tcW w:w="1116" w:type="dxa"/>
            <w:tcBorders>
              <w:start w:val="single" w:sz="4" w:space="0" w:color="000000"/>
              <w:bottom w:val="single" w:sz="4" w:space="0" w:color="000000"/>
              <w:end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0.9999</w:t>
            </w:r>
          </w:p>
        </w:tc>
      </w:tr>
      <w:tr>
        <w:trPr/>
        <w:tc>
          <w:tcPr>
            <w:tcW w:w="1718"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InceptionV3</w:t>
            </w:r>
          </w:p>
        </w:tc>
        <w:tc>
          <w:tcPr>
            <w:tcW w:w="846"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2</w:t>
            </w:r>
          </w:p>
        </w:tc>
        <w:tc>
          <w:tcPr>
            <w:tcW w:w="1323"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0.0309</w:t>
            </w:r>
          </w:p>
        </w:tc>
        <w:tc>
          <w:tcPr>
            <w:tcW w:w="1222"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0.9922</w:t>
            </w:r>
          </w:p>
        </w:tc>
        <w:tc>
          <w:tcPr>
            <w:tcW w:w="1366"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0.9996</w:t>
            </w:r>
          </w:p>
        </w:tc>
        <w:tc>
          <w:tcPr>
            <w:tcW w:w="1074"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0.0199</w:t>
            </w:r>
          </w:p>
        </w:tc>
        <w:tc>
          <w:tcPr>
            <w:tcW w:w="973"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0.9918</w:t>
            </w:r>
          </w:p>
        </w:tc>
        <w:tc>
          <w:tcPr>
            <w:tcW w:w="1116" w:type="dxa"/>
            <w:tcBorders>
              <w:start w:val="single" w:sz="4" w:space="0" w:color="000000"/>
              <w:bottom w:val="single" w:sz="4" w:space="0" w:color="000000"/>
              <w:end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0.9999</w:t>
            </w:r>
          </w:p>
        </w:tc>
      </w:tr>
      <w:tr>
        <w:trPr/>
        <w:tc>
          <w:tcPr>
            <w:tcW w:w="1718"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ResNet50</w:t>
            </w:r>
          </w:p>
        </w:tc>
        <w:tc>
          <w:tcPr>
            <w:tcW w:w="846"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6</w:t>
            </w:r>
          </w:p>
        </w:tc>
        <w:tc>
          <w:tcPr>
            <w:tcW w:w="1323"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0.0069</w:t>
            </w:r>
          </w:p>
        </w:tc>
        <w:tc>
          <w:tcPr>
            <w:tcW w:w="1222"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0.9980</w:t>
            </w:r>
          </w:p>
        </w:tc>
        <w:tc>
          <w:tcPr>
            <w:tcW w:w="1366"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1.0000</w:t>
            </w:r>
          </w:p>
        </w:tc>
        <w:tc>
          <w:tcPr>
            <w:tcW w:w="1074"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0.0166</w:t>
            </w:r>
          </w:p>
        </w:tc>
        <w:tc>
          <w:tcPr>
            <w:tcW w:w="973"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0.9959</w:t>
            </w:r>
          </w:p>
        </w:tc>
        <w:tc>
          <w:tcPr>
            <w:tcW w:w="1116" w:type="dxa"/>
            <w:tcBorders>
              <w:start w:val="single" w:sz="4" w:space="0" w:color="000000"/>
              <w:bottom w:val="single" w:sz="4" w:space="0" w:color="000000"/>
              <w:end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0.9999</w:t>
            </w:r>
          </w:p>
        </w:tc>
      </w:tr>
      <w:tr>
        <w:trPr/>
        <w:tc>
          <w:tcPr>
            <w:tcW w:w="1718"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Swin Base</w:t>
            </w:r>
          </w:p>
        </w:tc>
        <w:tc>
          <w:tcPr>
            <w:tcW w:w="846"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6</w:t>
            </w:r>
          </w:p>
        </w:tc>
        <w:tc>
          <w:tcPr>
            <w:tcW w:w="1323"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0.1057</w:t>
            </w:r>
          </w:p>
        </w:tc>
        <w:tc>
          <w:tcPr>
            <w:tcW w:w="1222"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0.9665</w:t>
            </w:r>
          </w:p>
        </w:tc>
        <w:tc>
          <w:tcPr>
            <w:tcW w:w="1366"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0.9914</w:t>
            </w:r>
          </w:p>
        </w:tc>
        <w:tc>
          <w:tcPr>
            <w:tcW w:w="1074"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0.0458</w:t>
            </w:r>
          </w:p>
        </w:tc>
        <w:tc>
          <w:tcPr>
            <w:tcW w:w="973"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0.9877</w:t>
            </w:r>
          </w:p>
        </w:tc>
        <w:tc>
          <w:tcPr>
            <w:tcW w:w="1116" w:type="dxa"/>
            <w:tcBorders>
              <w:start w:val="single" w:sz="4" w:space="0" w:color="000000"/>
              <w:bottom w:val="single" w:sz="4" w:space="0" w:color="000000"/>
              <w:end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0.9988</w:t>
            </w:r>
          </w:p>
        </w:tc>
      </w:tr>
      <w:tr>
        <w:trPr/>
        <w:tc>
          <w:tcPr>
            <w:tcW w:w="1718"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DenseNet121</w:t>
            </w:r>
          </w:p>
        </w:tc>
        <w:tc>
          <w:tcPr>
            <w:tcW w:w="846"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1</w:t>
            </w:r>
          </w:p>
        </w:tc>
        <w:tc>
          <w:tcPr>
            <w:tcW w:w="1323"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0.1653</w:t>
            </w:r>
          </w:p>
        </w:tc>
        <w:tc>
          <w:tcPr>
            <w:tcW w:w="1222"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0.9348</w:t>
            </w:r>
          </w:p>
        </w:tc>
        <w:tc>
          <w:tcPr>
            <w:tcW w:w="1366"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0.9855</w:t>
            </w:r>
          </w:p>
        </w:tc>
        <w:tc>
          <w:tcPr>
            <w:tcW w:w="1074"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0.0547</w:t>
            </w:r>
          </w:p>
        </w:tc>
        <w:tc>
          <w:tcPr>
            <w:tcW w:w="973"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0.9754</w:t>
            </w:r>
          </w:p>
        </w:tc>
        <w:tc>
          <w:tcPr>
            <w:tcW w:w="1116" w:type="dxa"/>
            <w:tcBorders>
              <w:start w:val="single" w:sz="4" w:space="0" w:color="000000"/>
              <w:bottom w:val="single" w:sz="4" w:space="0" w:color="000000"/>
              <w:end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1.0000</w:t>
            </w:r>
          </w:p>
        </w:tc>
      </w:tr>
      <w:tr>
        <w:trPr/>
        <w:tc>
          <w:tcPr>
            <w:tcW w:w="1718"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ViT-B/16</w:t>
            </w:r>
          </w:p>
        </w:tc>
        <w:tc>
          <w:tcPr>
            <w:tcW w:w="846"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10</w:t>
            </w:r>
          </w:p>
        </w:tc>
        <w:tc>
          <w:tcPr>
            <w:tcW w:w="1323"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0.1652</w:t>
            </w:r>
          </w:p>
        </w:tc>
        <w:tc>
          <w:tcPr>
            <w:tcW w:w="1222"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0.9430</w:t>
            </w:r>
          </w:p>
        </w:tc>
        <w:tc>
          <w:tcPr>
            <w:tcW w:w="1366"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0.9836</w:t>
            </w:r>
          </w:p>
        </w:tc>
        <w:tc>
          <w:tcPr>
            <w:tcW w:w="1074"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0.1473</w:t>
            </w:r>
          </w:p>
        </w:tc>
        <w:tc>
          <w:tcPr>
            <w:tcW w:w="973"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0.9344</w:t>
            </w:r>
          </w:p>
        </w:tc>
        <w:tc>
          <w:tcPr>
            <w:tcW w:w="1116" w:type="dxa"/>
            <w:tcBorders>
              <w:start w:val="single" w:sz="4" w:space="0" w:color="000000"/>
              <w:bottom w:val="single" w:sz="4" w:space="0" w:color="000000"/>
              <w:end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0.9897</w:t>
            </w:r>
          </w:p>
        </w:tc>
      </w:tr>
      <w:tr>
        <w:trPr/>
        <w:tc>
          <w:tcPr>
            <w:tcW w:w="1718"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MobileNetV3</w:t>
            </w:r>
          </w:p>
        </w:tc>
        <w:tc>
          <w:tcPr>
            <w:tcW w:w="846"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10</w:t>
            </w:r>
          </w:p>
        </w:tc>
        <w:tc>
          <w:tcPr>
            <w:tcW w:w="1323"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0.0022</w:t>
            </w:r>
          </w:p>
        </w:tc>
        <w:tc>
          <w:tcPr>
            <w:tcW w:w="1222"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0.9990</w:t>
            </w:r>
          </w:p>
        </w:tc>
        <w:tc>
          <w:tcPr>
            <w:tcW w:w="1366"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1.0000</w:t>
            </w:r>
          </w:p>
        </w:tc>
        <w:tc>
          <w:tcPr>
            <w:tcW w:w="1074"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0.3857</w:t>
            </w:r>
          </w:p>
        </w:tc>
        <w:tc>
          <w:tcPr>
            <w:tcW w:w="973"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0.8934</w:t>
            </w:r>
          </w:p>
        </w:tc>
        <w:tc>
          <w:tcPr>
            <w:tcW w:w="1116" w:type="dxa"/>
            <w:tcBorders>
              <w:start w:val="single" w:sz="4" w:space="0" w:color="000000"/>
              <w:bottom w:val="single" w:sz="4" w:space="0" w:color="000000"/>
              <w:end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0.9993</w:t>
            </w:r>
          </w:p>
        </w:tc>
      </w:tr>
      <w:tr>
        <w:trPr/>
        <w:tc>
          <w:tcPr>
            <w:tcW w:w="1718"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VGG16</w:t>
            </w:r>
          </w:p>
        </w:tc>
        <w:tc>
          <w:tcPr>
            <w:tcW w:w="846"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10</w:t>
            </w:r>
          </w:p>
        </w:tc>
        <w:tc>
          <w:tcPr>
            <w:tcW w:w="1323"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0.3387</w:t>
            </w:r>
          </w:p>
        </w:tc>
        <w:tc>
          <w:tcPr>
            <w:tcW w:w="1222"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0.8467</w:t>
            </w:r>
          </w:p>
        </w:tc>
        <w:tc>
          <w:tcPr>
            <w:tcW w:w="1366"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0.9308</w:t>
            </w:r>
          </w:p>
        </w:tc>
        <w:tc>
          <w:tcPr>
            <w:tcW w:w="1074"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0.3380</w:t>
            </w:r>
          </w:p>
        </w:tc>
        <w:tc>
          <w:tcPr>
            <w:tcW w:w="973"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0.8443</w:t>
            </w:r>
          </w:p>
        </w:tc>
        <w:tc>
          <w:tcPr>
            <w:tcW w:w="1116" w:type="dxa"/>
            <w:tcBorders>
              <w:start w:val="single" w:sz="4" w:space="0" w:color="000000"/>
              <w:bottom w:val="single" w:sz="4" w:space="0" w:color="000000"/>
              <w:end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0.9343</w:t>
            </w:r>
          </w:p>
        </w:tc>
      </w:tr>
    </w:tbl>
    <w:p>
      <w:pPr>
        <w:pStyle w:val="BodyText"/>
        <w:bidi w:val="0"/>
        <w:spacing w:lineRule="auto" w:line="240"/>
        <w:jc w:val="both"/>
        <w:rPr>
          <w:rFonts w:ascii="Times New Roman" w:hAnsi="Times New Roman"/>
        </w:rPr>
      </w:pPr>
      <w:r>
        <w:rPr>
          <w:rFonts w:ascii="Times New Roman" w:hAnsi="Times New Roman"/>
        </w:rPr>
      </w:r>
    </w:p>
    <w:p>
      <w:pPr>
        <w:pStyle w:val="Heading2"/>
        <w:bidi w:val="0"/>
        <w:spacing w:lineRule="auto" w:line="240"/>
        <w:ind w:hanging="0" w:start="0"/>
        <w:jc w:val="both"/>
        <w:rPr>
          <w:rFonts w:ascii="Times New Roman" w:hAnsi="Times New Roman"/>
        </w:rPr>
      </w:pPr>
      <w:r>
        <w:rPr>
          <w:rFonts w:ascii="Times New Roman" w:hAnsi="Times New Roman"/>
        </w:rPr>
        <w:t xml:space="preserve">Appendix </w:t>
      </w:r>
      <w:r>
        <w:rPr>
          <w:rFonts w:ascii="Times New Roman" w:hAnsi="Times New Roman"/>
        </w:rPr>
        <w:t>B</w:t>
      </w:r>
      <w:r>
        <w:rPr>
          <w:rFonts w:ascii="Times New Roman" w:hAnsi="Times New Roman"/>
        </w:rPr>
        <w:t>: Complete Multi-Class Results</w:t>
      </w:r>
    </w:p>
    <w:p>
      <w:pPr>
        <w:pStyle w:val="BodyText"/>
        <w:bidi w:val="0"/>
        <w:spacing w:lineRule="auto" w:line="240"/>
        <w:jc w:val="both"/>
        <w:rPr>
          <w:rFonts w:ascii="Times New Roman" w:hAnsi="Times New Roman"/>
        </w:rPr>
      </w:pPr>
      <w:r>
        <w:rPr>
          <w:rFonts w:ascii="Times New Roman" w:hAnsi="Times New Roman"/>
          <w:b/>
        </w:rPr>
        <w:t>TABLE VII</w:t>
      </w:r>
      <w:r>
        <w:rPr>
          <w:rFonts w:ascii="Times New Roman" w:hAnsi="Times New Roman"/>
        </w:rPr>
        <w:t> </w:t>
      </w:r>
      <w:r>
        <w:rPr>
          <w:rFonts w:ascii="Times New Roman" w:hAnsi="Times New Roman"/>
          <w:b/>
        </w:rPr>
        <w:t>COMPLETE MULTI-CLASS RESULTS BY EPOCH</w:t>
      </w:r>
    </w:p>
    <w:tbl>
      <w:tblPr>
        <w:tblW w:w="5000" w:type="pct"/>
        <w:jc w:val="start"/>
        <w:tblInd w:w="-5" w:type="dxa"/>
        <w:tblLayout w:type="fixed"/>
        <w:tblCellMar>
          <w:top w:w="55" w:type="dxa"/>
          <w:start w:w="55" w:type="dxa"/>
          <w:bottom w:w="55" w:type="dxa"/>
          <w:end w:w="55" w:type="dxa"/>
        </w:tblCellMar>
      </w:tblPr>
      <w:tblGrid>
        <w:gridCol w:w="1718"/>
        <w:gridCol w:w="846"/>
        <w:gridCol w:w="1323"/>
        <w:gridCol w:w="1222"/>
        <w:gridCol w:w="1366"/>
        <w:gridCol w:w="1074"/>
        <w:gridCol w:w="973"/>
        <w:gridCol w:w="1116"/>
      </w:tblGrid>
      <w:tr>
        <w:trPr>
          <w:tblHeader w:val="true"/>
        </w:trPr>
        <w:tc>
          <w:tcPr>
            <w:tcW w:w="1718" w:type="dxa"/>
            <w:tcBorders>
              <w:top w:val="single" w:sz="4" w:space="0" w:color="000000"/>
              <w:start w:val="single" w:sz="4" w:space="0" w:color="000000"/>
              <w:bottom w:val="single" w:sz="4" w:space="0" w:color="000000"/>
            </w:tcBorders>
          </w:tcPr>
          <w:p>
            <w:pPr>
              <w:pStyle w:val="TableHeading"/>
              <w:bidi w:val="0"/>
              <w:spacing w:lineRule="auto" w:line="240"/>
              <w:jc w:val="both"/>
              <w:rPr>
                <w:rFonts w:ascii="Times New Roman" w:hAnsi="Times New Roman"/>
              </w:rPr>
            </w:pPr>
            <w:r>
              <w:rPr>
                <w:rFonts w:ascii="Times New Roman" w:hAnsi="Times New Roman"/>
              </w:rPr>
              <w:t>Model</w:t>
            </w:r>
          </w:p>
        </w:tc>
        <w:tc>
          <w:tcPr>
            <w:tcW w:w="846" w:type="dxa"/>
            <w:tcBorders>
              <w:top w:val="single" w:sz="4" w:space="0" w:color="000000"/>
              <w:start w:val="single" w:sz="4" w:space="0" w:color="000000"/>
              <w:bottom w:val="single" w:sz="4" w:space="0" w:color="000000"/>
            </w:tcBorders>
          </w:tcPr>
          <w:p>
            <w:pPr>
              <w:pStyle w:val="TableHeading"/>
              <w:bidi w:val="0"/>
              <w:spacing w:lineRule="auto" w:line="240"/>
              <w:jc w:val="both"/>
              <w:rPr>
                <w:rFonts w:ascii="Times New Roman" w:hAnsi="Times New Roman"/>
              </w:rPr>
            </w:pPr>
            <w:r>
              <w:rPr>
                <w:rFonts w:ascii="Times New Roman" w:hAnsi="Times New Roman"/>
              </w:rPr>
              <w:t>Epoch</w:t>
            </w:r>
          </w:p>
        </w:tc>
        <w:tc>
          <w:tcPr>
            <w:tcW w:w="1323" w:type="dxa"/>
            <w:tcBorders>
              <w:top w:val="single" w:sz="4" w:space="0" w:color="000000"/>
              <w:start w:val="single" w:sz="4" w:space="0" w:color="000000"/>
              <w:bottom w:val="single" w:sz="4" w:space="0" w:color="000000"/>
            </w:tcBorders>
          </w:tcPr>
          <w:p>
            <w:pPr>
              <w:pStyle w:val="TableHeading"/>
              <w:bidi w:val="0"/>
              <w:spacing w:lineRule="auto" w:line="240"/>
              <w:jc w:val="both"/>
              <w:rPr>
                <w:rFonts w:ascii="Times New Roman" w:hAnsi="Times New Roman"/>
              </w:rPr>
            </w:pPr>
            <w:r>
              <w:rPr>
                <w:rFonts w:ascii="Times New Roman" w:hAnsi="Times New Roman"/>
              </w:rPr>
              <w:t>Train Loss</w:t>
            </w:r>
          </w:p>
        </w:tc>
        <w:tc>
          <w:tcPr>
            <w:tcW w:w="1222" w:type="dxa"/>
            <w:tcBorders>
              <w:top w:val="single" w:sz="4" w:space="0" w:color="000000"/>
              <w:start w:val="single" w:sz="4" w:space="0" w:color="000000"/>
              <w:bottom w:val="single" w:sz="4" w:space="0" w:color="000000"/>
            </w:tcBorders>
          </w:tcPr>
          <w:p>
            <w:pPr>
              <w:pStyle w:val="TableHeading"/>
              <w:bidi w:val="0"/>
              <w:spacing w:lineRule="auto" w:line="240"/>
              <w:jc w:val="both"/>
              <w:rPr>
                <w:rFonts w:ascii="Times New Roman" w:hAnsi="Times New Roman"/>
              </w:rPr>
            </w:pPr>
            <w:r>
              <w:rPr>
                <w:rFonts w:ascii="Times New Roman" w:hAnsi="Times New Roman"/>
              </w:rPr>
              <w:t>Train Acc</w:t>
            </w:r>
          </w:p>
        </w:tc>
        <w:tc>
          <w:tcPr>
            <w:tcW w:w="1366" w:type="dxa"/>
            <w:tcBorders>
              <w:top w:val="single" w:sz="4" w:space="0" w:color="000000"/>
              <w:start w:val="single" w:sz="4" w:space="0" w:color="000000"/>
              <w:bottom w:val="single" w:sz="4" w:space="0" w:color="000000"/>
            </w:tcBorders>
          </w:tcPr>
          <w:p>
            <w:pPr>
              <w:pStyle w:val="TableHeading"/>
              <w:bidi w:val="0"/>
              <w:spacing w:lineRule="auto" w:line="240"/>
              <w:jc w:val="both"/>
              <w:rPr>
                <w:rFonts w:ascii="Times New Roman" w:hAnsi="Times New Roman"/>
              </w:rPr>
            </w:pPr>
            <w:r>
              <w:rPr>
                <w:rFonts w:ascii="Times New Roman" w:hAnsi="Times New Roman"/>
              </w:rPr>
              <w:t>Train AUC</w:t>
            </w:r>
          </w:p>
        </w:tc>
        <w:tc>
          <w:tcPr>
            <w:tcW w:w="1074" w:type="dxa"/>
            <w:tcBorders>
              <w:top w:val="single" w:sz="4" w:space="0" w:color="000000"/>
              <w:start w:val="single" w:sz="4" w:space="0" w:color="000000"/>
              <w:bottom w:val="single" w:sz="4" w:space="0" w:color="000000"/>
            </w:tcBorders>
          </w:tcPr>
          <w:p>
            <w:pPr>
              <w:pStyle w:val="TableHeading"/>
              <w:bidi w:val="0"/>
              <w:spacing w:lineRule="auto" w:line="240"/>
              <w:jc w:val="both"/>
              <w:rPr>
                <w:rFonts w:ascii="Times New Roman" w:hAnsi="Times New Roman"/>
              </w:rPr>
            </w:pPr>
            <w:r>
              <w:rPr>
                <w:rFonts w:ascii="Times New Roman" w:hAnsi="Times New Roman"/>
              </w:rPr>
              <w:t>Val Loss</w:t>
            </w:r>
          </w:p>
        </w:tc>
        <w:tc>
          <w:tcPr>
            <w:tcW w:w="973" w:type="dxa"/>
            <w:tcBorders>
              <w:top w:val="single" w:sz="4" w:space="0" w:color="000000"/>
              <w:start w:val="single" w:sz="4" w:space="0" w:color="000000"/>
              <w:bottom w:val="single" w:sz="4" w:space="0" w:color="000000"/>
            </w:tcBorders>
          </w:tcPr>
          <w:p>
            <w:pPr>
              <w:pStyle w:val="TableHeading"/>
              <w:bidi w:val="0"/>
              <w:spacing w:lineRule="auto" w:line="240"/>
              <w:jc w:val="both"/>
              <w:rPr>
                <w:rFonts w:ascii="Times New Roman" w:hAnsi="Times New Roman"/>
              </w:rPr>
            </w:pPr>
            <w:r>
              <w:rPr>
                <w:rFonts w:ascii="Times New Roman" w:hAnsi="Times New Roman"/>
              </w:rPr>
              <w:t>Val Acc</w:t>
            </w:r>
          </w:p>
        </w:tc>
        <w:tc>
          <w:tcPr>
            <w:tcW w:w="1116" w:type="dxa"/>
            <w:tcBorders>
              <w:top w:val="single" w:sz="4" w:space="0" w:color="000000"/>
              <w:start w:val="single" w:sz="4" w:space="0" w:color="000000"/>
              <w:bottom w:val="single" w:sz="4" w:space="0" w:color="000000"/>
              <w:end w:val="single" w:sz="4" w:space="0" w:color="000000"/>
            </w:tcBorders>
          </w:tcPr>
          <w:p>
            <w:pPr>
              <w:pStyle w:val="TableHeading"/>
              <w:bidi w:val="0"/>
              <w:spacing w:lineRule="auto" w:line="240"/>
              <w:jc w:val="both"/>
              <w:rPr>
                <w:rFonts w:ascii="Times New Roman" w:hAnsi="Times New Roman"/>
              </w:rPr>
            </w:pPr>
            <w:r>
              <w:rPr>
                <w:rFonts w:ascii="Times New Roman" w:hAnsi="Times New Roman"/>
              </w:rPr>
              <w:t>Val AUC</w:t>
            </w:r>
          </w:p>
        </w:tc>
      </w:tr>
      <w:tr>
        <w:trPr/>
        <w:tc>
          <w:tcPr>
            <w:tcW w:w="1718"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InceptionV3</w:t>
            </w:r>
          </w:p>
        </w:tc>
        <w:tc>
          <w:tcPr>
            <w:tcW w:w="846"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10</w:t>
            </w:r>
          </w:p>
        </w:tc>
        <w:tc>
          <w:tcPr>
            <w:tcW w:w="1323"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0.0054</w:t>
            </w:r>
          </w:p>
        </w:tc>
        <w:tc>
          <w:tcPr>
            <w:tcW w:w="1222"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0.9988</w:t>
            </w:r>
          </w:p>
        </w:tc>
        <w:tc>
          <w:tcPr>
            <w:tcW w:w="1366"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1.0000</w:t>
            </w:r>
          </w:p>
        </w:tc>
        <w:tc>
          <w:tcPr>
            <w:tcW w:w="1074"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0.1175</w:t>
            </w:r>
          </w:p>
        </w:tc>
        <w:tc>
          <w:tcPr>
            <w:tcW w:w="973"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0.9745</w:t>
            </w:r>
          </w:p>
        </w:tc>
        <w:tc>
          <w:tcPr>
            <w:tcW w:w="1116" w:type="dxa"/>
            <w:tcBorders>
              <w:start w:val="single" w:sz="4" w:space="0" w:color="000000"/>
              <w:bottom w:val="single" w:sz="4" w:space="0" w:color="000000"/>
              <w:end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0.9967</w:t>
            </w:r>
          </w:p>
        </w:tc>
      </w:tr>
      <w:tr>
        <w:trPr/>
        <w:tc>
          <w:tcPr>
            <w:tcW w:w="1718"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Swin-Base</w:t>
            </w:r>
          </w:p>
        </w:tc>
        <w:tc>
          <w:tcPr>
            <w:tcW w:w="846"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10</w:t>
            </w:r>
          </w:p>
        </w:tc>
        <w:tc>
          <w:tcPr>
            <w:tcW w:w="1323"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0.0181</w:t>
            </w:r>
          </w:p>
        </w:tc>
        <w:tc>
          <w:tcPr>
            <w:tcW w:w="1222"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0.9942</w:t>
            </w:r>
          </w:p>
        </w:tc>
        <w:tc>
          <w:tcPr>
            <w:tcW w:w="1366"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0.9999</w:t>
            </w:r>
          </w:p>
        </w:tc>
        <w:tc>
          <w:tcPr>
            <w:tcW w:w="1074"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0.0805</w:t>
            </w:r>
          </w:p>
        </w:tc>
        <w:tc>
          <w:tcPr>
            <w:tcW w:w="973"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0.9816</w:t>
            </w:r>
          </w:p>
        </w:tc>
        <w:tc>
          <w:tcPr>
            <w:tcW w:w="1116" w:type="dxa"/>
            <w:tcBorders>
              <w:start w:val="single" w:sz="4" w:space="0" w:color="000000"/>
              <w:bottom w:val="single" w:sz="4" w:space="0" w:color="000000"/>
              <w:end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0.9972</w:t>
            </w:r>
          </w:p>
        </w:tc>
      </w:tr>
      <w:tr>
        <w:trPr/>
        <w:tc>
          <w:tcPr>
            <w:tcW w:w="1718"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EfficientNetB0</w:t>
            </w:r>
          </w:p>
        </w:tc>
        <w:tc>
          <w:tcPr>
            <w:tcW w:w="846"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10</w:t>
            </w:r>
          </w:p>
        </w:tc>
        <w:tc>
          <w:tcPr>
            <w:tcW w:w="1323"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0.0185</w:t>
            </w:r>
          </w:p>
        </w:tc>
        <w:tc>
          <w:tcPr>
            <w:tcW w:w="1222"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0.9937</w:t>
            </w:r>
          </w:p>
        </w:tc>
        <w:tc>
          <w:tcPr>
            <w:tcW w:w="1366"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0.9998</w:t>
            </w:r>
          </w:p>
        </w:tc>
        <w:tc>
          <w:tcPr>
            <w:tcW w:w="1074"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0.0746</w:t>
            </w:r>
          </w:p>
        </w:tc>
        <w:tc>
          <w:tcPr>
            <w:tcW w:w="973"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0.9773</w:t>
            </w:r>
          </w:p>
        </w:tc>
        <w:tc>
          <w:tcPr>
            <w:tcW w:w="1116" w:type="dxa"/>
            <w:tcBorders>
              <w:start w:val="single" w:sz="4" w:space="0" w:color="000000"/>
              <w:bottom w:val="single" w:sz="4" w:space="0" w:color="000000"/>
              <w:end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0.9972</w:t>
            </w:r>
          </w:p>
        </w:tc>
      </w:tr>
      <w:tr>
        <w:trPr/>
        <w:tc>
          <w:tcPr>
            <w:tcW w:w="1718"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CoaTNet-0</w:t>
            </w:r>
          </w:p>
        </w:tc>
        <w:tc>
          <w:tcPr>
            <w:tcW w:w="846"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10</w:t>
            </w:r>
          </w:p>
        </w:tc>
        <w:tc>
          <w:tcPr>
            <w:tcW w:w="1323"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0.0231</w:t>
            </w:r>
          </w:p>
        </w:tc>
        <w:tc>
          <w:tcPr>
            <w:tcW w:w="1222"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0.9928</w:t>
            </w:r>
          </w:p>
        </w:tc>
        <w:tc>
          <w:tcPr>
            <w:tcW w:w="1366"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0.9998</w:t>
            </w:r>
          </w:p>
        </w:tc>
        <w:tc>
          <w:tcPr>
            <w:tcW w:w="1074"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0.0893</w:t>
            </w:r>
          </w:p>
        </w:tc>
        <w:tc>
          <w:tcPr>
            <w:tcW w:w="973"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0.9747</w:t>
            </w:r>
          </w:p>
        </w:tc>
        <w:tc>
          <w:tcPr>
            <w:tcW w:w="1116" w:type="dxa"/>
            <w:tcBorders>
              <w:start w:val="single" w:sz="4" w:space="0" w:color="000000"/>
              <w:bottom w:val="single" w:sz="4" w:space="0" w:color="000000"/>
              <w:end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0.9968</w:t>
            </w:r>
          </w:p>
        </w:tc>
      </w:tr>
      <w:tr>
        <w:trPr/>
        <w:tc>
          <w:tcPr>
            <w:tcW w:w="1718"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ResNet-50</w:t>
            </w:r>
          </w:p>
        </w:tc>
        <w:tc>
          <w:tcPr>
            <w:tcW w:w="846"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10</w:t>
            </w:r>
          </w:p>
        </w:tc>
        <w:tc>
          <w:tcPr>
            <w:tcW w:w="1323"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0.0229</w:t>
            </w:r>
          </w:p>
        </w:tc>
        <w:tc>
          <w:tcPr>
            <w:tcW w:w="1222"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0.9927</w:t>
            </w:r>
          </w:p>
        </w:tc>
        <w:tc>
          <w:tcPr>
            <w:tcW w:w="1366"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0.9998</w:t>
            </w:r>
          </w:p>
        </w:tc>
        <w:tc>
          <w:tcPr>
            <w:tcW w:w="1074"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0.0987</w:t>
            </w:r>
          </w:p>
        </w:tc>
        <w:tc>
          <w:tcPr>
            <w:tcW w:w="973"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0.9722</w:t>
            </w:r>
          </w:p>
        </w:tc>
        <w:tc>
          <w:tcPr>
            <w:tcW w:w="1116" w:type="dxa"/>
            <w:tcBorders>
              <w:start w:val="single" w:sz="4" w:space="0" w:color="000000"/>
              <w:bottom w:val="single" w:sz="4" w:space="0" w:color="000000"/>
              <w:end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0.9967</w:t>
            </w:r>
          </w:p>
        </w:tc>
      </w:tr>
      <w:tr>
        <w:trPr/>
        <w:tc>
          <w:tcPr>
            <w:tcW w:w="1718"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ViT-B/16</w:t>
            </w:r>
          </w:p>
        </w:tc>
        <w:tc>
          <w:tcPr>
            <w:tcW w:w="846"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10</w:t>
            </w:r>
          </w:p>
        </w:tc>
        <w:tc>
          <w:tcPr>
            <w:tcW w:w="1323"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0.3273</w:t>
            </w:r>
          </w:p>
        </w:tc>
        <w:tc>
          <w:tcPr>
            <w:tcW w:w="1222"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0.8732</w:t>
            </w:r>
          </w:p>
        </w:tc>
        <w:tc>
          <w:tcPr>
            <w:tcW w:w="1366"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0.9672</w:t>
            </w:r>
          </w:p>
        </w:tc>
        <w:tc>
          <w:tcPr>
            <w:tcW w:w="1074"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0.3414</w:t>
            </w:r>
          </w:p>
        </w:tc>
        <w:tc>
          <w:tcPr>
            <w:tcW w:w="973"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0.8768</w:t>
            </w:r>
          </w:p>
        </w:tc>
        <w:tc>
          <w:tcPr>
            <w:tcW w:w="1116" w:type="dxa"/>
            <w:tcBorders>
              <w:start w:val="single" w:sz="4" w:space="0" w:color="000000"/>
              <w:bottom w:val="single" w:sz="4" w:space="0" w:color="000000"/>
              <w:end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0.9679</w:t>
            </w:r>
          </w:p>
        </w:tc>
      </w:tr>
    </w:tbl>
    <w:p>
      <w:pPr>
        <w:pStyle w:val="BodyText"/>
        <w:bidi w:val="0"/>
        <w:spacing w:lineRule="auto" w:line="240"/>
        <w:jc w:val="both"/>
        <w:rPr>
          <w:rFonts w:ascii="Times New Roman" w:hAnsi="Times New Roman"/>
        </w:rPr>
      </w:pPr>
      <w:r>
        <w:rPr>
          <w:rFonts w:ascii="Times New Roman" w:hAnsi="Times New Roman"/>
        </w:rPr>
      </w:r>
    </w:p>
    <w:p>
      <w:pPr>
        <w:pStyle w:val="Heading2"/>
        <w:bidi w:val="0"/>
        <w:spacing w:lineRule="auto" w:line="240"/>
        <w:ind w:hanging="0" w:start="0"/>
        <w:jc w:val="both"/>
        <w:rPr>
          <w:rFonts w:ascii="Times New Roman" w:hAnsi="Times New Roman"/>
        </w:rPr>
      </w:pPr>
      <w:r>
        <w:rPr>
          <w:rFonts w:ascii="Times New Roman" w:hAnsi="Times New Roman"/>
        </w:rPr>
        <w:t xml:space="preserve">Appendix </w:t>
      </w:r>
      <w:r>
        <w:rPr>
          <w:rFonts w:ascii="Times New Roman" w:hAnsi="Times New Roman"/>
        </w:rPr>
        <w:t>C</w:t>
      </w:r>
      <w:r>
        <w:rPr>
          <w:rFonts w:ascii="Times New Roman" w:hAnsi="Times New Roman"/>
        </w:rPr>
        <w:t>: Code Repository</w:t>
      </w:r>
    </w:p>
    <w:p>
      <w:pPr>
        <w:pStyle w:val="BodyText"/>
        <w:bidi w:val="0"/>
        <w:spacing w:lineRule="auto" w:line="240" w:before="0" w:after="140"/>
        <w:jc w:val="both"/>
        <w:rPr>
          <w:rFonts w:ascii="Times New Roman" w:hAnsi="Times New Roman"/>
        </w:rPr>
      </w:pPr>
      <w:r>
        <w:rPr>
          <w:rFonts w:ascii="Times New Roman" w:hAnsi="Times New Roman"/>
        </w:rPr>
        <w:t xml:space="preserve">The complete code for all experiments, including data preprocessing, model training, and evaluation, is available at: </w:t>
      </w:r>
      <w:hyperlink r:id="rId5">
        <w:r>
          <w:rPr>
            <w:rStyle w:val="Hyperlink"/>
            <w:rFonts w:ascii="Times New Roman" w:hAnsi="Times New Roman"/>
          </w:rPr>
          <w:t>https://github.com/parthmital/NeuroScan-AI</w:t>
        </w:r>
      </w:hyperlink>
      <w:r>
        <w:rPr>
          <w:rFonts w:ascii="Times New Roman" w:hAnsi="Times New Roman"/>
        </w:rPr>
        <w:t>.</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Liberation Mono">
    <w:altName w:val="Courier New"/>
    <w:charset w:val="00" w:characterSet="windows-1252"/>
    <w:family w:val="modern"/>
    <w:pitch w:val="fixed"/>
  </w:font>
  <w:font w:name="Times New Roman">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Mangal"/>
        <w:kern w:val="2"/>
        <w:sz w:val="24"/>
        <w:szCs w:val="24"/>
        <w:lang w:val="en-IN"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Mangal"/>
      <w:color w:val="auto"/>
      <w:kern w:val="2"/>
      <w:sz w:val="24"/>
      <w:szCs w:val="24"/>
      <w:lang w:val="en-IN"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numPr>
        <w:ilvl w:val="2"/>
        <w:numId w:val="1"/>
      </w:numPr>
      <w:spacing w:before="140" w:after="120"/>
      <w:outlineLvl w:val="2"/>
    </w:pPr>
    <w:rPr>
      <w:b/>
      <w:bCs/>
      <w:sz w:val="28"/>
      <w:szCs w:val="28"/>
    </w:rPr>
  </w:style>
  <w:style w:type="paragraph" w:styleId="Heading4">
    <w:name w:val="heading 4"/>
    <w:basedOn w:val="Heading"/>
    <w:next w:val="BodyText"/>
    <w:qFormat/>
    <w:pPr>
      <w:numPr>
        <w:ilvl w:val="3"/>
        <w:numId w:val="1"/>
      </w:numPr>
      <w:spacing w:before="120" w:after="120"/>
      <w:outlineLvl w:val="3"/>
    </w:pPr>
    <w:rPr>
      <w:b/>
      <w:bCs/>
      <w:i/>
      <w:iCs/>
      <w:sz w:val="26"/>
      <w:szCs w:val="26"/>
    </w:rPr>
  </w:style>
  <w:style w:type="character" w:styleId="Hyperlink">
    <w:name w:val="Hyperlink"/>
    <w:rPr>
      <w:color w:val="000080"/>
      <w:u w:val="single"/>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Microsoft YaHei" w:cs="Mang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Mangal"/>
    </w:rPr>
  </w:style>
  <w:style w:type="paragraph" w:styleId="Caption">
    <w:name w:val="caption"/>
    <w:basedOn w:val="Normal"/>
    <w:qFormat/>
    <w:pPr>
      <w:suppressLineNumbers/>
      <w:spacing w:before="120" w:after="120"/>
    </w:pPr>
    <w:rPr>
      <w:rFonts w:cs="Mangal"/>
      <w:i/>
      <w:iCs/>
      <w:sz w:val="24"/>
      <w:szCs w:val="24"/>
    </w:rPr>
  </w:style>
  <w:style w:type="paragraph" w:styleId="Index">
    <w:name w:val="Index"/>
    <w:basedOn w:val="Normal"/>
    <w:qFormat/>
    <w:pPr>
      <w:suppressLineNumbers/>
    </w:pPr>
    <w:rPr>
      <w:rFonts w:cs="Mangal"/>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PreformattedText">
    <w:name w:val="Preformatted Text"/>
    <w:basedOn w:val="Normal"/>
    <w:qFormat/>
    <w:pPr>
      <w:spacing w:before="0" w:after="0"/>
    </w:pPr>
    <w:rPr>
      <w:rFonts w:ascii="Liberation Mono" w:hAnsi="Liberation Mono" w:eastAsia="NSimSun"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parth.mital2023@vitstudent.ac.in" TargetMode="External"/><Relationship Id="rId3" Type="http://schemas.openxmlformats.org/officeDocument/2006/relationships/hyperlink" Target="mailto:ved.lawand2023@vitstudent.ac.in" TargetMode="External"/><Relationship Id="rId4" Type="http://schemas.openxmlformats.org/officeDocument/2006/relationships/hyperlink" Target="mailto:biji.cl@vit.ac.in" TargetMode="External"/><Relationship Id="rId5" Type="http://schemas.openxmlformats.org/officeDocument/2006/relationships/hyperlink" Target="https://github.com/parthmital/NeuroScan-AI" TargetMode="Externa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7</TotalTime>
  <Application>LibreOffice/26.2.2.2$Windows_X86_64 LibreOffice_project/1f77d10d6938fd34972958f64b2bcfa54f8b1ba5</Application>
  <AppVersion>15.0000</AppVersion>
  <Pages>20</Pages>
  <Words>7994</Words>
  <Characters>51945</Characters>
  <CharactersWithSpaces>59314</CharactersWithSpaces>
  <Paragraphs>583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2026-04-07T21:52:01Z</dcterms:created>
  <dc:creator/>
  <dc:description/>
  <dc:language>en-IN</dc:language>
  <cp:lastModifiedBy/>
  <dcterms:modified xsi:type="dcterms:W3CDTF">2026-04-07T21:59:28Z</dcterms:modified>
  <cp:revision>11</cp:revision>
  <dc:subject/>
  <dc:title/>
</cp:coreProperties>
</file>