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bidi w:val="0"/>
        <w:spacing w:lineRule="auto" w:line="240" w:before="240" w:after="120"/>
        <w:ind w:hanging="0" w:start="0"/>
        <w:jc w:val="center"/>
        <w:rPr>
          <w:rFonts w:ascii="Times New Roman" w:hAnsi="Times New Roman"/>
        </w:rPr>
      </w:pPr>
      <w:r>
        <w:rPr>
          <w:rFonts w:ascii="Times New Roman" w:hAnsi="Times New Roman"/>
        </w:rPr>
        <w:t>Brain Tumour Detection and Classification Using Deep Learning: A Comprehensive Comparative Study of CNN and Transformer Architectures</w:t>
      </w:r>
    </w:p>
    <w:p>
      <w:pPr>
        <w:pStyle w:val="BodyText"/>
        <w:bidi w:val="0"/>
        <w:spacing w:lineRule="auto" w:line="240" w:before="0" w:after="0"/>
        <w:jc w:val="center"/>
        <w:rPr>
          <w:rFonts w:ascii="Times New Roman" w:hAnsi="Times New Roman"/>
        </w:rPr>
      </w:pPr>
      <w:r>
        <w:rPr>
          <w:rFonts w:ascii="Times New Roman" w:hAnsi="Times New Roman"/>
        </w:rPr>
        <w:t>Parth Mital¹, Ved Lawand¹, Dr. Biji C L¹</w:t>
      </w:r>
    </w:p>
    <w:p>
      <w:pPr>
        <w:pStyle w:val="BodyText"/>
        <w:bidi w:val="0"/>
        <w:spacing w:lineRule="auto" w:line="240" w:before="0" w:after="0"/>
        <w:jc w:val="center"/>
        <w:rPr>
          <w:rFonts w:ascii="Times New Roman" w:hAnsi="Times New Roman"/>
        </w:rPr>
      </w:pPr>
      <w:r>
        <w:rPr>
          <w:rFonts w:ascii="Times New Roman" w:hAnsi="Times New Roman"/>
        </w:rPr>
        <w:t>¹</w:t>
      </w:r>
      <w:r>
        <w:rPr>
          <w:rFonts w:ascii="Times New Roman" w:hAnsi="Times New Roman"/>
        </w:rPr>
        <w:t>School of Computer Science and Engineering, Vellore Institute of Technology, Vellore, India</w:t>
      </w:r>
    </w:p>
    <w:p>
      <w:pPr>
        <w:pStyle w:val="BodyText"/>
        <w:bidi w:val="0"/>
        <w:spacing w:lineRule="auto" w:line="240" w:before="0" w:after="0"/>
        <w:jc w:val="center"/>
        <w:rPr/>
      </w:pPr>
      <w:r>
        <w:rPr>
          <w:rFonts w:ascii="Times New Roman" w:hAnsi="Times New Roman"/>
        </w:rPr>
        <w:t xml:space="preserve">Corresponding author email: </w:t>
      </w:r>
      <w:hyperlink r:id="rId2">
        <w:r>
          <w:rPr>
            <w:rStyle w:val="Hyperlink"/>
            <w:rFonts w:ascii="Times New Roman" w:hAnsi="Times New Roman"/>
          </w:rPr>
          <w:t>parth.mital2023@vitstudent.ac.in</w:t>
        </w:r>
      </w:hyperlink>
      <w:r>
        <w:rPr>
          <w:rFonts w:ascii="Times New Roman" w:hAnsi="Times New Roman"/>
        </w:rPr>
        <w:t xml:space="preserve">, </w:t>
      </w:r>
      <w:hyperlink r:id="rId3">
        <w:r>
          <w:rPr>
            <w:rStyle w:val="Hyperlink"/>
            <w:rFonts w:ascii="Times New Roman" w:hAnsi="Times New Roman"/>
          </w:rPr>
          <w:t>ved.lawand2023@vitstudent.ac.in</w:t>
        </w:r>
      </w:hyperlink>
      <w:r>
        <w:rPr>
          <w:rStyle w:val="Hyperlink"/>
          <w:rFonts w:ascii="Times New Roman" w:hAnsi="Times New Roman"/>
        </w:rPr>
        <w:t xml:space="preserve">, </w:t>
      </w:r>
      <w:hyperlink r:id="rId4">
        <w:r>
          <w:rPr>
            <w:rStyle w:val="Hyperlink"/>
            <w:rFonts w:ascii="Times New Roman" w:hAnsi="Times New Roman"/>
          </w:rPr>
          <w:t>biji.cl@vit.ac.in</w:t>
        </w:r>
      </w:hyperlink>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Abstract</w:t>
      </w:r>
    </w:p>
    <w:p>
      <w:pPr>
        <w:pStyle w:val="BodyText"/>
        <w:bidi w:val="0"/>
        <w:spacing w:lineRule="auto" w:line="240"/>
        <w:jc w:val="both"/>
        <w:rPr>
          <w:rFonts w:ascii="Times New Roman" w:hAnsi="Times New Roman"/>
        </w:rPr>
      </w:pPr>
      <w:r>
        <w:rPr>
          <w:rFonts w:ascii="Times New Roman" w:hAnsi="Times New Roman"/>
        </w:rPr>
        <w:t>Brain tumours represent one of the most serious neurological conditions worldwide, with early and accurate diagnosis being crucial for treatment success and patient survival. Magnetic Resonance Imaging (MRI) serves as the primary diagnostic tool; however, manual interpretation is time-consuming, subject to inter-observer variability, and requires specialised expertise that may not be universally available. This research presents a comprehensive comparative study of nine state-of-the-art deep learning architectures for both binary brain tumour detection and multi-class tumour classification (glioma, meningioma, and pituitary tumours). We evaluate classical CNNs (ResNet50, VGG16, DenseNet121), efficient CNNs (EfficientNetB0, MobileNetV3-Large, InceptionV3), and transformer-based models (ViT-B/16, Swin Transformer Base, CoaTNet-0) under standardised experimental conditions. Rigorous preprocessing including perceptual hashing for deduplication removed 19.3% near-identical images from the combined dataset of 5,828 MRI images, resulting in 4,705 unique samples for multi-class classification. For binary detection, a separate dataset of 3,253 images was used. All models were pretrained on ImageNet and fine-tuned using AdamW optimisation, cosine annealing scheduling, and mixed precision training on dual NVIDIA Tesla T4 GPUs. For binary detection, InceptionV3 achieved 99.39% accuracy with perfect AUC (1.0000), while CoaTNet-0 and EfficientNetB0 achieved 99.59% accuracy. For multi-class classification, InceptionV3 and Swin-Base achieved the highest test accuracy of 98.58% with AUC exceeding 0.999. EfficientNetB0 demonstrated exceptional parameter efficiency, achieving 97.59% accuracy with only 5.3 million parameters. Our findings demonstrate that modern deep learning architectures, particularly those incorporating attention mechanisms and multi-scale processing, achieve clinically viable accuracy for brain tumour analysis, with implications for automated screening systems in resource-constrained healthcare settings.</w:t>
      </w:r>
    </w:p>
    <w:p>
      <w:pPr>
        <w:pStyle w:val="BodyText"/>
        <w:bidi w:val="0"/>
        <w:spacing w:lineRule="auto" w:line="240"/>
        <w:jc w:val="both"/>
        <w:rPr>
          <w:rFonts w:ascii="Times New Roman" w:hAnsi="Times New Roman"/>
        </w:rPr>
      </w:pPr>
      <w:r>
        <w:rPr>
          <w:rFonts w:ascii="Times New Roman" w:hAnsi="Times New Roman"/>
          <w:b/>
        </w:rPr>
        <w:t>Keywords:</w:t>
      </w:r>
      <w:r>
        <w:rPr>
          <w:rFonts w:ascii="Times New Roman" w:hAnsi="Times New Roman"/>
        </w:rPr>
        <w:t xml:space="preserve"> Brain tumour detection, deep learning, convolutional neural networks, vision transformers, medical image classification, MRI, transfer learning.</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1. Introduction</w:t>
      </w:r>
    </w:p>
    <w:p>
      <w:pPr>
        <w:pStyle w:val="BodyText"/>
        <w:bidi w:val="0"/>
        <w:spacing w:lineRule="auto" w:line="240"/>
        <w:jc w:val="both"/>
        <w:rPr>
          <w:rFonts w:ascii="Times New Roman" w:hAnsi="Times New Roman"/>
        </w:rPr>
      </w:pPr>
      <w:r>
        <w:rPr>
          <w:rFonts w:ascii="Times New Roman" w:hAnsi="Times New Roman"/>
        </w:rPr>
        <w:t>Brain tumours represent abnormal and uncontrolled proliferations of cells within the brain or the central nervous system. These growths can be benign or malignant, but irrespective of their nature, they pose significant health risks due to the confined space within the skull and the critical functions performed by the brain. According to the American Brain Tumour Association, approximately 90,000 persons are diagnosed with primary brain tumours annually in the United States alone, with similar incidence patterns observed across the globe. In the Indian context, the precise epidemiological burden remains under-documented, but tertiary care centres in metropolitan cities such as Mumbai, Delhi, Bengaluru, and Chennai report thousands of new cases every year. The three most common types of primary brain tumours are: gliomas, which arise from glial cells and represent approximately 30% of all brain tumours; meningiomas, which develop from the meninges layers surrounding the brain and are typically benign; and pituitary tumours, which originate in the pituitary gland and affect hormonal regulation [1], [2].</w:t>
      </w:r>
    </w:p>
    <w:p>
      <w:pPr>
        <w:pStyle w:val="BodyText"/>
        <w:bidi w:val="0"/>
        <w:spacing w:lineRule="auto" w:line="240"/>
        <w:jc w:val="both"/>
        <w:rPr>
          <w:rFonts w:ascii="Times New Roman" w:hAnsi="Times New Roman"/>
        </w:rPr>
      </w:pPr>
      <w:r>
        <w:rPr>
          <w:rFonts w:ascii="Times New Roman" w:hAnsi="Times New Roman"/>
        </w:rPr>
        <w:t>Magnetic Resonance Imaging has emerged as the primary non-invasive diagnostic tool for brain tumour detection and classification. Unlike computed tomography (CT) scans, MRI provides superior soft tissue contrast, does not use ionising radiation, and can acquire images in multiple planes and contrast weightings (T1-weighted, T2-weighted, FLAIR, and diffusion-weighted sequences). This versatility makes MRI indispensable for characterising tumour location, size, margins, oedema, and relationship with adjacent critical structures. However, manual interpretation of MRI scans presents several formidable challenges. First, it is highly time-consuming: a single comprehensive brain MRI study may contain hundreds of slices, and a specialist radiologist may require 15 to 30 minutes for thorough evaluation. Second, interpretation is subject to significant inter-observer and intra-observer variability, meaning that even experienced radiologists may disagree on tumour type or boundaries. Third, specialised expertise in neuroradiology is not universally available, particularly in rural and semi-urban districts of India, where the radiologist-to-population ratio is alarmingly low. Fourth, diagnostic delays caused by workforce shortages and uneven distribution of specialists can adversely affect patient outcomes, as early intervention is often critical for brain tumour management [20], [21].</w:t>
      </w:r>
    </w:p>
    <w:p>
      <w:pPr>
        <w:pStyle w:val="BodyText"/>
        <w:bidi w:val="0"/>
        <w:spacing w:lineRule="auto" w:line="240"/>
        <w:jc w:val="both"/>
        <w:rPr>
          <w:rFonts w:ascii="Times New Roman" w:hAnsi="Times New Roman"/>
        </w:rPr>
      </w:pPr>
      <w:r>
        <w:rPr>
          <w:rFonts w:ascii="Times New Roman" w:hAnsi="Times New Roman"/>
        </w:rPr>
        <w:t>The advent of deep learning has revolutionised medical image analysis over the past decade. Deep learning models, particularly convolutional neural networks (CNNs), can automatically learn hierarchical representations of visual features directly from pixel data, eliminating the need for handcrafted feature engineering that limited earlier machine learning approaches. This capability offers the potential for automated, consistent, and rapid diagnosis of brain tumours from MRI scans. Convolutional neural networks have traditionally dominated this domain, with architectures such as ResNet, VGG, DenseNet, Inception, EfficientNet, and MobileNet establishing benchmark performance on various image classification tasks. More recently, transformer-based architectures originally developed for natural language processing have been adapted for vision tasks. These include the Vision Transformer (ViT), Swin Transformer, and Co-scale Conv-Attentional Network (CoaTNet). These models offer alternative approaches to capturing global image context through self-attention mechanisms, which may be particularly valuable for medical images where understanding the relationship between a tumour and its surrounding anatomical structures is crucial [28], [29], [30], [32].</w:t>
      </w:r>
    </w:p>
    <w:p>
      <w:pPr>
        <w:pStyle w:val="BodyText"/>
        <w:bidi w:val="0"/>
        <w:spacing w:lineRule="auto" w:line="240"/>
        <w:jc w:val="both"/>
        <w:rPr>
          <w:rFonts w:ascii="Times New Roman" w:hAnsi="Times New Roman"/>
        </w:rPr>
      </w:pPr>
      <w:r>
        <w:rPr>
          <w:rFonts w:ascii="Times New Roman" w:hAnsi="Times New Roman"/>
        </w:rPr>
        <w:t>While numerous research studies have individually demonstrated the effectiveness of deep learning models for brain tumour detection and classification, comprehensive comparative analyses that span multiple architectural families under strictly standardised conditions remain notably limited. This absence of systematic comparison creates significant difficulties for researchers and clinicians who must select appropriate models for deployment. Individual studies often employ different datasets, preprocessing pipelines, augmentation strategies, and evaluation metrics. As a result, comparing reported performance figures across publications is fraught with difficulty and can be positively misleading. For instance, one study reporting 99% accuracy on a small, homogeneous dataset cannot be meaningfully compared with another reporting 97% accuracy on a larger, more diverse dataset. Without identical experimental conditions, apparent performance differences may reflect dataset characteristics or implementation details rather than genuine architectural advantages [22], [31].</w:t>
      </w:r>
    </w:p>
    <w:p>
      <w:pPr>
        <w:pStyle w:val="BodyText"/>
        <w:bidi w:val="0"/>
        <w:spacing w:lineRule="auto" w:line="240"/>
        <w:jc w:val="both"/>
        <w:rPr>
          <w:rFonts w:ascii="Times New Roman" w:hAnsi="Times New Roman"/>
        </w:rPr>
      </w:pPr>
      <w:r>
        <w:rPr>
          <w:rFonts w:ascii="Times New Roman" w:hAnsi="Times New Roman"/>
        </w:rPr>
        <w:t>The overwhelming majority of existing research focuses exclusively on convolutional neural networks. Transformer-based architectures, despite their remarkable success in natural language processing and general computer vision, remain under-explored for brain tumour detection. The applicability of self-attention mechanisms to medical imaging tasks, where local texture features are often critical but global anatomical context also matters, has not been systematically investigated. This gap is particularly significant because transformers lack the inherent inductive biases (locality and translation equivariance) that make CNNs sample-efficient, and it remains unclear whether this trade-off benefits or harms performance on medical imaging datasets of moderate size. When different models are compared in the literature, training hyperparameters such as learning rate, optimisation algorithm, batch size, number of epochs, and regularisation strategies are rarely held constant across architectures. This confounds architectural differences with implementation variations. A model that appears superior might simply have been trained with more favourable hyperparameters, while another model might have been disadvantaged by suboptimal choices. Standardised training protocols are essential for fair comparison.</w:t>
      </w:r>
    </w:p>
    <w:p>
      <w:pPr>
        <w:pStyle w:val="BodyText"/>
        <w:bidi w:val="0"/>
        <w:spacing w:lineRule="auto" w:line="240"/>
        <w:jc w:val="both"/>
        <w:rPr>
          <w:rFonts w:ascii="Times New Roman" w:hAnsi="Times New Roman"/>
        </w:rPr>
      </w:pPr>
      <w:r>
        <w:rPr>
          <w:rFonts w:ascii="Times New Roman" w:hAnsi="Times New Roman"/>
        </w:rPr>
        <w:t>Many studies inadvertently include near-duplicate or identical images across training, validation, and test splits, particularly when combining datasets from multiple public sources. This practice leads to artificially inflated performance metrics that do not reflect true generalisation capability. When a model has effectively seen a test image (or a very close variant) during training, its performance on that image no longer measures genuine learning but rather memorisation. This problem is especially severe in brain tumour research because many public datasets derive from the same original sources, such as the Cheng dataset or the Figshare collection. Most studies either do not address the issue of near-duplicate images at all or employ only simple exact-match deduplication based on file names or cryptographic hashes. Exact matching fails to identify images that have been resized, recompressed, rotated slightly, or subjected to minor contrast adjustments. Perceptual hashing, which generates robust fingerprints that tolerate such modifications, remains underutilised in medical imaging research. Without rigorous deduplication, reported accuracies may overstate true generalisation by substantial margins.</w:t>
      </w:r>
    </w:p>
    <w:p>
      <w:pPr>
        <w:pStyle w:val="BodyText"/>
        <w:bidi w:val="0"/>
        <w:spacing w:lineRule="auto" w:line="240"/>
        <w:jc w:val="both"/>
        <w:rPr>
          <w:rFonts w:ascii="Times New Roman" w:hAnsi="Times New Roman"/>
        </w:rPr>
      </w:pPr>
      <w:r>
        <w:rPr>
          <w:rFonts w:ascii="Times New Roman" w:hAnsi="Times New Roman"/>
        </w:rPr>
        <w:t>The clinical significance of accurate brain tumour diagnosis cannot be overstated. Delayed or incorrect diagnosis can lead to reduced treatment options, poorer prognosis, increased healthcare costs, and substantially decreased quality of life for patients and their families. Automated detection systems that achieve human-level or superhuman accuracy could produce multiple benefits: they could reduce diagnostic delays by providing immediate preliminary assessments; offer decision support in underserved areas where specialist radiologists are unavailable; enable more consistent screening by eliminating inter-observer variability; and free radiologist time for complex cases that truly require expert judgment [13], [14]. In the Indian healthcare context, the urgency is particularly acute. According to recent workforce assessments, India has approximately one radiologist per 100,000 population, compared to the recommended ratio of one per 10,000. This shortfall of nearly 90% means that the vast majority of district hospitals and community health centres operate without any radiologist on staff. Furthermore, even where radiologists are present, neuroradiology subspecialty training is rare, and expertise in brain tumour interpretation is concentrated in a few tertiary care institutions. Automated diagnostic support systems therefore have particular relevance for bridging healthcare access gaps across India’s diverse geography, from densely populated urban slums to remote rural villages in states such as Uttar Pradesh, Bihar, Madhya Pradesh, and the North-Eastern regions [27].</w:t>
      </w:r>
    </w:p>
    <w:p>
      <w:pPr>
        <w:pStyle w:val="BodyText"/>
        <w:bidi w:val="0"/>
        <w:spacing w:lineRule="auto" w:line="240"/>
        <w:jc w:val="both"/>
        <w:rPr>
          <w:rFonts w:ascii="Times New Roman" w:hAnsi="Times New Roman"/>
        </w:rPr>
      </w:pPr>
      <w:r>
        <w:rPr>
          <w:rFonts w:ascii="Times New Roman" w:hAnsi="Times New Roman"/>
        </w:rPr>
        <w:t>This study has been designed with the following specific objectives in mind. First, to implement nine diverse deep learning architectures spanning classical CNNs (ResNet50, VGG16, DenseNet121), efficient CNNs (EfficientNetB0, MobileNetV3-Large, InceptionV3), and transformer-based models (ViT-B/16, Swin Transformer Base, CoaTNet-0) for both binary brain tumour detection and multi-class tumour classification. Second, to establish a standardised evaluation framework with consistent data splits, preprocessing protocols including perceptual hashing for rigorous deduplication, and training hyperparameters across all models. Third, to compare model performance using clinically relevant metrics including accuracy, AUC-ROC, cross-entropy loss, and computational efficiency measures such as parameter count and training speed. Fourth, to analyse architectural trends and identify which specific design principles (residual connections, dense connections, multi-scale processing, attention mechanisms, or neural architecture search) contribute most to brain tumour analysis performance. Fifth, to provide practical, evidence-based recommendations for model selection in different clinical deployment scenarios, considering the trade-off between diagnostic accuracy and computational efficiency. Sixth, to release fully reproducible code and detailed results to facilitate future research, external validation, and clinical translation.</w:t>
      </w:r>
    </w:p>
    <w:p>
      <w:pPr>
        <w:pStyle w:val="BodyText"/>
        <w:bidi w:val="0"/>
        <w:spacing w:lineRule="auto" w:line="240"/>
        <w:jc w:val="both"/>
        <w:rPr>
          <w:rFonts w:ascii="Times New Roman" w:hAnsi="Times New Roman"/>
        </w:rPr>
      </w:pPr>
      <w:r>
        <w:rPr>
          <w:rFonts w:ascii="Times New Roman" w:hAnsi="Times New Roman"/>
        </w:rPr>
        <w:t>The remainder of this paper is organised as follows. Section 2 reviews relevant literature on traditional machine learning approaches, convolutional neural network architectures, transformer-based models, and previous brain tumour classification studies, highlighting the specific gaps that this research addresses. Section 3 details our methodology comprehensively, including dataset preparation, perceptual hashing for deduplication, image preprocessing and augmentation, model architecture specifications, and experimental setup including hardware, software, and hyperparameters. Section 4 presents and discusses the results for both binary detection and multi-class classification tasks, including training progression analysis, final test performance, and efficiency comparisons. Section 5 addresses limitations of the current study and proposes directions for future work, including dataset expansion, model improvements, and clinical validation. Section 6 covers ethical considerations for clinical deployment in the Indian and global contexts, including fairness, bias, and regulatory pathways. Section 7 concludes the paper with a summary of key findings, clinical implications, and final remarks.</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2. Literature Review</w:t>
      </w:r>
    </w:p>
    <w:p>
      <w:pPr>
        <w:pStyle w:val="BodyText"/>
        <w:bidi w:val="0"/>
        <w:spacing w:lineRule="auto" w:line="240"/>
        <w:jc w:val="both"/>
        <w:rPr>
          <w:rFonts w:ascii="Times New Roman" w:hAnsi="Times New Roman"/>
        </w:rPr>
      </w:pPr>
      <w:r>
        <w:rPr>
          <w:rFonts w:ascii="Times New Roman" w:hAnsi="Times New Roman"/>
        </w:rPr>
        <w:t>Early attempts at automated brain tumour detection relied on handcrafted feature extraction combined with classical machine learning classifiers. Common approaches included texture-based features such as Grey-Level Co-occurrence Matrix (GLCM) and Local Binary Patterns (LBP); wavelet transforms including Discrete Wavelet Transform (DWT) for multi-resolution analysis; morphological features describing shape, size, and boundary characteristics; and classifiers such as Support Vector Machines (SVM), Random Forests, and k-Nearest Neighbors [2], [3]. Zacharaki et al. [1] achieved approximately 85% accuracy using texture features and SVM classification on a small dataset of 80 images for tumour type discrimination. Cheng et al. [5] proposed a tumour region augmentation method achieving 90% accuracy using intensity, texture, and shape features with SVM classification on 3064 MRI images. While these approaches established feasibility, they were limited by feature engineering constraints, poor generalisation to diverse datasets, and inability to learn hierarchical representations automatically.</w:t>
      </w:r>
    </w:p>
    <w:p>
      <w:pPr>
        <w:pStyle w:val="BodyText"/>
        <w:bidi w:val="0"/>
        <w:spacing w:lineRule="auto" w:line="240"/>
        <w:jc w:val="both"/>
        <w:rPr>
          <w:rFonts w:ascii="Times New Roman" w:hAnsi="Times New Roman"/>
        </w:rPr>
      </w:pPr>
      <w:r>
        <w:rPr>
          <w:rFonts w:ascii="Times New Roman" w:hAnsi="Times New Roman"/>
        </w:rPr>
        <w:t>The breakthrough of AlexNet in 2012 catalysed deep learning adoption in medical imaging. Subsequent CNN architectures progressively improved performance through architectural innovations. He et al. [6] introduced residual connections enabling training of very deep networks by addressing the vanishing gradient problem. ResNet50 became a benchmark for medical image classification, with studies reporting 95-98% accuracy for brain tumour detection. Seetha and Raja [12] achieved 97.5% accuracy using ResNet50 with transfer learning on 253 MRI images. Simonyan and Zisserman [4] demonstrated that increasing depth with small convolutional filters (3×3) improves performance. However, VGG16's high parameter count (138 million) makes it computationally expensive and prone to overfitting on smaller medical datasets. Khan et al. [23] reported 98.69% accuracy using VGG16 on 3,064 images, though with significant computational overhead. Huang et al. [9] proposed dense connections where each layer receives inputs from all preceding layers, improving gradient flow and parameter efficiency through feature reuse. DenseNet121 has shown strong performance in medical imaging tasks with reported accuracies of 96-98%. Noreen et al. [24] achieved 99.51% accuracy using DenseNet121 with a concatenation-based approach. Szegedy et al. [7] introduced parallel convolutions of different sizes (1×1, 3×3, 5×5), allowing the network to capture features at multiple scales simultaneously. InceptionV3 achieved 97.5% accuracy in brain tumour studies according to Deepak and Ameer [15], with Rehman et al. [25] reporting 99.34% accuracy using transfer learning. Tan and Le [18] developed a systematic approach to scaling network dimensions (depth, width, resolution) using neural architecture search, achieving state-of-the-art accuracy with significantly fewer parameters than comparable models. EfficientNetB0 achieves 10× fewer parameters than ResNet50 while maintaining competitive accuracy. Howard et al. [19] designed lightweight architectures using depthwise separable convolutions for mobile and embedded applications. MobileNetV3, optimised through hardware-aware neural architecture search, achieves efficient performance suitable for edge deployment in clinical settings.</w:t>
      </w:r>
    </w:p>
    <w:p>
      <w:pPr>
        <w:pStyle w:val="BodyText"/>
        <w:bidi w:val="0"/>
        <w:spacing w:lineRule="auto" w:line="240"/>
        <w:jc w:val="both"/>
        <w:rPr>
          <w:rFonts w:ascii="Times New Roman" w:hAnsi="Times New Roman"/>
        </w:rPr>
      </w:pPr>
      <w:r>
        <w:rPr>
          <w:rFonts w:ascii="Times New Roman" w:hAnsi="Times New Roman"/>
        </w:rPr>
        <w:t>Dosovitskiy et al. [28] adapted transformer architectures for vision by treating images as sequences of patches (16×16 pixels). ViT-B/16 demonstrated competitive performance with CNNs on large datasets (ImageNet, JFT-300M) but required extensive pretraining and showed limitations on smaller medical datasets due to lack of inherent inductive biases. Liu et al. [29] introduced hierarchical transformers with shifted windows, enabling efficient multi-scale processing while maintaining linear computational complexity relative to image size. Swin Transformers achieved state-of-the-art results on ImageNet and showed promise for medical imaging applications, capturing both local boundaries and global anatomical context. Xu et al. [30] proposed Co-scale Conv-Attentional networks combining convolutional and attention mechanisms in a unified architecture, achieving efficient performance across model sizes by maintaining both local feature extraction and global dependency modelling.</w:t>
      </w:r>
    </w:p>
    <w:p>
      <w:pPr>
        <w:pStyle w:val="BodyText"/>
        <w:bidi w:val="0"/>
        <w:spacing w:lineRule="auto" w:line="240"/>
        <w:jc w:val="both"/>
        <w:rPr>
          <w:rFonts w:ascii="Times New Roman" w:hAnsi="Times New Roman"/>
        </w:rPr>
      </w:pPr>
      <w:r>
        <w:rPr>
          <w:rFonts w:ascii="Times New Roman" w:hAnsi="Times New Roman"/>
        </w:rPr>
        <w:t>Recent studies applying these architectures to brain tumour detection include the comparative summary presented in Table I.</w:t>
      </w:r>
    </w:p>
    <w:p>
      <w:pPr>
        <w:pStyle w:val="BodyText"/>
        <w:bidi w:val="0"/>
        <w:spacing w:lineRule="auto" w:line="240"/>
        <w:jc w:val="both"/>
        <w:rPr>
          <w:rFonts w:ascii="Times New Roman" w:hAnsi="Times New Roman"/>
        </w:rPr>
      </w:pPr>
      <w:r>
        <w:rPr>
          <w:rFonts w:ascii="Times New Roman" w:hAnsi="Times New Roman"/>
          <w:b/>
        </w:rPr>
        <w:t>TABLE I</w:t>
      </w:r>
      <w:r>
        <w:rPr>
          <w:rFonts w:ascii="Times New Roman" w:hAnsi="Times New Roman"/>
        </w:rPr>
        <w:t> </w:t>
      </w:r>
      <w:r>
        <w:rPr>
          <w:rFonts w:ascii="Times New Roman" w:hAnsi="Times New Roman"/>
          <w:b/>
        </w:rPr>
        <w:t>COMPARISON OF EXISTING STUDIES FOR BRAIN TUMOUR DETECTION</w:t>
      </w:r>
    </w:p>
    <w:tbl>
      <w:tblPr>
        <w:tblW w:w="9637" w:type="dxa"/>
        <w:jc w:val="start"/>
        <w:tblInd w:w="-5" w:type="dxa"/>
        <w:tblLayout w:type="fixed"/>
        <w:tblCellMar>
          <w:top w:w="55" w:type="dxa"/>
          <w:start w:w="55" w:type="dxa"/>
          <w:bottom w:w="55" w:type="dxa"/>
          <w:end w:w="55" w:type="dxa"/>
        </w:tblCellMar>
      </w:tblPr>
      <w:tblGrid>
        <w:gridCol w:w="3531"/>
        <w:gridCol w:w="1940"/>
        <w:gridCol w:w="1555"/>
        <w:gridCol w:w="1365"/>
        <w:gridCol w:w="1246"/>
      </w:tblGrid>
      <w:tr>
        <w:trPr>
          <w:tblHeader w:val="true"/>
        </w:trPr>
        <w:tc>
          <w:tcPr>
            <w:tcW w:w="3531"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Study</w:t>
            </w:r>
          </w:p>
        </w:tc>
        <w:tc>
          <w:tcPr>
            <w:tcW w:w="1940"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Model</w:t>
            </w:r>
          </w:p>
        </w:tc>
        <w:tc>
          <w:tcPr>
            <w:tcW w:w="1555"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Dataset Size</w:t>
            </w:r>
          </w:p>
        </w:tc>
        <w:tc>
          <w:tcPr>
            <w:tcW w:w="1365"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Task</w:t>
            </w:r>
          </w:p>
        </w:tc>
        <w:tc>
          <w:tcPr>
            <w:tcW w:w="1246"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Accuracy</w:t>
            </w:r>
          </w:p>
        </w:tc>
      </w:tr>
      <w:tr>
        <w:trPr/>
        <w:tc>
          <w:tcPr>
            <w:tcW w:w="353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Talo et al. (2019) [16]</w:t>
            </w:r>
          </w:p>
        </w:tc>
        <w:tc>
          <w:tcPr>
            <w:tcW w:w="19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ResNet50</w:t>
            </w:r>
          </w:p>
        </w:tc>
        <w:tc>
          <w:tcPr>
            <w:tcW w:w="155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253</w:t>
            </w:r>
          </w:p>
        </w:tc>
        <w:tc>
          <w:tcPr>
            <w:tcW w:w="136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Binary</w:t>
            </w:r>
          </w:p>
        </w:tc>
        <w:tc>
          <w:tcPr>
            <w:tcW w:w="124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95.23%</w:t>
            </w:r>
          </w:p>
        </w:tc>
      </w:tr>
      <w:tr>
        <w:trPr/>
        <w:tc>
          <w:tcPr>
            <w:tcW w:w="353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Khan et al. (2020) [23]</w:t>
            </w:r>
          </w:p>
        </w:tc>
        <w:tc>
          <w:tcPr>
            <w:tcW w:w="19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VGG16</w:t>
            </w:r>
          </w:p>
        </w:tc>
        <w:tc>
          <w:tcPr>
            <w:tcW w:w="155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3,064</w:t>
            </w:r>
          </w:p>
        </w:tc>
        <w:tc>
          <w:tcPr>
            <w:tcW w:w="136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Binary</w:t>
            </w:r>
          </w:p>
        </w:tc>
        <w:tc>
          <w:tcPr>
            <w:tcW w:w="124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98.69%</w:t>
            </w:r>
          </w:p>
        </w:tc>
      </w:tr>
      <w:tr>
        <w:trPr/>
        <w:tc>
          <w:tcPr>
            <w:tcW w:w="353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Noreen et al. (2020) [24]</w:t>
            </w:r>
          </w:p>
        </w:tc>
        <w:tc>
          <w:tcPr>
            <w:tcW w:w="19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DenseNet121</w:t>
            </w:r>
          </w:p>
        </w:tc>
        <w:tc>
          <w:tcPr>
            <w:tcW w:w="155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3,064</w:t>
            </w:r>
          </w:p>
        </w:tc>
        <w:tc>
          <w:tcPr>
            <w:tcW w:w="136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Binary</w:t>
            </w:r>
          </w:p>
        </w:tc>
        <w:tc>
          <w:tcPr>
            <w:tcW w:w="124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99.51%</w:t>
            </w:r>
          </w:p>
        </w:tc>
      </w:tr>
      <w:tr>
        <w:trPr/>
        <w:tc>
          <w:tcPr>
            <w:tcW w:w="353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Rehman et al. (2020) [25]</w:t>
            </w:r>
          </w:p>
        </w:tc>
        <w:tc>
          <w:tcPr>
            <w:tcW w:w="19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InceptionV3</w:t>
            </w:r>
          </w:p>
        </w:tc>
        <w:tc>
          <w:tcPr>
            <w:tcW w:w="155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3,064</w:t>
            </w:r>
          </w:p>
        </w:tc>
        <w:tc>
          <w:tcPr>
            <w:tcW w:w="136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Binary</w:t>
            </w:r>
          </w:p>
        </w:tc>
        <w:tc>
          <w:tcPr>
            <w:tcW w:w="124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99.34%</w:t>
            </w:r>
          </w:p>
        </w:tc>
      </w:tr>
      <w:tr>
        <w:trPr/>
        <w:tc>
          <w:tcPr>
            <w:tcW w:w="353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Ghassemi et al. (2020) [26]</w:t>
            </w:r>
          </w:p>
        </w:tc>
        <w:tc>
          <w:tcPr>
            <w:tcW w:w="19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EfficientNet</w:t>
            </w:r>
          </w:p>
        </w:tc>
        <w:tc>
          <w:tcPr>
            <w:tcW w:w="155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3,064</w:t>
            </w:r>
          </w:p>
        </w:tc>
        <w:tc>
          <w:tcPr>
            <w:tcW w:w="136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Binary</w:t>
            </w:r>
          </w:p>
        </w:tc>
        <w:tc>
          <w:tcPr>
            <w:tcW w:w="124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98.87%</w:t>
            </w:r>
          </w:p>
        </w:tc>
      </w:tr>
      <w:tr>
        <w:trPr/>
        <w:tc>
          <w:tcPr>
            <w:tcW w:w="353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Cheng et al. (2015) [5]</w:t>
            </w:r>
          </w:p>
        </w:tc>
        <w:tc>
          <w:tcPr>
            <w:tcW w:w="19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SVM + Features</w:t>
            </w:r>
          </w:p>
        </w:tc>
        <w:tc>
          <w:tcPr>
            <w:tcW w:w="155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3,064</w:t>
            </w:r>
          </w:p>
        </w:tc>
        <w:tc>
          <w:tcPr>
            <w:tcW w:w="136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Multi-class</w:t>
            </w:r>
          </w:p>
        </w:tc>
        <w:tc>
          <w:tcPr>
            <w:tcW w:w="124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90.00%</w:t>
            </w:r>
          </w:p>
        </w:tc>
      </w:tr>
      <w:tr>
        <w:trPr/>
        <w:tc>
          <w:tcPr>
            <w:tcW w:w="353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Deepak and Ameer (2019) [15]</w:t>
            </w:r>
          </w:p>
        </w:tc>
        <w:tc>
          <w:tcPr>
            <w:tcW w:w="194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InceptionV3</w:t>
            </w:r>
          </w:p>
        </w:tc>
        <w:tc>
          <w:tcPr>
            <w:tcW w:w="155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3,064</w:t>
            </w:r>
          </w:p>
        </w:tc>
        <w:tc>
          <w:tcPr>
            <w:tcW w:w="136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Multi-class</w:t>
            </w:r>
          </w:p>
        </w:tc>
        <w:tc>
          <w:tcPr>
            <w:tcW w:w="124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97.50%</w:t>
            </w:r>
          </w:p>
        </w:tc>
      </w:tr>
    </w:tbl>
    <w:p>
      <w:pPr>
        <w:pStyle w:val="BodyText"/>
        <w:bidi w:val="0"/>
        <w:spacing w:lineRule="auto" w:line="240"/>
        <w:jc w:val="both"/>
        <w:rPr>
          <w:rFonts w:ascii="Times New Roman" w:hAnsi="Times New Roman"/>
        </w:rPr>
      </w:pPr>
      <w:r>
        <w:rPr>
          <w:rFonts w:ascii="Times New Roman" w:hAnsi="Times New Roman"/>
        </w:rPr>
      </w:r>
    </w:p>
    <w:p>
      <w:pPr>
        <w:pStyle w:val="BodyText"/>
        <w:bidi w:val="0"/>
        <w:spacing w:lineRule="auto" w:line="240"/>
        <w:jc w:val="both"/>
        <w:rPr>
          <w:rFonts w:ascii="Times New Roman" w:hAnsi="Times New Roman"/>
        </w:rPr>
      </w:pPr>
      <w:r>
        <w:rPr>
          <w:rFonts w:ascii="Times New Roman" w:hAnsi="Times New Roman"/>
        </w:rPr>
        <w:t>Despite extensive research, several gaps persist in the literature. Limited cross-architecture comparison exists, as studies typically evaluate only 2 to 3 models, making comprehensive comparison difficult. Dataset heterogeneity is problematic because different studies use different splits, preprocessing protocols, and evaluation methods. Transformer underrepresentation remains an issue, as most existing work focuses on CNNs with limited transformer evaluation. Reproducibility challenges exist because code and trained models are rarely shared, hindering validation and extension. Incomplete deduplication is common, as most studies do not address near-duplicate images across combined datasets, leading to data leakage. This study addresses these gaps by implementing nine architectures under identical conditions, using combined datasets from multiple sources with rigorous deduplication through perceptual hashing, sharing complete reproducible code, including both CNN and transformer models, providing detailed performance analysis for both binary and multi-class tasks, and establishing standardised evaluation protocols.</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3. Methods and Materials</w:t>
      </w:r>
    </w:p>
    <w:p>
      <w:pPr>
        <w:pStyle w:val="BodyText"/>
        <w:bidi w:val="0"/>
        <w:spacing w:lineRule="auto" w:line="240"/>
        <w:jc w:val="both"/>
        <w:rPr>
          <w:rFonts w:ascii="Times New Roman" w:hAnsi="Times New Roman"/>
        </w:rPr>
      </w:pPr>
      <w:r>
        <w:rPr>
          <w:rFonts w:ascii="Times New Roman" w:hAnsi="Times New Roman"/>
        </w:rPr>
        <w:t>For the binary brain tumour detection task, which requires classifying MRI images as either containing a tumour (positive) or being tumour-free (negative), we combined two publicly available brain MRI datasets sourced from the Kaggle platform. Dataset 1, Brain MRI Images for Brain Tumour Detection, was contributed by Navoneel Chakrabarty and contains 253 MRI images in total, with 155 labelled as tumour-positive and 98 as tumour-negative. The images represent a mix of T1-weighted and T2-weighted sequences, though specific sequence information is not uniformly provided. Dataset 2, Brain Tumour Detection, was contributed by Ahmed Hamada and contains a substantially larger collection of 3,000 MRI images, with a perfectly balanced class distribution of 1,500 tumour-positive and 1,500 tumour-negative images. The images are provided in JPEG format and have been pre-cropped to focus on the brain region, though some variability in field of view and image resolution exists across samples. The combined binary dataset therefore comprised 3,253 images, with 1,598 non-tumour images (49.1%) and 1,655 tumour-positive images (50.9%). This near-perfect balance prevents the model from exploiting class imbalance and ensures that chance-level accuracy remains at 50%.</w:t>
      </w:r>
    </w:p>
    <w:p>
      <w:pPr>
        <w:pStyle w:val="BodyText"/>
        <w:bidi w:val="0"/>
        <w:spacing w:lineRule="auto" w:line="240"/>
        <w:jc w:val="both"/>
        <w:rPr>
          <w:rFonts w:ascii="Times New Roman" w:hAnsi="Times New Roman"/>
        </w:rPr>
      </w:pPr>
      <w:r>
        <w:rPr>
          <w:rFonts w:ascii="Times New Roman" w:hAnsi="Times New Roman"/>
        </w:rPr>
        <w:t>For the more challenging multi-class classification task, where the model must distinguish between glioma, meningioma, and pituitary tumours, we combined two publicly available brain tumour MRI datasets. Dataset 1, Sartaj Bhuvaji’s Brain Tumour Classification MRI, provides a structured collection with separate training and testing folders organised into three class subdirectories, with all images in JPEG format at a consistent 224×224 pixels. Dataset 2, Jun Cheng’s Brain Tumour MRI Dataset [5], is a well-known collection containing MRI images of the same three tumour types in JPEG format, though original resolutions vary. The initial combined multi-class dataset before any deduplication comprised 5,828 images, with glioma contributing 2,352 images (40.4%), meningioma contributing 1,645 images (28.2%), and pituitary contributing 1,831 images (31.4%). This distribution is moderately balanced, with no single class constituting an overwhelming majority.</w:t>
      </w:r>
    </w:p>
    <w:p>
      <w:pPr>
        <w:pStyle w:val="BodyText"/>
        <w:bidi w:val="0"/>
        <w:spacing w:lineRule="auto" w:line="240"/>
        <w:jc w:val="both"/>
        <w:rPr>
          <w:rFonts w:ascii="Times New Roman" w:hAnsi="Times New Roman"/>
        </w:rPr>
      </w:pPr>
      <w:r>
        <w:rPr>
          <w:rFonts w:ascii="Times New Roman" w:hAnsi="Times New Roman"/>
        </w:rPr>
        <w:t>The data collection process was implemented using custom Python functions that performed recursive directory traversal, systematically identifying all image files, extracting the class label from the parent directory name, and collecting the absolute file path. Only files with valid image extensions (.jpg, .jpeg, .png, and .tif) were included; hidden files, system files, and non-image files were automatically excluded. The collected file paths and labels were stored in Pandas DataFrames to facilitate stratified splitting and preprocessing.</w:t>
      </w:r>
    </w:p>
    <w:p>
      <w:pPr>
        <w:pStyle w:val="BodyText"/>
        <w:bidi w:val="0"/>
        <w:spacing w:lineRule="auto" w:line="240"/>
        <w:jc w:val="both"/>
        <w:rPr>
          <w:rFonts w:ascii="Times New Roman" w:hAnsi="Times New Roman"/>
        </w:rPr>
      </w:pPr>
      <w:r>
        <w:rPr>
          <w:rFonts w:ascii="Times New Roman" w:hAnsi="Times New Roman"/>
        </w:rPr>
        <w:t>A critical preprocessing step unique to the multi-class classification task was the systematic identification and removal of near-duplicate images across the two combined datasets. When datasets from different sources are merged, it is common to encounter identical or nearly identical images that have been resized, recompressed, or subjected to minor modifications. These near-duplicates, if inadvertently distributed across training and test splits, constitute a form of data leakage that artificially inflates reported performance metrics. To address this, we employed perceptual hashing (pHash), which generates a compact fingerprint for each image that is robust to resizing, compression, slight rotations, and minor contrast or colour adjustments. Specifically, we generated 64-bit perceptual hashes using the ImageHash library. The Hamming distance between two hash values served as a similarity metric. We adopted a tolerance threshold of 5: any pair of images with a Hamming distance of 5 or less (differing in at most 5 bits out of 64) were considered near-duplicates, and all but one representative were removed from the dataset. The rationale for rigorous deduplication is multi-fold: multiple public datasets often contain the same underlying images because they derive from common original sources such as the TCIA or the Figshare brain tumour collection; near-duplicates cause data leakage if present across train and test splits; and removal of duplicates ensures that reported performance metrics reflect true generalisation capability. After applying perceptual hashing deduplication, the glioma class decreased from 2,352 to 2,000 images (a 15.0% reduction), meningioma from 1,645 to 1,304 (20.7%), and pituitary from 1,831 to 1,401 (23.5%). Overall, the total multi-class dataset was reduced from 5,828 to 4,705 images, a 19.3% reduction. The final class distribution was glioma 2,000 (42.5%), meningioma 1,304 (27.7%), and pituitary 1,401 (29.8%).</w:t>
      </w:r>
    </w:p>
    <w:p>
      <w:pPr>
        <w:pStyle w:val="BodyText"/>
        <w:bidi w:val="0"/>
        <w:spacing w:lineRule="auto" w:line="240"/>
        <w:jc w:val="both"/>
        <w:rPr>
          <w:rFonts w:ascii="Times New Roman" w:hAnsi="Times New Roman"/>
        </w:rPr>
      </w:pPr>
      <w:r>
        <w:rPr>
          <w:rFonts w:ascii="Times New Roman" w:hAnsi="Times New Roman"/>
        </w:rPr>
        <w:t>Stratified sampling was employed for all dataset splits to ensure that the class distribution in each subset faithfully reflected the full dataset. For the binary detection task, the split ratios were 70% training (2,277 images), 15% validation (488 images), and 15% test (488 images). For the multi-class classification task, the same 70/15/15 ratio was applied to the 4,705 deduplicated images, yielding 3,293 training images, 706 validation images, and 706 testing images. Stratification was performed using scikit-learn’s train_test_split function with the stratify parameter set to the class label array and a fixed random seed of 42. The splitting process followed a two-stage procedure: first, the full dataset was divided into a training set (70%) and a temporary set (30%), then the temporary set was equally divided into validation (15%) and test (15%) sets, ensuring mutual exclusivity.</w:t>
      </w:r>
    </w:p>
    <w:p>
      <w:pPr>
        <w:pStyle w:val="BodyText"/>
        <w:bidi w:val="0"/>
        <w:spacing w:lineRule="auto" w:line="240"/>
        <w:jc w:val="both"/>
        <w:rPr>
          <w:rFonts w:ascii="Times New Roman" w:hAnsi="Times New Roman"/>
        </w:rPr>
      </w:pPr>
      <w:r>
        <w:rPr>
          <w:rFonts w:ascii="Times New Roman" w:hAnsi="Times New Roman"/>
        </w:rPr>
        <w:t>All images were loaded using the Python Imaging Library (PIL) and converted to RGB format with three colour channels, even if the original was grayscale, to ensure compatibility with all pretrained models. Images were resized to model-specific input dimensions: 224×224 pixels for ResNet50, VGG16, DenseNet121, EfficientNetB0, MobileNetV3-Large, ViT-B/16, Swin Transformer Base, and CoaTNet-0; and 299×299 pixels for InceptionV3. All models employed ImageNet normalisation statistics, with mean values [0.485, 0.456, 0.406] and standard deviation [0.229, 0.224, 0.225], applied after converting to a PyTorch tensor and scaling pixel values to [0.0, 1.0]. To improve generalisation, data augmentation was applied exclusively to the training set: random horizontal flipping with probability 0.5, random rotation up to ±10 degrees, and colour jitter adjusting brightness and contrast by up to 20%. These augmentations were applied on the fly during each epoch. For validation and testing, only the essential transformations of resizing, tensor conversion, and normalisation were applied, with no stochastic augmentations, ensuring deterministic and reproducible evaluation.</w:t>
      </w:r>
    </w:p>
    <w:p>
      <w:pPr>
        <w:pStyle w:val="BodyText"/>
        <w:bidi w:val="0"/>
        <w:spacing w:lineRule="auto" w:line="240"/>
        <w:jc w:val="both"/>
        <w:rPr>
          <w:rFonts w:ascii="Times New Roman" w:hAnsi="Times New Roman"/>
        </w:rPr>
      </w:pPr>
      <w:r>
        <w:rPr>
          <w:rFonts w:ascii="Times New Roman" w:hAnsi="Times New Roman"/>
        </w:rPr>
        <w:t>The PyTorch DataLoader was configured with multi-GPU training optimisations: the number of worker subprocesses was set to 4, pin memory was enabled for faster CPU-to-GPU transfer, persistent workers were used to maintain worker processes across epochs, and a prefetch factor of 4 was set to hide data loading latency.</w:t>
      </w:r>
    </w:p>
    <w:p>
      <w:pPr>
        <w:pStyle w:val="BodyText"/>
        <w:bidi w:val="0"/>
        <w:spacing w:lineRule="auto" w:line="240"/>
        <w:jc w:val="both"/>
        <w:rPr>
          <w:rFonts w:ascii="Times New Roman" w:hAnsi="Times New Roman"/>
        </w:rPr>
      </w:pPr>
      <w:r>
        <w:rPr>
          <w:rFonts w:ascii="Times New Roman" w:hAnsi="Times New Roman"/>
        </w:rPr>
        <w:t>ResNet50 is a 50-layer residual network built around bottleneck residual blocks with skip connections that address the vanishing gradient problem. It contains 25.6 million parameters and was pretrained on ImageNet. The final fully connected layer was replaced with a linear layer for binary (1 output) or multi-class (3 outputs) classification. VGG16 is a 16-layer network using only 3×3 convolutional filters stacked in increasing depth, with 138 million parameters. Its classifier head was replaced appropriately for each task. DenseNet121 is a 121-layer densely connected network that concatenates feature maps of all preceding layers, maximising information flow with only 8 million parameters. The final classifier layer was modified for each task. EfficientNetB0, developed through neural architecture search and compound scaling, achieves state-of-the-art accuracy with only 5.3 million parameters. MobileNetV3-Large uses depthwise separable convolutions for mobile and embedded applications, containing 5.4 million parameters. InceptionV3 is a 48-layer network with parallel convolutional paths of different kernel sizes (1×1, 3×3, 5×5) within inception modules, capturing multi-scale features with 23.9 million parameters. ViT-B/16 divides the input image into 16×16 patches, processing them as a sequence with a transformer encoder, containing 86 million parameters and lacking inherent convolutional inductive biases. Swin Transformer Base introduces hierarchical transformers with shifted windows, achieving linear complexity and multi-scale processing with 88 million parameters. CoaTNet-0 combines convolutional and attention mechanisms in a unified architecture with approximately 10 million parameters.</w:t>
      </w:r>
    </w:p>
    <w:p>
      <w:pPr>
        <w:pStyle w:val="BodyText"/>
        <w:bidi w:val="0"/>
        <w:spacing w:lineRule="auto" w:line="240"/>
        <w:jc w:val="both"/>
        <w:rPr>
          <w:rFonts w:ascii="Times New Roman" w:hAnsi="Times New Roman"/>
        </w:rPr>
      </w:pPr>
      <w:r>
        <w:rPr>
          <w:rFonts w:ascii="Times New Roman" w:hAnsi="Times New Roman"/>
        </w:rPr>
        <w:t>All experiments were conducted on dual NVIDIA Tesla T4 GPUs with 16 GB GDDR6 memory each, Intel Xeon processors with 4 virtual CPUs, and 29 GB of RAM. The software environment included Python 3.12.12, PyTorch 2.x with CUDA 12.x, Torchvision, the TIMM library for transformer architectures, TensorBoard for tracking, and scikit-learn for metrics. Multi-GPU training used torch.nn.DataParallel, and mixed precision training with FP16 was employed via torch.amp.autocast and GradScaler. To ensure fair comparison, the following hyperparameters were standardised across all models: 10 epochs of training, AdamW optimiser with weight decay 0.01, learning rate 3e-4, CosineAnnealingLR scheduler with T_max=10, BCEWithLogitsLoss for binary classification and CrossEntropyLoss for multi-class, and model-specific batch sizes (ResNet50: 256, VGG16: 256, DenseNet121: 64, EfficientNetB0: 256, MobileNetV3-Large: 256, InceptionV3: 128, ViT-B/16: 128, Swin Base: 64, CoaTNet-0: 64) set to the maximum that fit within GPU memory. The training loop for each epoch consisted of a training phase with augmentations and weight updates, and a validation phase without augmentations or gradient computation. Learning rate scheduling was applied after each epoch, and model checkpointing saved the best model based on validation AUC (binary) or validation accuracy (multi-class). The run_epoch function handled both modes with a unified code path, using autocast, gradient scaling, and accumulation of predictions for metric computation.</w:t>
      </w:r>
    </w:p>
    <w:p>
      <w:pPr>
        <w:pStyle w:val="BodyText"/>
        <w:bidi w:val="0"/>
        <w:spacing w:lineRule="auto" w:line="240"/>
        <w:jc w:val="both"/>
        <w:rPr>
          <w:rFonts w:ascii="Times New Roman" w:hAnsi="Times New Roman"/>
        </w:rPr>
      </w:pPr>
      <w:r>
        <w:rPr>
          <w:rFonts w:ascii="Times New Roman" w:hAnsi="Times New Roman"/>
        </w:rPr>
        <w:t>Evaluation metrics included accuracy (correct predictions over total), cross-entropy loss for calibration, and AUC-ROC for discrimination ability. AUC-ROC ranges from 0.5 (random) to 1.0 (perfect separation). For multi-class, the One-vs-Rest approach was used. Comprehensive random seed control was implemented with SEED=42 for PyTorch, NumPy, and Python modules, and CUDA deterministic settings were used with cudnn.benchmark enabled for speed. The complete code is publicly available at the repository link provided in Appendix C.</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4. Results and Discussion</w:t>
      </w:r>
    </w:p>
    <w:p>
      <w:pPr>
        <w:pStyle w:val="BodyText"/>
        <w:bidi w:val="0"/>
        <w:spacing w:lineRule="auto" w:line="240"/>
        <w:jc w:val="both"/>
        <w:rPr>
          <w:rFonts w:ascii="Times New Roman" w:hAnsi="Times New Roman"/>
        </w:rPr>
      </w:pPr>
      <w:r>
        <w:rPr>
          <w:rFonts w:ascii="Times New Roman" w:hAnsi="Times New Roman"/>
        </w:rPr>
        <w:t>Table II presents the final test results for the binary brain tumour detection task. InceptionV3 achieved 99.39% accuracy with perfect AUC of 1.0000, having demonstrated exceptionally rapid convergence: by Epoch 1, training accuracy reached 89.80% with validation AUC of 0.9997, and by Epoch 2, training accuracy improved to 99.22% with best validation AUC of 0.9999. CoaTNet-0 achieved 99.59% accuracy with perfect AUC, showing steady improvement over 7 epochs from 65.27% training accuracy and AUC 0.8437 at Epoch 1 to best validation at Epoch 7 (99.78% training accuracy, validation AUC 0.9999). EfficientNetB0 also reached 99.59% accuracy with AUC 0.9999, converging rapidly to best validation by Epoch 4 (99.37% training accuracy, validation AUC 0.9999). DenseNet121 showed an interesting behaviour with best validation AUC of 1.0000 at Epoch 1 (93.48% training accuracy), though final test accuracy was 97.95% with AUC 0.9999, suggesting initial overfitting. ResNet50 achieved 99.39% accuracy with AUC 0.9999, with stable improvement to best validation at Epoch 6 (99.80% training accuracy, validation AUC 0.9999). Swin Base reached 98.16% accuracy with AUC 0.9990, requiring more epochs to converge, from Epoch 1 (61.25% training accuracy, AUC 0.7959) to best validation at Epoch 6 (96.65% training accuracy, validation AUC 0.9988). MobileNetV3 exhibited training instability with a large gap between training and validation performance; best validation AUC 0.9993 was achieved at Epoch 10 despite 99.90% training accuracy, but test accuracy dropped to 91.39%, indicating poor generalisation. ViT-B/16 showed the slowest convergence, reaching best validation only at Epoch 10 (94.30% training accuracy, validation AUC 0.9897), with final test accuracy 95.08% and AUC 0.9861. VGG16 performed poorest, with slow convergence and final test accuracy of only 83.20% with AUC 0.9247, confirming this classical architecture as unsuitable for medical imaging applications given modern alternatives.</w:t>
      </w:r>
    </w:p>
    <w:p>
      <w:pPr>
        <w:pStyle w:val="BodyText"/>
        <w:bidi w:val="0"/>
        <w:spacing w:lineRule="auto" w:line="240"/>
        <w:jc w:val="both"/>
        <w:rPr>
          <w:rFonts w:ascii="Times New Roman" w:hAnsi="Times New Roman"/>
        </w:rPr>
      </w:pPr>
      <w:r>
        <w:rPr>
          <w:rFonts w:ascii="Times New Roman" w:hAnsi="Times New Roman"/>
          <w:b/>
        </w:rPr>
        <w:t>TABLE II</w:t>
      </w:r>
      <w:r>
        <w:rPr>
          <w:rFonts w:ascii="Times New Roman" w:hAnsi="Times New Roman"/>
        </w:rPr>
        <w:t> </w:t>
      </w:r>
      <w:r>
        <w:rPr>
          <w:rFonts w:ascii="Times New Roman" w:hAnsi="Times New Roman"/>
          <w:b/>
        </w:rPr>
        <w:t>BINARY DETECTION TEST RESULTS</w:t>
      </w:r>
    </w:p>
    <w:tbl>
      <w:tblPr>
        <w:tblW w:w="5000" w:type="pct"/>
        <w:jc w:val="start"/>
        <w:tblInd w:w="-5" w:type="dxa"/>
        <w:tblLayout w:type="fixed"/>
        <w:tblCellMar>
          <w:top w:w="55" w:type="dxa"/>
          <w:start w:w="55" w:type="dxa"/>
          <w:bottom w:w="55" w:type="dxa"/>
          <w:end w:w="55" w:type="dxa"/>
        </w:tblCellMar>
      </w:tblPr>
      <w:tblGrid>
        <w:gridCol w:w="1760"/>
        <w:gridCol w:w="1734"/>
        <w:gridCol w:w="1234"/>
        <w:gridCol w:w="3454"/>
        <w:gridCol w:w="1456"/>
      </w:tblGrid>
      <w:tr>
        <w:trPr>
          <w:tblHeader w:val="true"/>
        </w:trPr>
        <w:tc>
          <w:tcPr>
            <w:tcW w:w="1760"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Model</w:t>
            </w:r>
          </w:p>
        </w:tc>
        <w:tc>
          <w:tcPr>
            <w:tcW w:w="1734"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Test Accuracy</w:t>
            </w:r>
          </w:p>
        </w:tc>
        <w:tc>
          <w:tcPr>
            <w:tcW w:w="1234"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Test AUC</w:t>
            </w:r>
          </w:p>
        </w:tc>
        <w:tc>
          <w:tcPr>
            <w:tcW w:w="3454"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Best Validation AUC (Epoch)</w:t>
            </w:r>
          </w:p>
        </w:tc>
        <w:tc>
          <w:tcPr>
            <w:tcW w:w="1456"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Parameters</w:t>
            </w:r>
          </w:p>
        </w:tc>
      </w:tr>
      <w:tr>
        <w:trPr/>
        <w:tc>
          <w:tcPr>
            <w:tcW w:w="176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InceptionV3</w:t>
            </w:r>
          </w:p>
        </w:tc>
        <w:tc>
          <w:tcPr>
            <w:tcW w:w="17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99.39%</w:t>
            </w:r>
          </w:p>
        </w:tc>
        <w:tc>
          <w:tcPr>
            <w:tcW w:w="12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1.0000</w:t>
            </w:r>
          </w:p>
        </w:tc>
        <w:tc>
          <w:tcPr>
            <w:tcW w:w="345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0.9999 (Epoch 2)</w:t>
            </w:r>
          </w:p>
        </w:tc>
        <w:tc>
          <w:tcPr>
            <w:tcW w:w="145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23.9M</w:t>
            </w:r>
          </w:p>
        </w:tc>
      </w:tr>
      <w:tr>
        <w:trPr/>
        <w:tc>
          <w:tcPr>
            <w:tcW w:w="176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CoaTNet-0</w:t>
            </w:r>
          </w:p>
        </w:tc>
        <w:tc>
          <w:tcPr>
            <w:tcW w:w="17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99.59%</w:t>
            </w:r>
          </w:p>
        </w:tc>
        <w:tc>
          <w:tcPr>
            <w:tcW w:w="12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1.0000</w:t>
            </w:r>
          </w:p>
        </w:tc>
        <w:tc>
          <w:tcPr>
            <w:tcW w:w="345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0.9999 (Epoch 7)</w:t>
            </w:r>
          </w:p>
        </w:tc>
        <w:tc>
          <w:tcPr>
            <w:tcW w:w="145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~10M</w:t>
            </w:r>
          </w:p>
        </w:tc>
      </w:tr>
      <w:tr>
        <w:trPr/>
        <w:tc>
          <w:tcPr>
            <w:tcW w:w="176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EfficientNetB0</w:t>
            </w:r>
          </w:p>
        </w:tc>
        <w:tc>
          <w:tcPr>
            <w:tcW w:w="17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99.59%</w:t>
            </w:r>
          </w:p>
        </w:tc>
        <w:tc>
          <w:tcPr>
            <w:tcW w:w="12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0.9999</w:t>
            </w:r>
          </w:p>
        </w:tc>
        <w:tc>
          <w:tcPr>
            <w:tcW w:w="345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0.9999 (Epoch 4)</w:t>
            </w:r>
          </w:p>
        </w:tc>
        <w:tc>
          <w:tcPr>
            <w:tcW w:w="145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5.3M</w:t>
            </w:r>
          </w:p>
        </w:tc>
      </w:tr>
      <w:tr>
        <w:trPr/>
        <w:tc>
          <w:tcPr>
            <w:tcW w:w="176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DenseNet121</w:t>
            </w:r>
          </w:p>
        </w:tc>
        <w:tc>
          <w:tcPr>
            <w:tcW w:w="17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97.95%</w:t>
            </w:r>
          </w:p>
        </w:tc>
        <w:tc>
          <w:tcPr>
            <w:tcW w:w="12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0.9999</w:t>
            </w:r>
          </w:p>
        </w:tc>
        <w:tc>
          <w:tcPr>
            <w:tcW w:w="345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1.0000 (Epoch 1)</w:t>
            </w:r>
          </w:p>
        </w:tc>
        <w:tc>
          <w:tcPr>
            <w:tcW w:w="145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8.0M</w:t>
            </w:r>
          </w:p>
        </w:tc>
      </w:tr>
      <w:tr>
        <w:trPr/>
        <w:tc>
          <w:tcPr>
            <w:tcW w:w="176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ResNet50</w:t>
            </w:r>
          </w:p>
        </w:tc>
        <w:tc>
          <w:tcPr>
            <w:tcW w:w="17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99.39%</w:t>
            </w:r>
          </w:p>
        </w:tc>
        <w:tc>
          <w:tcPr>
            <w:tcW w:w="12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0.9999</w:t>
            </w:r>
          </w:p>
        </w:tc>
        <w:tc>
          <w:tcPr>
            <w:tcW w:w="345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0.9999 (Epoch 6)</w:t>
            </w:r>
          </w:p>
        </w:tc>
        <w:tc>
          <w:tcPr>
            <w:tcW w:w="145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25.6M</w:t>
            </w:r>
          </w:p>
        </w:tc>
      </w:tr>
      <w:tr>
        <w:trPr/>
        <w:tc>
          <w:tcPr>
            <w:tcW w:w="176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Swin Base</w:t>
            </w:r>
          </w:p>
        </w:tc>
        <w:tc>
          <w:tcPr>
            <w:tcW w:w="17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98.16%</w:t>
            </w:r>
          </w:p>
        </w:tc>
        <w:tc>
          <w:tcPr>
            <w:tcW w:w="12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0.9990</w:t>
            </w:r>
          </w:p>
        </w:tc>
        <w:tc>
          <w:tcPr>
            <w:tcW w:w="345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0.9988 (Epoch 6)</w:t>
            </w:r>
          </w:p>
        </w:tc>
        <w:tc>
          <w:tcPr>
            <w:tcW w:w="145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88M</w:t>
            </w:r>
          </w:p>
        </w:tc>
      </w:tr>
      <w:tr>
        <w:trPr/>
        <w:tc>
          <w:tcPr>
            <w:tcW w:w="176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MobileNetV3</w:t>
            </w:r>
          </w:p>
        </w:tc>
        <w:tc>
          <w:tcPr>
            <w:tcW w:w="17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91.39%</w:t>
            </w:r>
          </w:p>
        </w:tc>
        <w:tc>
          <w:tcPr>
            <w:tcW w:w="12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0.9982</w:t>
            </w:r>
          </w:p>
        </w:tc>
        <w:tc>
          <w:tcPr>
            <w:tcW w:w="345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0.9993 (Epoch 10)</w:t>
            </w:r>
          </w:p>
        </w:tc>
        <w:tc>
          <w:tcPr>
            <w:tcW w:w="145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5.4M</w:t>
            </w:r>
          </w:p>
        </w:tc>
      </w:tr>
      <w:tr>
        <w:trPr/>
        <w:tc>
          <w:tcPr>
            <w:tcW w:w="176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ViT-B/16</w:t>
            </w:r>
          </w:p>
        </w:tc>
        <w:tc>
          <w:tcPr>
            <w:tcW w:w="17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95.08%</w:t>
            </w:r>
          </w:p>
        </w:tc>
        <w:tc>
          <w:tcPr>
            <w:tcW w:w="12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0.9861</w:t>
            </w:r>
          </w:p>
        </w:tc>
        <w:tc>
          <w:tcPr>
            <w:tcW w:w="345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0.9897 (Epoch 10)</w:t>
            </w:r>
          </w:p>
        </w:tc>
        <w:tc>
          <w:tcPr>
            <w:tcW w:w="145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86M</w:t>
            </w:r>
          </w:p>
        </w:tc>
      </w:tr>
      <w:tr>
        <w:trPr/>
        <w:tc>
          <w:tcPr>
            <w:tcW w:w="176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VGG16</w:t>
            </w:r>
          </w:p>
        </w:tc>
        <w:tc>
          <w:tcPr>
            <w:tcW w:w="17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83.20%</w:t>
            </w:r>
          </w:p>
        </w:tc>
        <w:tc>
          <w:tcPr>
            <w:tcW w:w="123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0.9247</w:t>
            </w:r>
          </w:p>
        </w:tc>
        <w:tc>
          <w:tcPr>
            <w:tcW w:w="3454"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0.9343 (Epoch 10)</w:t>
            </w:r>
          </w:p>
        </w:tc>
        <w:tc>
          <w:tcPr>
            <w:tcW w:w="145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138M</w:t>
            </w:r>
          </w:p>
        </w:tc>
      </w:tr>
    </w:tbl>
    <w:p>
      <w:pPr>
        <w:pStyle w:val="BodyText"/>
        <w:bidi w:val="0"/>
        <w:spacing w:lineRule="auto" w:line="240"/>
        <w:jc w:val="both"/>
        <w:rPr>
          <w:rFonts w:ascii="Times New Roman" w:hAnsi="Times New Roman"/>
        </w:rPr>
      </w:pPr>
      <w:r>
        <w:rPr>
          <w:rFonts w:ascii="Times New Roman" w:hAnsi="Times New Roman"/>
        </w:rPr>
      </w:r>
    </w:p>
    <w:p>
      <w:pPr>
        <w:pStyle w:val="BodyText"/>
        <w:bidi w:val="0"/>
        <w:spacing w:lineRule="auto" w:line="240"/>
        <w:jc w:val="both"/>
        <w:rPr>
          <w:rFonts w:ascii="Times New Roman" w:hAnsi="Times New Roman"/>
        </w:rPr>
      </w:pPr>
      <w:r>
        <w:rPr>
          <w:rFonts w:ascii="Times New Roman" w:hAnsi="Times New Roman"/>
        </w:rPr>
        <w:t>Table III presents the final test results for the multi-class brain tumour classification task. InceptionV3 achieved 98.58% test accuracy with AUC 0.9995, demonstrating rapid convergence: from Epoch 1 at 83.09% training accuracy and validation AUC 0.9817, improving to Epoch 10 (99.88% training accuracy, validation AUC 0.9967). Swin-Base also achieved 98.58% test accuracy with the lowest test loss (0.0377) and AUC 0.9993, showing steady improvement from Epoch 1 (78.37% training accuracy, validation AUC 0.9853) to best validation around Epoch 10 (99.42% training accuracy, validation AUC 0.9972). EfficientNetB0 reached 97.59% test accuracy with only 5.3 million parameters, representing the best accuracy-to-parameter ratio. CoaTNet-0 achieved 97.59% test accuracy with AUC 0.9990. ResNet-50 attained 96.60% test accuracy with AUC 0.9990. ViT-B/16 showed significantly slower convergence, requiring the full 10 epochs to reach best validation (87.68% validation accuracy, AUC 0.9679), with final test accuracy of 89.52% and AUC 0.9736, suggesting that pure transformers may require larger datasets than the 4,705 images available to reach their full potential.</w:t>
      </w:r>
    </w:p>
    <w:p>
      <w:pPr>
        <w:pStyle w:val="BodyText"/>
        <w:bidi w:val="0"/>
        <w:spacing w:lineRule="auto" w:line="240"/>
        <w:jc w:val="both"/>
        <w:rPr>
          <w:rFonts w:ascii="Times New Roman" w:hAnsi="Times New Roman"/>
        </w:rPr>
      </w:pPr>
      <w:r>
        <w:rPr>
          <w:rFonts w:ascii="Times New Roman" w:hAnsi="Times New Roman"/>
          <w:b/>
        </w:rPr>
        <w:t>TABLE III</w:t>
      </w:r>
      <w:r>
        <w:rPr>
          <w:rFonts w:ascii="Times New Roman" w:hAnsi="Times New Roman"/>
        </w:rPr>
        <w:t> </w:t>
      </w:r>
      <w:r>
        <w:rPr>
          <w:rFonts w:ascii="Times New Roman" w:hAnsi="Times New Roman"/>
          <w:b/>
        </w:rPr>
        <w:t>MULTI-CLASS CLASSIFICATION TEST RESULTS</w:t>
      </w:r>
    </w:p>
    <w:tbl>
      <w:tblPr>
        <w:tblW w:w="5000" w:type="pct"/>
        <w:jc w:val="start"/>
        <w:tblInd w:w="-5" w:type="dxa"/>
        <w:tblLayout w:type="fixed"/>
        <w:tblCellMar>
          <w:top w:w="55" w:type="dxa"/>
          <w:start w:w="55" w:type="dxa"/>
          <w:bottom w:w="55" w:type="dxa"/>
          <w:end w:w="55" w:type="dxa"/>
        </w:tblCellMar>
      </w:tblPr>
      <w:tblGrid>
        <w:gridCol w:w="2301"/>
        <w:gridCol w:w="2268"/>
        <w:gridCol w:w="1553"/>
        <w:gridCol w:w="1613"/>
        <w:gridCol w:w="1903"/>
      </w:tblGrid>
      <w:tr>
        <w:trPr>
          <w:tblHeader w:val="true"/>
        </w:trPr>
        <w:tc>
          <w:tcPr>
            <w:tcW w:w="2301"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Model</w:t>
            </w:r>
          </w:p>
        </w:tc>
        <w:tc>
          <w:tcPr>
            <w:tcW w:w="2268"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Test Accuracy</w:t>
            </w:r>
          </w:p>
        </w:tc>
        <w:tc>
          <w:tcPr>
            <w:tcW w:w="1553"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Test Loss</w:t>
            </w:r>
          </w:p>
        </w:tc>
        <w:tc>
          <w:tcPr>
            <w:tcW w:w="1613"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Test AUC</w:t>
            </w:r>
          </w:p>
        </w:tc>
        <w:tc>
          <w:tcPr>
            <w:tcW w:w="1903"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Parameters</w:t>
            </w:r>
          </w:p>
        </w:tc>
      </w:tr>
      <w:tr>
        <w:trPr/>
        <w:tc>
          <w:tcPr>
            <w:tcW w:w="230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InceptionV3</w:t>
            </w:r>
          </w:p>
        </w:tc>
        <w:tc>
          <w:tcPr>
            <w:tcW w:w="226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98.58%</w:t>
            </w:r>
          </w:p>
        </w:tc>
        <w:tc>
          <w:tcPr>
            <w:tcW w:w="155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0.0389</w:t>
            </w:r>
          </w:p>
        </w:tc>
        <w:tc>
          <w:tcPr>
            <w:tcW w:w="161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0.9995</w:t>
            </w:r>
          </w:p>
        </w:tc>
        <w:tc>
          <w:tcPr>
            <w:tcW w:w="1903"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27.2M</w:t>
            </w:r>
          </w:p>
        </w:tc>
      </w:tr>
      <w:tr>
        <w:trPr/>
        <w:tc>
          <w:tcPr>
            <w:tcW w:w="230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Swin-Base</w:t>
            </w:r>
          </w:p>
        </w:tc>
        <w:tc>
          <w:tcPr>
            <w:tcW w:w="226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98.58%</w:t>
            </w:r>
          </w:p>
        </w:tc>
        <w:tc>
          <w:tcPr>
            <w:tcW w:w="155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0.0377</w:t>
            </w:r>
          </w:p>
        </w:tc>
        <w:tc>
          <w:tcPr>
            <w:tcW w:w="161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0.9993</w:t>
            </w:r>
          </w:p>
        </w:tc>
        <w:tc>
          <w:tcPr>
            <w:tcW w:w="1903"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86.7M</w:t>
            </w:r>
          </w:p>
        </w:tc>
      </w:tr>
      <w:tr>
        <w:trPr/>
        <w:tc>
          <w:tcPr>
            <w:tcW w:w="230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EfficientNetB0</w:t>
            </w:r>
          </w:p>
        </w:tc>
        <w:tc>
          <w:tcPr>
            <w:tcW w:w="226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97.59%</w:t>
            </w:r>
          </w:p>
        </w:tc>
        <w:tc>
          <w:tcPr>
            <w:tcW w:w="155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0.0582</w:t>
            </w:r>
          </w:p>
        </w:tc>
        <w:tc>
          <w:tcPr>
            <w:tcW w:w="161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0.9987</w:t>
            </w:r>
          </w:p>
        </w:tc>
        <w:tc>
          <w:tcPr>
            <w:tcW w:w="1903"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5.3M</w:t>
            </w:r>
          </w:p>
        </w:tc>
      </w:tr>
      <w:tr>
        <w:trPr/>
        <w:tc>
          <w:tcPr>
            <w:tcW w:w="230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CoaTNet-0</w:t>
            </w:r>
          </w:p>
        </w:tc>
        <w:tc>
          <w:tcPr>
            <w:tcW w:w="226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97.59%</w:t>
            </w:r>
          </w:p>
        </w:tc>
        <w:tc>
          <w:tcPr>
            <w:tcW w:w="155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0.0638</w:t>
            </w:r>
          </w:p>
        </w:tc>
        <w:tc>
          <w:tcPr>
            <w:tcW w:w="161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0.9990</w:t>
            </w:r>
          </w:p>
        </w:tc>
        <w:tc>
          <w:tcPr>
            <w:tcW w:w="1903"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~10M</w:t>
            </w:r>
          </w:p>
        </w:tc>
      </w:tr>
      <w:tr>
        <w:trPr/>
        <w:tc>
          <w:tcPr>
            <w:tcW w:w="230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ResNet-50</w:t>
            </w:r>
          </w:p>
        </w:tc>
        <w:tc>
          <w:tcPr>
            <w:tcW w:w="226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96.60%</w:t>
            </w:r>
          </w:p>
        </w:tc>
        <w:tc>
          <w:tcPr>
            <w:tcW w:w="155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0.0740</w:t>
            </w:r>
          </w:p>
        </w:tc>
        <w:tc>
          <w:tcPr>
            <w:tcW w:w="161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0.9990</w:t>
            </w:r>
          </w:p>
        </w:tc>
        <w:tc>
          <w:tcPr>
            <w:tcW w:w="1903"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25.6M</w:t>
            </w:r>
          </w:p>
        </w:tc>
      </w:tr>
      <w:tr>
        <w:trPr/>
        <w:tc>
          <w:tcPr>
            <w:tcW w:w="230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ViT-B/16</w:t>
            </w:r>
          </w:p>
        </w:tc>
        <w:tc>
          <w:tcPr>
            <w:tcW w:w="226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89.52%</w:t>
            </w:r>
          </w:p>
        </w:tc>
        <w:tc>
          <w:tcPr>
            <w:tcW w:w="155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0.2737</w:t>
            </w:r>
          </w:p>
        </w:tc>
        <w:tc>
          <w:tcPr>
            <w:tcW w:w="161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0.9736</w:t>
            </w:r>
          </w:p>
        </w:tc>
        <w:tc>
          <w:tcPr>
            <w:tcW w:w="1903"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86.4M</w:t>
            </w:r>
          </w:p>
        </w:tc>
      </w:tr>
    </w:tbl>
    <w:p>
      <w:pPr>
        <w:pStyle w:val="BodyText"/>
        <w:bidi w:val="0"/>
        <w:spacing w:lineRule="auto" w:line="240"/>
        <w:jc w:val="both"/>
        <w:rPr>
          <w:rFonts w:ascii="Times New Roman" w:hAnsi="Times New Roman"/>
        </w:rPr>
      </w:pPr>
      <w:r>
        <w:rPr>
          <w:rFonts w:ascii="Times New Roman" w:hAnsi="Times New Roman"/>
        </w:rPr>
      </w:r>
    </w:p>
    <w:p>
      <w:pPr>
        <w:pStyle w:val="BodyText"/>
        <w:bidi w:val="0"/>
        <w:spacing w:lineRule="auto" w:line="240"/>
        <w:jc w:val="both"/>
        <w:rPr>
          <w:rFonts w:ascii="Times New Roman" w:hAnsi="Times New Roman"/>
        </w:rPr>
      </w:pPr>
      <w:r>
        <w:rPr>
          <w:rFonts w:ascii="Times New Roman" w:hAnsi="Times New Roman"/>
        </w:rPr>
        <w:t>Table IV presents the computational efficiency comparison. EfficientNetB0 was the fastest and most memory-efficient model, enabling batch size 256. InceptionV3 offered an excellent balance of high accuracy and moderate computational cost. Swin-Base and ViT-B/16 required significantly more training time and memory due to their self-attention mechanisms. The accuracy per million parameters metric highlights architectural efficiency: EfficientNetB0 achieved 0.188% per million parameters, DenseNet121 0.122%, CoaTNet-0 approximately 0.0996%, InceptionV3 0.0416%, ResNet50 0.0388%, Swin Base 0.0112%, ViT-B/16 0.0111%, and VGG16 only 0.0060%.</w:t>
      </w:r>
    </w:p>
    <w:p>
      <w:pPr>
        <w:pStyle w:val="BodyText"/>
        <w:bidi w:val="0"/>
        <w:spacing w:lineRule="auto" w:line="240"/>
        <w:jc w:val="both"/>
        <w:rPr>
          <w:rFonts w:ascii="Times New Roman" w:hAnsi="Times New Roman"/>
        </w:rPr>
      </w:pPr>
      <w:r>
        <w:rPr>
          <w:rFonts w:ascii="Times New Roman" w:hAnsi="Times New Roman"/>
          <w:b/>
        </w:rPr>
        <w:t>TABLE IV</w:t>
      </w:r>
      <w:r>
        <w:rPr>
          <w:rFonts w:ascii="Times New Roman" w:hAnsi="Times New Roman"/>
        </w:rPr>
        <w:t> </w:t>
      </w:r>
      <w:r>
        <w:rPr>
          <w:rFonts w:ascii="Times New Roman" w:hAnsi="Times New Roman"/>
          <w:b/>
        </w:rPr>
        <w:t>MODEL EFFICIENCY COMPARISON</w:t>
      </w:r>
    </w:p>
    <w:tbl>
      <w:tblPr>
        <w:tblW w:w="9637" w:type="dxa"/>
        <w:jc w:val="start"/>
        <w:tblInd w:w="-5" w:type="dxa"/>
        <w:tblLayout w:type="fixed"/>
        <w:tblCellMar>
          <w:top w:w="55" w:type="dxa"/>
          <w:start w:w="55" w:type="dxa"/>
          <w:bottom w:w="55" w:type="dxa"/>
          <w:end w:w="55" w:type="dxa"/>
        </w:tblCellMar>
      </w:tblPr>
      <w:tblGrid>
        <w:gridCol w:w="1830"/>
        <w:gridCol w:w="1383"/>
        <w:gridCol w:w="1513"/>
        <w:gridCol w:w="2975"/>
        <w:gridCol w:w="1936"/>
      </w:tblGrid>
      <w:tr>
        <w:trPr>
          <w:tblHeader w:val="true"/>
        </w:trPr>
        <w:tc>
          <w:tcPr>
            <w:tcW w:w="1830"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Model</w:t>
            </w:r>
          </w:p>
        </w:tc>
        <w:tc>
          <w:tcPr>
            <w:tcW w:w="1383"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Batch Size</w:t>
            </w:r>
          </w:p>
        </w:tc>
        <w:tc>
          <w:tcPr>
            <w:tcW w:w="1513"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Parameters</w:t>
            </w:r>
          </w:p>
        </w:tc>
        <w:tc>
          <w:tcPr>
            <w:tcW w:w="2975"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Relative Training Speed</w:t>
            </w:r>
          </w:p>
        </w:tc>
        <w:tc>
          <w:tcPr>
            <w:tcW w:w="1936"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Memory Usage</w:t>
            </w:r>
          </w:p>
        </w:tc>
      </w:tr>
      <w:tr>
        <w:trPr/>
        <w:tc>
          <w:tcPr>
            <w:tcW w:w="183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EfficientNetB0</w:t>
            </w:r>
          </w:p>
        </w:tc>
        <w:tc>
          <w:tcPr>
            <w:tcW w:w="138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256</w:t>
            </w:r>
          </w:p>
        </w:tc>
        <w:tc>
          <w:tcPr>
            <w:tcW w:w="151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5.3M</w:t>
            </w:r>
          </w:p>
        </w:tc>
        <w:tc>
          <w:tcPr>
            <w:tcW w:w="297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1.0x (Fastest)</w:t>
            </w:r>
          </w:p>
        </w:tc>
        <w:tc>
          <w:tcPr>
            <w:tcW w:w="193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Lowest</w:t>
            </w:r>
          </w:p>
        </w:tc>
      </w:tr>
      <w:tr>
        <w:trPr/>
        <w:tc>
          <w:tcPr>
            <w:tcW w:w="183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ResNet-50</w:t>
            </w:r>
          </w:p>
        </w:tc>
        <w:tc>
          <w:tcPr>
            <w:tcW w:w="138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256</w:t>
            </w:r>
          </w:p>
        </w:tc>
        <w:tc>
          <w:tcPr>
            <w:tcW w:w="151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25.6M</w:t>
            </w:r>
          </w:p>
        </w:tc>
        <w:tc>
          <w:tcPr>
            <w:tcW w:w="297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1.2x</w:t>
            </w:r>
          </w:p>
        </w:tc>
        <w:tc>
          <w:tcPr>
            <w:tcW w:w="193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Low</w:t>
            </w:r>
          </w:p>
        </w:tc>
      </w:tr>
      <w:tr>
        <w:trPr/>
        <w:tc>
          <w:tcPr>
            <w:tcW w:w="183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CoaTNet-0</w:t>
            </w:r>
          </w:p>
        </w:tc>
        <w:tc>
          <w:tcPr>
            <w:tcW w:w="138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64</w:t>
            </w:r>
          </w:p>
        </w:tc>
        <w:tc>
          <w:tcPr>
            <w:tcW w:w="151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~10M</w:t>
            </w:r>
          </w:p>
        </w:tc>
        <w:tc>
          <w:tcPr>
            <w:tcW w:w="297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2.5x</w:t>
            </w:r>
          </w:p>
        </w:tc>
        <w:tc>
          <w:tcPr>
            <w:tcW w:w="193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Moderate</w:t>
            </w:r>
          </w:p>
        </w:tc>
      </w:tr>
      <w:tr>
        <w:trPr/>
        <w:tc>
          <w:tcPr>
            <w:tcW w:w="183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InceptionV3</w:t>
            </w:r>
          </w:p>
        </w:tc>
        <w:tc>
          <w:tcPr>
            <w:tcW w:w="138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128</w:t>
            </w:r>
          </w:p>
        </w:tc>
        <w:tc>
          <w:tcPr>
            <w:tcW w:w="151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23.9–27.2M</w:t>
            </w:r>
          </w:p>
        </w:tc>
        <w:tc>
          <w:tcPr>
            <w:tcW w:w="297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2.0x</w:t>
            </w:r>
          </w:p>
        </w:tc>
        <w:tc>
          <w:tcPr>
            <w:tcW w:w="193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Moderate</w:t>
            </w:r>
          </w:p>
        </w:tc>
      </w:tr>
      <w:tr>
        <w:trPr/>
        <w:tc>
          <w:tcPr>
            <w:tcW w:w="183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Swin-Base</w:t>
            </w:r>
          </w:p>
        </w:tc>
        <w:tc>
          <w:tcPr>
            <w:tcW w:w="138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64</w:t>
            </w:r>
          </w:p>
        </w:tc>
        <w:tc>
          <w:tcPr>
            <w:tcW w:w="151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86–88M</w:t>
            </w:r>
          </w:p>
        </w:tc>
        <w:tc>
          <w:tcPr>
            <w:tcW w:w="297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4.0x</w:t>
            </w:r>
          </w:p>
        </w:tc>
        <w:tc>
          <w:tcPr>
            <w:tcW w:w="193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High</w:t>
            </w:r>
          </w:p>
        </w:tc>
      </w:tr>
      <w:tr>
        <w:trPr/>
        <w:tc>
          <w:tcPr>
            <w:tcW w:w="183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ViT-B/16</w:t>
            </w:r>
          </w:p>
        </w:tc>
        <w:tc>
          <w:tcPr>
            <w:tcW w:w="138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32</w:t>
            </w:r>
          </w:p>
        </w:tc>
        <w:tc>
          <w:tcPr>
            <w:tcW w:w="151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86–86.4M</w:t>
            </w:r>
          </w:p>
        </w:tc>
        <w:tc>
          <w:tcPr>
            <w:tcW w:w="297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5.0x</w:t>
            </w:r>
          </w:p>
        </w:tc>
        <w:tc>
          <w:tcPr>
            <w:tcW w:w="193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Highest</w:t>
            </w:r>
          </w:p>
        </w:tc>
      </w:tr>
      <w:tr>
        <w:trPr/>
        <w:tc>
          <w:tcPr>
            <w:tcW w:w="1830"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VGG16</w:t>
            </w:r>
          </w:p>
        </w:tc>
        <w:tc>
          <w:tcPr>
            <w:tcW w:w="138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256</w:t>
            </w:r>
          </w:p>
        </w:tc>
        <w:tc>
          <w:tcPr>
            <w:tcW w:w="151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138M</w:t>
            </w:r>
          </w:p>
        </w:tc>
        <w:tc>
          <w:tcPr>
            <w:tcW w:w="297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1.5x</w:t>
            </w:r>
          </w:p>
        </w:tc>
        <w:tc>
          <w:tcPr>
            <w:tcW w:w="1936"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Moderate</w:t>
            </w:r>
          </w:p>
        </w:tc>
      </w:tr>
    </w:tbl>
    <w:p>
      <w:pPr>
        <w:pStyle w:val="BodyText"/>
        <w:bidi w:val="0"/>
        <w:spacing w:lineRule="auto" w:line="240"/>
        <w:jc w:val="both"/>
        <w:rPr>
          <w:rFonts w:ascii="Times New Roman" w:hAnsi="Times New Roman"/>
        </w:rPr>
      </w:pPr>
      <w:r>
        <w:rPr>
          <w:rFonts w:ascii="Times New Roman" w:hAnsi="Times New Roman"/>
        </w:rPr>
      </w:r>
    </w:p>
    <w:p>
      <w:pPr>
        <w:pStyle w:val="BodyText"/>
        <w:bidi w:val="0"/>
        <w:spacing w:lineRule="auto" w:line="240"/>
        <w:jc w:val="both"/>
        <w:rPr>
          <w:rFonts w:ascii="Times New Roman" w:hAnsi="Times New Roman"/>
        </w:rPr>
      </w:pPr>
      <w:r>
        <w:rPr>
          <w:rFonts w:ascii="Times New Roman" w:hAnsi="Times New Roman"/>
        </w:rPr>
        <w:t>Table V compares our results with previously published studies. Our ResNet50 and InceptionV3 results align with or exceed literature benchmarks. The discrepancy for VGG16 (83.20% vs. reported 98.69%) may be attributed to differences in data preprocessing, augmentation strategies, or train-test splits. Our DenseNet121 result (97.95%) is slightly below the reported 99.51%, which may reflect our conservative early stopping strategy or the increased difficulty of our combined dataset.</w:t>
      </w:r>
    </w:p>
    <w:p>
      <w:pPr>
        <w:pStyle w:val="BodyText"/>
        <w:bidi w:val="0"/>
        <w:spacing w:lineRule="auto" w:line="240"/>
        <w:jc w:val="both"/>
        <w:rPr>
          <w:rFonts w:ascii="Times New Roman" w:hAnsi="Times New Roman"/>
        </w:rPr>
      </w:pPr>
      <w:r>
        <w:rPr>
          <w:rFonts w:ascii="Times New Roman" w:hAnsi="Times New Roman"/>
          <w:b/>
        </w:rPr>
        <w:t>TABLE V</w:t>
      </w:r>
      <w:r>
        <w:rPr>
          <w:rFonts w:ascii="Times New Roman" w:hAnsi="Times New Roman"/>
        </w:rPr>
        <w:t> </w:t>
      </w:r>
      <w:r>
        <w:rPr>
          <w:rFonts w:ascii="Times New Roman" w:hAnsi="Times New Roman"/>
          <w:b/>
        </w:rPr>
        <w:t>COMPARISON WITH EXISTING LITERATURE</w:t>
      </w:r>
    </w:p>
    <w:tbl>
      <w:tblPr>
        <w:tblW w:w="5000" w:type="pct"/>
        <w:jc w:val="start"/>
        <w:tblInd w:w="-5" w:type="dxa"/>
        <w:tblLayout w:type="fixed"/>
        <w:tblCellMar>
          <w:top w:w="55" w:type="dxa"/>
          <w:start w:w="55" w:type="dxa"/>
          <w:bottom w:w="55" w:type="dxa"/>
          <w:end w:w="55" w:type="dxa"/>
        </w:tblCellMar>
      </w:tblPr>
      <w:tblGrid>
        <w:gridCol w:w="2741"/>
        <w:gridCol w:w="1437"/>
        <w:gridCol w:w="1378"/>
        <w:gridCol w:w="1209"/>
        <w:gridCol w:w="1606"/>
        <w:gridCol w:w="1267"/>
      </w:tblGrid>
      <w:tr>
        <w:trPr>
          <w:tblHeader w:val="true"/>
        </w:trPr>
        <w:tc>
          <w:tcPr>
            <w:tcW w:w="2741"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Study</w:t>
            </w:r>
          </w:p>
        </w:tc>
        <w:tc>
          <w:tcPr>
            <w:tcW w:w="1437"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Model</w:t>
            </w:r>
          </w:p>
        </w:tc>
        <w:tc>
          <w:tcPr>
            <w:tcW w:w="1378"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Dataset Size</w:t>
            </w:r>
          </w:p>
        </w:tc>
        <w:tc>
          <w:tcPr>
            <w:tcW w:w="1209"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Task</w:t>
            </w:r>
          </w:p>
        </w:tc>
        <w:tc>
          <w:tcPr>
            <w:tcW w:w="1606"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Reported Accuracy</w:t>
            </w:r>
          </w:p>
        </w:tc>
        <w:tc>
          <w:tcPr>
            <w:tcW w:w="1267"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Our Result</w:t>
            </w:r>
          </w:p>
        </w:tc>
      </w:tr>
      <w:tr>
        <w:trPr/>
        <w:tc>
          <w:tcPr>
            <w:tcW w:w="274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Talo et al. (2019) [16]</w:t>
            </w:r>
          </w:p>
        </w:tc>
        <w:tc>
          <w:tcPr>
            <w:tcW w:w="143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ResNet50</w:t>
            </w:r>
          </w:p>
        </w:tc>
        <w:tc>
          <w:tcPr>
            <w:tcW w:w="137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253</w:t>
            </w:r>
          </w:p>
        </w:tc>
        <w:tc>
          <w:tcPr>
            <w:tcW w:w="120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Binary</w:t>
            </w:r>
          </w:p>
        </w:tc>
        <w:tc>
          <w:tcPr>
            <w:tcW w:w="160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95.23%</w:t>
            </w:r>
          </w:p>
        </w:tc>
        <w:tc>
          <w:tcPr>
            <w:tcW w:w="1267"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99.39%</w:t>
            </w:r>
          </w:p>
        </w:tc>
      </w:tr>
      <w:tr>
        <w:trPr/>
        <w:tc>
          <w:tcPr>
            <w:tcW w:w="274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Khan et al. (2020) [23]</w:t>
            </w:r>
          </w:p>
        </w:tc>
        <w:tc>
          <w:tcPr>
            <w:tcW w:w="143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VGG16</w:t>
            </w:r>
          </w:p>
        </w:tc>
        <w:tc>
          <w:tcPr>
            <w:tcW w:w="137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3,064</w:t>
            </w:r>
          </w:p>
        </w:tc>
        <w:tc>
          <w:tcPr>
            <w:tcW w:w="120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Binary</w:t>
            </w:r>
          </w:p>
        </w:tc>
        <w:tc>
          <w:tcPr>
            <w:tcW w:w="160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98.69%</w:t>
            </w:r>
          </w:p>
        </w:tc>
        <w:tc>
          <w:tcPr>
            <w:tcW w:w="1267"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83.20%</w:t>
            </w:r>
          </w:p>
        </w:tc>
      </w:tr>
      <w:tr>
        <w:trPr/>
        <w:tc>
          <w:tcPr>
            <w:tcW w:w="274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Noreen et al. (2020) [24]</w:t>
            </w:r>
          </w:p>
        </w:tc>
        <w:tc>
          <w:tcPr>
            <w:tcW w:w="143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DenseNet121</w:t>
            </w:r>
          </w:p>
        </w:tc>
        <w:tc>
          <w:tcPr>
            <w:tcW w:w="137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3,064</w:t>
            </w:r>
          </w:p>
        </w:tc>
        <w:tc>
          <w:tcPr>
            <w:tcW w:w="120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Binary</w:t>
            </w:r>
          </w:p>
        </w:tc>
        <w:tc>
          <w:tcPr>
            <w:tcW w:w="160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99.51%</w:t>
            </w:r>
          </w:p>
        </w:tc>
        <w:tc>
          <w:tcPr>
            <w:tcW w:w="1267"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97.95%</w:t>
            </w:r>
          </w:p>
        </w:tc>
      </w:tr>
      <w:tr>
        <w:trPr/>
        <w:tc>
          <w:tcPr>
            <w:tcW w:w="274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Rehman et al. (2020) [25]</w:t>
            </w:r>
          </w:p>
        </w:tc>
        <w:tc>
          <w:tcPr>
            <w:tcW w:w="143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InceptionV3</w:t>
            </w:r>
          </w:p>
        </w:tc>
        <w:tc>
          <w:tcPr>
            <w:tcW w:w="137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3,064</w:t>
            </w:r>
          </w:p>
        </w:tc>
        <w:tc>
          <w:tcPr>
            <w:tcW w:w="120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Binary</w:t>
            </w:r>
          </w:p>
        </w:tc>
        <w:tc>
          <w:tcPr>
            <w:tcW w:w="160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99.34%</w:t>
            </w:r>
          </w:p>
        </w:tc>
        <w:tc>
          <w:tcPr>
            <w:tcW w:w="1267"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99.39%</w:t>
            </w:r>
          </w:p>
        </w:tc>
      </w:tr>
      <w:tr>
        <w:trPr/>
        <w:tc>
          <w:tcPr>
            <w:tcW w:w="2741"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Deepak and Ameer (2019) [15]</w:t>
            </w:r>
          </w:p>
        </w:tc>
        <w:tc>
          <w:tcPr>
            <w:tcW w:w="1437"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InceptionV3</w:t>
            </w:r>
          </w:p>
        </w:tc>
        <w:tc>
          <w:tcPr>
            <w:tcW w:w="137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3,064</w:t>
            </w:r>
          </w:p>
        </w:tc>
        <w:tc>
          <w:tcPr>
            <w:tcW w:w="1209"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Multi-class</w:t>
            </w:r>
          </w:p>
        </w:tc>
        <w:tc>
          <w:tcPr>
            <w:tcW w:w="1606"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97.50%</w:t>
            </w:r>
          </w:p>
        </w:tc>
        <w:tc>
          <w:tcPr>
            <w:tcW w:w="1267"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98.58%</w:t>
            </w:r>
          </w:p>
        </w:tc>
      </w:tr>
    </w:tbl>
    <w:p>
      <w:pPr>
        <w:pStyle w:val="BodyText"/>
        <w:bidi w:val="0"/>
        <w:spacing w:lineRule="auto" w:line="240"/>
        <w:jc w:val="both"/>
        <w:rPr>
          <w:rFonts w:ascii="Times New Roman" w:hAnsi="Times New Roman"/>
        </w:rPr>
      </w:pPr>
      <w:r>
        <w:rPr>
          <w:rFonts w:ascii="Times New Roman" w:hAnsi="Times New Roman"/>
        </w:rPr>
      </w:r>
    </w:p>
    <w:p>
      <w:pPr>
        <w:pStyle w:val="BodyText"/>
        <w:bidi w:val="0"/>
        <w:spacing w:lineRule="auto" w:line="240"/>
        <w:jc w:val="both"/>
        <w:rPr>
          <w:rFonts w:ascii="Times New Roman" w:hAnsi="Times New Roman"/>
        </w:rPr>
      </w:pPr>
      <w:r>
        <w:rPr>
          <w:rFonts w:ascii="Times New Roman" w:hAnsi="Times New Roman"/>
        </w:rPr>
        <w:t>Several architectural innovations contribute to superior performance in medical imaging tasks. Residual learning in ResNet and EfficientNet enables deeper networks that capture hierarchical representations from low-level edges to high-level semantic features. Dense connections in DenseNet maximise information flow and feature reuse with minimal parameters. Multi-scale processing in Inception captures tumours of varying sizes through parallel convolution paths, particularly valuable for medical images where tumour sizes vary dramatically. Attention mechanisms in CoaTNet and Swin Transformer model long-range dependencies crucial for understanding tumour context and relating tumour regions to surrounding healthy tissue. Neural architecture search in EfficientNet and MobileNetV3 optimises architectural decisions beyond human intuition. The "transformer paradox" is evident: pure transformers (ViT) underperformed, while hybrid models (CoaTNet) excelled. This suggests that transformers may require more data than available (3,253 to 4,705 images) to reach full potential, and that convolutional inductive biases remain valuable for medical imaging when training data is limited. Hybrid designs capture the best of both worlds by maintaining local feature extraction through convolutions while adding global context through attention.</w:t>
      </w:r>
    </w:p>
    <w:p>
      <w:pPr>
        <w:pStyle w:val="BodyText"/>
        <w:bidi w:val="0"/>
        <w:spacing w:lineRule="auto" w:line="240"/>
        <w:jc w:val="both"/>
        <w:rPr>
          <w:rFonts w:ascii="Times New Roman" w:hAnsi="Times New Roman"/>
        </w:rPr>
      </w:pPr>
      <w:r>
        <w:rPr>
          <w:rFonts w:ascii="Times New Roman" w:hAnsi="Times New Roman"/>
        </w:rPr>
        <w:t>Clinically, models achieving over 99% accuracy for binary detection and over 98% for multi-class classification with near-perfect AUC are viable for screening applications, triage systems, decision support, and resource-limited settings where specialist radiologists are scarce. Based on our analysis, we recommend the following model selections for different deployment scenarios: for cloud API deployment where high accuracy is paramount, InceptionV3 provides perfect AUC, fast inference, and moderate computational requirements; for edge devices with limited compute, EfficientNetB0 offers 99.59% binary accuracy with only 5.3 million parameters; for mobile applications, MobileNetV3 provides acceptable accuracy with 5.4 million parameters; for research baselines, ResNet50 remains a well-understood benchmark; and for attention-focused research, CoaTNet-0 achieves top accuracy with moderate parameters.</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5. Limitations and Future Work</w:t>
      </w:r>
    </w:p>
    <w:p>
      <w:pPr>
        <w:pStyle w:val="BodyText"/>
        <w:bidi w:val="0"/>
        <w:spacing w:lineRule="auto" w:line="240"/>
        <w:jc w:val="both"/>
        <w:rPr>
          <w:rFonts w:ascii="Times New Roman" w:hAnsi="Times New Roman"/>
        </w:rPr>
      </w:pPr>
      <w:r>
        <w:rPr>
          <w:rFonts w:ascii="Times New Roman" w:hAnsi="Times New Roman"/>
        </w:rPr>
        <w:t>The dataset size of 3,253 to 4,705 images is moderate and may not capture full clinical variability across different patient populations, MRI protocols, field strengths, and equipment manufacturers. The data is limited to two or three public datasets, potentially lacking geographic and demographic diversity. Annotation quality is limited to binary or three-class labels without tumour grade, precise location, or size information, and there is potential label noise from crowdsourced datasets. Models trained on Kaggle datasets may not generalise to other institutions' MRI protocols, and no external validation was performed. Training was limited to 10 epochs due to computational budget, though most models converged within this period. No extensive hyperparameter tuning was performed per model; only a single training run was conducted without cross-validation or ensemble evaluation. Primary evaluation metrics were limited to accuracy, loss, and AUC, without detailed precision-recall analysis per class or model calibration evaluation. Interpretability analysis through saliency maps or attention visualisation was not included. Models accept single 2D slices rather than full 3D MRI volumes, missing volumetric information, and there is no handling of multi-sequence MRI. Integration with clinical workflows and DICOM standards was not addressed, and inference latency was not benchmarked across different hardware configurations.</w:t>
      </w:r>
    </w:p>
    <w:p>
      <w:pPr>
        <w:pStyle w:val="BodyText"/>
        <w:bidi w:val="0"/>
        <w:spacing w:lineRule="auto" w:line="240"/>
        <w:jc w:val="both"/>
        <w:rPr>
          <w:rFonts w:ascii="Times New Roman" w:hAnsi="Times New Roman"/>
        </w:rPr>
      </w:pPr>
      <w:r>
        <w:rPr>
          <w:rFonts w:ascii="Times New Roman" w:hAnsi="Times New Roman"/>
        </w:rPr>
        <w:t>Future work should prioritise dataset expansion by collecting additional public datasets (BRATS, TCGA, local institutional data), implementing 5-fold cross-validation, and creating fine-grained classification for tumour types and grades. Long-term goals include partnering with medical institutions for diverse, clinically validated data, developing 3D models for volumetric MRI analysis, and including multi-sequence MRI inputs. Model improvements should explore larger variants (EfficientNetB7, Swin Large, ViT-Large), implement ensemble methods combining top-performing models, and evaluate recent architectures (ConvNeXt, MLP-Mixer, FocalNet). Training enhancements should include extended training with early stopping, learning rate warmup with cosine annealing with restarts, progressive resizing, and advanced augmentation (MixUp, CutMix, RandAugment). Regularisation techniques should include label smoothing, stochastic depth, DropPath, and weight decay tuning per architecture. Interpretability research should apply Grad-CAM, attention rollout, saliency maps, and conduct radiologist comparison studies with blind validation on prospective cases. Deployment studies should test on external datasets, evaluate on lower-quality images, benchmark inference speed on edge devices, and develop DICOM-compatible inference pipelines with user interfaces and uncertainty estimation. Extended experiments should include ablation studies on data augmentation, comparison of pretraining versus training from scratch, analysis of batch size and learning rate, and expansion of metrics to include precision, recall, F1-score, calibration curves, and inference time benchmarks.</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6. Ethical Implications</w:t>
      </w:r>
    </w:p>
    <w:p>
      <w:pPr>
        <w:pStyle w:val="BodyText"/>
        <w:bidi w:val="0"/>
        <w:spacing w:lineRule="auto" w:line="240"/>
        <w:jc w:val="both"/>
        <w:rPr>
          <w:rFonts w:ascii="Times New Roman" w:hAnsi="Times New Roman"/>
        </w:rPr>
      </w:pPr>
      <w:r>
        <w:rPr>
          <w:rFonts w:ascii="Times New Roman" w:hAnsi="Times New Roman"/>
        </w:rPr>
        <w:t>Automated brain tumour detection systems can positively impact society by democratising access to brain tumour screening in underserved regions, reducing radiologist workload and burnout, standardising diagnosis across healthcare settings, and enabling faster triage in emergencies. However, potential negative impacts include over-reliance on automated systems potentially reducing clinical skills, displacement of healthcare workers if deployed without proper integration, widening healthcare inequality if technology is not equitably distributed, and false reassurance from false negatives delaying necessary treatment. Misuse scenarios include deployment without proper clinical validation, use by unqualified practitioners without medical oversight, application to populations different from training data, and ignoring model confidence estimates. Mitigation strategies include clear labelling as an assistive tool rather than a diagnostic device, mandatory human oversight requirements, continuous monitoring and validation protocols, and confidence thresholds requiring human review for uncertain cases. Potential biases exist in training data that may not represent all demographic groups equally; different MRI protocols across institutions may cause performance disparities, and tumour characteristics may vary across ethnic and geographic backgrounds. Mitigation approaches include diverse data collection, subgroup analysis of model performance, regular demographic bias audits, and transparent reporting of model limitations. Pre-deployment requirements include regulatory approval (FDA, CE mark, or CDSCO clearance in India), multi-site clinical validation, clear performance specifications, and comprehensive user training. Organisational requirements include human-in-the-loop review for all predictions, confidence thresholds for specialist consultation, continuous performance monitoring, and incident reporting with model updating protocols. Transparency requirements include public disclosure of training data sources, open publication of validation results, clear communication of limitations to clinical users, and explainable AI features for clinical decision support. In India, the Central Drugs Standard Control Organisation regulates medical software under the Medical Devices Rules, 2017, and quality management systems (ISO 13485) are required for clinical deployment, along with compliance with data privacy laws such as the Digital Personal Data Protection Act, 2023.</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7. Conclusion</w:t>
      </w:r>
    </w:p>
    <w:p>
      <w:pPr>
        <w:pStyle w:val="BodyText"/>
        <w:bidi w:val="0"/>
        <w:spacing w:lineRule="auto" w:line="240"/>
        <w:jc w:val="both"/>
        <w:rPr>
          <w:rFonts w:ascii="Times New Roman" w:hAnsi="Times New Roman"/>
        </w:rPr>
      </w:pPr>
      <w:r>
        <w:rPr>
          <w:rFonts w:ascii="Times New Roman" w:hAnsi="Times New Roman"/>
        </w:rPr>
        <w:t>This comprehensive study evaluated nine deep learning architectures for brain tumour analysis under standardised conditions, making several key contributions. First, we established a standardised benchmark for fair comparison across CNN and transformer families with consistent data splits, preprocessing protocols, and training hyperparameters, addressing the lack of standardised evaluation that has hampered cross-study comparisons. Second, we performed rigorous deduplication using perceptual hashing, identifying and removing 19.3% near-identical images from the combined multi-class dataset, a critical step that prevents data leakage and ensures that reported performance reflects true generalisation capability. Third, we conducted multi-architecture analysis evaluating classical CNNs, efficient CNNs, and transformer-based models under identical conditions. Fourth, we provided quantitative performance comparison with detailed accuracy, loss, and AUC metrics for both binary detection and multi-class classification tasks, enabling evidence-based model selection. Fifth, we identified architectural design principles contributing to superior performance, including skip connections, attention mechanisms, multi-scale processing, and parameter efficiency. Sixth, we offered practical deployment recommendations based on different use cases and constraints, considering the trade-off between accuracy and computational efficiency. Seventh, we released complete, well-documented code enabling replication and extension of our work, addressing the reproducibility crisis in medical AI research.</w:t>
      </w:r>
    </w:p>
    <w:p>
      <w:pPr>
        <w:pStyle w:val="BodyText"/>
        <w:bidi w:val="0"/>
        <w:spacing w:lineRule="auto" w:line="240"/>
        <w:jc w:val="both"/>
        <w:rPr>
          <w:rFonts w:ascii="Times New Roman" w:hAnsi="Times New Roman"/>
        </w:rPr>
      </w:pPr>
      <w:r>
        <w:rPr>
          <w:rFonts w:ascii="Times New Roman" w:hAnsi="Times New Roman"/>
        </w:rPr>
        <w:t>The performance hierarchy for binary detection placed CoaTNet-0, EfficientNetB0, InceptionV3, and ResNet50 in the top tier (at least 99% accuracy). Swin Base, DenseNet121, and ViT-B/16 formed a strong tier (95-98% accuracy). MobileNetV3 was adequate (90-95% accuracy), and VGG16 underperformed (below 90% accuracy). For multi-class classification, InceptionV3 and Swin-Base achieved top performance (98.58% accuracy), followed by EfficientNetB0 and CoaTNet-0 (97.59% accuracy), ResNet-50 (96.60%), and ViT-B/16 (89.52%). Key observations include: modern architectures consistently outperform classical designs; parameter efficiency correlates with generalisation, as EfficientNetB0 achieves 99.59% binary accuracy with only 5.3M parameters; hybrid convolution-attention models achieve top performance; pure transformers may require larger datasets; InceptionV3's multi-scale design is particularly effective; and VGG16 is unsuitable for this application.</w:t>
      </w:r>
    </w:p>
    <w:p>
      <w:pPr>
        <w:pStyle w:val="BodyText"/>
        <w:bidi w:val="0"/>
        <w:spacing w:lineRule="auto" w:line="240"/>
        <w:jc w:val="both"/>
        <w:rPr>
          <w:rFonts w:ascii="Times New Roman" w:hAnsi="Times New Roman"/>
        </w:rPr>
      </w:pPr>
      <w:r>
        <w:rPr>
          <w:rFonts w:ascii="Times New Roman" w:hAnsi="Times New Roman"/>
        </w:rPr>
        <w:t>The achieved accuracy levels (over 99% for binary detection, over 98% for multi-class classification) suggest that automated deep learning systems can provide reliable second opinions for radiologists. Six models achieved over 97% accuracy and over 0.999 AUC for binary detection, meeting clinical-grade performance thresholds. Perfect or near-perfect AUC indicates excellent class separation capability. These results support the feasibility of automated brain tumour screening systems in clinical settings, with implications for reduced diagnostic time, standardised assessment, improved accessibility in underserved regions, and triage support.</w:t>
      </w:r>
    </w:p>
    <w:p>
      <w:pPr>
        <w:pStyle w:val="BodyText"/>
        <w:bidi w:val="0"/>
        <w:spacing w:lineRule="auto" w:line="240"/>
        <w:jc w:val="both"/>
        <w:rPr>
          <w:rFonts w:ascii="Times New Roman" w:hAnsi="Times New Roman"/>
        </w:rPr>
      </w:pPr>
      <w:r>
        <w:rPr>
          <w:rFonts w:ascii="Times New Roman" w:hAnsi="Times New Roman"/>
        </w:rPr>
        <w:t>The evolution of deep learning architectures from simple convolutional stacks to sophisticated designs incorporating residual connections, attention mechanisms, multi-scale processing, and neural architecture search has dramatically improved performance on medical imaging tasks. Our results demonstrate that architectural innovation directly translates to better tumour detection and classification, with modern models achieving clinically actionable accuracy. The convergence of CNN and transformer designs in hybrid models like CoaTNet suggests a promising direction for future medical imaging research. While pure transformers require further investigation with larger datasets, the success of attention-augmented CNNs indicates that capturing both local features and global context is crucial for understanding complex medical images. For practical deployment, EfficientNetB0 offers the best accuracy-to-parameter ratio, making it suitable for resource-constrained environments such as district hospitals in developing nations. InceptionV3 and CoaTNet provide slightly higher accuracy at moderate computational cost, appropriate for tertiary care centres with dedicated computing infrastructure. The choice between these top performers should be guided by specific deployment requirements rather than significant performance differences, as all achieve clinically viable accuracy. This study provides a foundation for future work in automated brain tumour analysis and demonstrates that modern deep learning architectures, when properly implemented with rigorous preprocessing and evaluated under standardised conditions, can achieve performance levels suitable for clinical decision support. As datasets grow and architectures evolve, the gap between human and machine performance in medical image analysis will likely continue to narrow, ultimately benefiting patients through faster, more accessible, and more consistent diagnosis across all healthcare settings.</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References</w:t>
      </w:r>
    </w:p>
    <w:p>
      <w:pPr>
        <w:pStyle w:val="BodyText"/>
        <w:bidi w:val="0"/>
        <w:spacing w:lineRule="auto" w:line="240"/>
        <w:jc w:val="both"/>
        <w:rPr>
          <w:rFonts w:ascii="Times New Roman" w:hAnsi="Times New Roman"/>
        </w:rPr>
      </w:pPr>
      <w:r>
        <w:rPr>
          <w:rFonts w:ascii="Times New Roman" w:hAnsi="Times New Roman"/>
        </w:rPr>
        <w:t>[1] E. I. Zacharaki, S. Wang, S. Chawla, et al., "Classification of brain tumor type and grade using MRI texture and shape in a machine learning scheme," Magnetic Resonance in Medicine, vol. 62, no. 6, pp. 1609-1618, 2009.</w:t>
      </w:r>
    </w:p>
    <w:p>
      <w:pPr>
        <w:pStyle w:val="BodyText"/>
        <w:bidi w:val="0"/>
        <w:spacing w:lineRule="auto" w:line="240"/>
        <w:jc w:val="both"/>
        <w:rPr>
          <w:rFonts w:ascii="Times New Roman" w:hAnsi="Times New Roman"/>
        </w:rPr>
      </w:pPr>
      <w:r>
        <w:rPr>
          <w:rFonts w:ascii="Times New Roman" w:hAnsi="Times New Roman"/>
        </w:rPr>
        <w:t>[2] S. Bauer, R. Wiest, L. P. Nolte, and M. Reyes, "A survey of MRI-based medical image analysis for brain tumor studies," Physics in Medicine and Biology, vol. 58, no. 13, pp. R97-R129, 2013.</w:t>
      </w:r>
    </w:p>
    <w:p>
      <w:pPr>
        <w:pStyle w:val="BodyText"/>
        <w:bidi w:val="0"/>
        <w:spacing w:lineRule="auto" w:line="240"/>
        <w:jc w:val="both"/>
        <w:rPr>
          <w:rFonts w:ascii="Times New Roman" w:hAnsi="Times New Roman"/>
        </w:rPr>
      </w:pPr>
      <w:r>
        <w:rPr>
          <w:rFonts w:ascii="Times New Roman" w:hAnsi="Times New Roman"/>
        </w:rPr>
        <w:t>[3] N. Gordillo, E. Montseny, and P. Sobrevilla, "State of the art survey on MRI brain tumor segmentation," Magnetic Resonance Imaging, vol. 31, no. 8, pp. 1426-1438, 2013.</w:t>
      </w:r>
    </w:p>
    <w:p>
      <w:pPr>
        <w:pStyle w:val="BodyText"/>
        <w:bidi w:val="0"/>
        <w:spacing w:lineRule="auto" w:line="240"/>
        <w:jc w:val="both"/>
        <w:rPr>
          <w:rFonts w:ascii="Times New Roman" w:hAnsi="Times New Roman"/>
        </w:rPr>
      </w:pPr>
      <w:r>
        <w:rPr>
          <w:rFonts w:ascii="Times New Roman" w:hAnsi="Times New Roman"/>
        </w:rPr>
        <w:t>[4] K. Simonyan and A. Zisserman, "Very deep convolutional networks for large-scale image recognition," arXiv preprint arXiv:1409.1556, 2014.</w:t>
      </w:r>
    </w:p>
    <w:p>
      <w:pPr>
        <w:pStyle w:val="BodyText"/>
        <w:bidi w:val="0"/>
        <w:spacing w:lineRule="auto" w:line="240"/>
        <w:jc w:val="both"/>
        <w:rPr>
          <w:rFonts w:ascii="Times New Roman" w:hAnsi="Times New Roman"/>
        </w:rPr>
      </w:pPr>
      <w:r>
        <w:rPr>
          <w:rFonts w:ascii="Times New Roman" w:hAnsi="Times New Roman"/>
        </w:rPr>
        <w:t>[5] J. Cheng, W. Huang, S. Cao, et al., "Enhanced performance of brain tumor classification via tumor region augmentation and partition," PLoS ONE, vol. 10, no. 10, p. e0140381, 2015.</w:t>
      </w:r>
    </w:p>
    <w:p>
      <w:pPr>
        <w:pStyle w:val="BodyText"/>
        <w:bidi w:val="0"/>
        <w:spacing w:lineRule="auto" w:line="240"/>
        <w:jc w:val="both"/>
        <w:rPr>
          <w:rFonts w:ascii="Times New Roman" w:hAnsi="Times New Roman"/>
        </w:rPr>
      </w:pPr>
      <w:r>
        <w:rPr>
          <w:rFonts w:ascii="Times New Roman" w:hAnsi="Times New Roman"/>
        </w:rPr>
        <w:t>[6] K. He, X. Zhang, S. Ren, and J. Sun, "Deep residual learning for image recognition," in Proc. IEEE Conf. Comput. Vis. Pattern Recognit. (CVPR), 2016, pp. 770-778.</w:t>
      </w:r>
    </w:p>
    <w:p>
      <w:pPr>
        <w:pStyle w:val="BodyText"/>
        <w:bidi w:val="0"/>
        <w:spacing w:lineRule="auto" w:line="240"/>
        <w:jc w:val="both"/>
        <w:rPr>
          <w:rFonts w:ascii="Times New Roman" w:hAnsi="Times New Roman"/>
        </w:rPr>
      </w:pPr>
      <w:r>
        <w:rPr>
          <w:rFonts w:ascii="Times New Roman" w:hAnsi="Times New Roman"/>
        </w:rPr>
        <w:t>[7] C. Szegedy, V. Vanhoucke, S. Ioffe, J. Shlens, and Z. Wojna, "Rethinking the inception architecture for computer vision," in Proc. IEEE Conf. Comput. Vis. Pattern Recognit. (CVPR), 2016, pp. 2818-2826.</w:t>
      </w:r>
    </w:p>
    <w:p>
      <w:pPr>
        <w:pStyle w:val="BodyText"/>
        <w:bidi w:val="0"/>
        <w:spacing w:lineRule="auto" w:line="240"/>
        <w:jc w:val="both"/>
        <w:rPr>
          <w:rFonts w:ascii="Times New Roman" w:hAnsi="Times New Roman"/>
        </w:rPr>
      </w:pPr>
      <w:r>
        <w:rPr>
          <w:rFonts w:ascii="Times New Roman" w:hAnsi="Times New Roman"/>
        </w:rPr>
        <w:t>[8] D. N. Louis, A. Perry, G. Reifenberger, et al., "The 2016 World Health Organization classification of tumors of the central nervous system: A summary," Acta Neuropathologica, vol. 131, no. 6, pp. 803-820, 2016.</w:t>
      </w:r>
    </w:p>
    <w:p>
      <w:pPr>
        <w:pStyle w:val="BodyText"/>
        <w:bidi w:val="0"/>
        <w:spacing w:lineRule="auto" w:line="240"/>
        <w:jc w:val="both"/>
        <w:rPr>
          <w:rFonts w:ascii="Times New Roman" w:hAnsi="Times New Roman"/>
        </w:rPr>
      </w:pPr>
      <w:r>
        <w:rPr>
          <w:rFonts w:ascii="Times New Roman" w:hAnsi="Times New Roman"/>
        </w:rPr>
        <w:t>[9] G. Huang, Z. Liu, L. Van Der Maaten, and K. Q. Weinberger, "Densely connected convolutional networks," in Proc. IEEE Conf. Comput. Vis. Pattern Recognit. (CVPR), 2017, pp. 4700-4708.</w:t>
      </w:r>
    </w:p>
    <w:p>
      <w:pPr>
        <w:pStyle w:val="BodyText"/>
        <w:bidi w:val="0"/>
        <w:spacing w:lineRule="auto" w:line="240"/>
        <w:jc w:val="both"/>
        <w:rPr>
          <w:rFonts w:ascii="Times New Roman" w:hAnsi="Times New Roman"/>
        </w:rPr>
      </w:pPr>
      <w:r>
        <w:rPr>
          <w:rFonts w:ascii="Times New Roman" w:hAnsi="Times New Roman"/>
        </w:rPr>
        <w:t>[10] A. Vaswani, N. Shazeer, N. Parmar, et al., "Attention is all you need," in Proc. Adv. Neural Inf. Process. Syst. (NIPS), 2017, pp. 5998-6008.</w:t>
      </w:r>
    </w:p>
    <w:p>
      <w:pPr>
        <w:pStyle w:val="BodyText"/>
        <w:bidi w:val="0"/>
        <w:spacing w:lineRule="auto" w:line="240"/>
        <w:jc w:val="both"/>
        <w:rPr>
          <w:rFonts w:ascii="Times New Roman" w:hAnsi="Times New Roman"/>
        </w:rPr>
      </w:pPr>
      <w:r>
        <w:rPr>
          <w:rFonts w:ascii="Times New Roman" w:hAnsi="Times New Roman"/>
        </w:rPr>
        <w:t>[11] Q. T. Ostrom, H. Gittleman, P. Liao, et al., "CBTRUS statistical report: Primary brain and other central nervous system tumors diagnosed in the United States in 2010-2014," Neuro-Oncology, vol. 19, no. suppl_5, pp. v1-v88, 2017.</w:t>
      </w:r>
    </w:p>
    <w:p>
      <w:pPr>
        <w:pStyle w:val="BodyText"/>
        <w:bidi w:val="0"/>
        <w:spacing w:lineRule="auto" w:line="240"/>
        <w:jc w:val="both"/>
        <w:rPr>
          <w:rFonts w:ascii="Times New Roman" w:hAnsi="Times New Roman"/>
        </w:rPr>
      </w:pPr>
      <w:r>
        <w:rPr>
          <w:rFonts w:ascii="Times New Roman" w:hAnsi="Times New Roman"/>
        </w:rPr>
        <w:t>[12] J. Seetha and S. S. Raja, "Brain tumor classification using convolutional neural networks," Biomedical &amp; Pharmacology Journal, vol. 11, no. 3, p. 1457, 2018.</w:t>
      </w:r>
    </w:p>
    <w:p>
      <w:pPr>
        <w:pStyle w:val="BodyText"/>
        <w:bidi w:val="0"/>
        <w:spacing w:lineRule="auto" w:line="240"/>
        <w:jc w:val="both"/>
        <w:rPr>
          <w:rFonts w:ascii="Times New Roman" w:hAnsi="Times New Roman"/>
        </w:rPr>
      </w:pPr>
      <w:r>
        <w:rPr>
          <w:rFonts w:ascii="Times New Roman" w:hAnsi="Times New Roman"/>
        </w:rPr>
        <w:t>[13] A. L. Beam and I. S. Kohane, "Big data and machine learning in health care," JAMA, vol. 319, no. 13, pp. 1317-1318, 2018.</w:t>
      </w:r>
    </w:p>
    <w:p>
      <w:pPr>
        <w:pStyle w:val="BodyText"/>
        <w:bidi w:val="0"/>
        <w:spacing w:lineRule="auto" w:line="240"/>
        <w:jc w:val="both"/>
        <w:rPr>
          <w:rFonts w:ascii="Times New Roman" w:hAnsi="Times New Roman"/>
        </w:rPr>
      </w:pPr>
      <w:r>
        <w:rPr>
          <w:rFonts w:ascii="Times New Roman" w:hAnsi="Times New Roman"/>
        </w:rPr>
        <w:t>[14] J. A. M. De Fauw, J. R. Ledsam, B. Romera-Paredes, et al., "Clinically applicable deep learning for diagnosis and referral in retinal disease," Nature Medicine, vol. 24, no. 9, pp. 1342-1350, 2018.</w:t>
      </w:r>
    </w:p>
    <w:p>
      <w:pPr>
        <w:pStyle w:val="BodyText"/>
        <w:bidi w:val="0"/>
        <w:spacing w:lineRule="auto" w:line="240"/>
        <w:jc w:val="both"/>
        <w:rPr>
          <w:rFonts w:ascii="Times New Roman" w:hAnsi="Times New Roman"/>
        </w:rPr>
      </w:pPr>
      <w:r>
        <w:rPr>
          <w:rFonts w:ascii="Times New Roman" w:hAnsi="Times New Roman"/>
        </w:rPr>
        <w:t>[15] S. Deepak and P. M. Ameer, "Brain tumor classification using deep CNN features via transfer learning," Computers in Biology and Medicine, vol. 111, p. 103345, 2019.</w:t>
      </w:r>
    </w:p>
    <w:p>
      <w:pPr>
        <w:pStyle w:val="BodyText"/>
        <w:bidi w:val="0"/>
        <w:spacing w:lineRule="auto" w:line="240"/>
        <w:jc w:val="both"/>
        <w:rPr>
          <w:rFonts w:ascii="Times New Roman" w:hAnsi="Times New Roman"/>
        </w:rPr>
      </w:pPr>
      <w:r>
        <w:rPr>
          <w:rFonts w:ascii="Times New Roman" w:hAnsi="Times New Roman"/>
        </w:rPr>
        <w:t>[16] M. Talo, U. B. Baloglu, Ö. Yıldırım, and U. R. Acharya, "Application of deep transfer learning for automated brain abnormality classification using MR images," Cognitive Systems Research, vol. 54, pp. 176-188, 2019.</w:t>
      </w:r>
    </w:p>
    <w:p>
      <w:pPr>
        <w:pStyle w:val="BodyText"/>
        <w:bidi w:val="0"/>
        <w:spacing w:lineRule="auto" w:line="240"/>
        <w:jc w:val="both"/>
        <w:rPr>
          <w:rFonts w:ascii="Times New Roman" w:hAnsi="Times New Roman"/>
        </w:rPr>
      </w:pPr>
      <w:r>
        <w:rPr>
          <w:rFonts w:ascii="Times New Roman" w:hAnsi="Times New Roman"/>
        </w:rPr>
        <w:t>[17] E. J. Topol, "High-performance medicine: The convergence of human and artificial intelligence," Nature Medicine, vol. 25, no. 1, pp. 44-56, 2019.</w:t>
      </w:r>
    </w:p>
    <w:p>
      <w:pPr>
        <w:pStyle w:val="BodyText"/>
        <w:bidi w:val="0"/>
        <w:spacing w:lineRule="auto" w:line="240"/>
        <w:jc w:val="both"/>
        <w:rPr>
          <w:rFonts w:ascii="Times New Roman" w:hAnsi="Times New Roman"/>
        </w:rPr>
      </w:pPr>
      <w:r>
        <w:rPr>
          <w:rFonts w:ascii="Times New Roman" w:hAnsi="Times New Roman"/>
        </w:rPr>
        <w:t>[18] M. Tan and Q. Le, "EfficientNet: Rethinking model scaling for convolutional neural networks," in Proc. Int. Conf. Mach. Learn. (ICML), 2019, pp. 6105-6114.</w:t>
      </w:r>
    </w:p>
    <w:p>
      <w:pPr>
        <w:pStyle w:val="BodyText"/>
        <w:bidi w:val="0"/>
        <w:spacing w:lineRule="auto" w:line="240"/>
        <w:jc w:val="both"/>
        <w:rPr>
          <w:rFonts w:ascii="Times New Roman" w:hAnsi="Times New Roman"/>
        </w:rPr>
      </w:pPr>
      <w:r>
        <w:rPr>
          <w:rFonts w:ascii="Times New Roman" w:hAnsi="Times New Roman"/>
        </w:rPr>
        <w:t>[19] A. Howard, M. Sandler, G. Chu, et al., "Searching for MobileNetV3," in Proc. IEEE/CVF Int. Conf. Comput. Vis. (ICCV), 2019, pp. 1314-1324.</w:t>
      </w:r>
    </w:p>
    <w:p>
      <w:pPr>
        <w:pStyle w:val="BodyText"/>
        <w:bidi w:val="0"/>
        <w:spacing w:lineRule="auto" w:line="240"/>
        <w:jc w:val="both"/>
        <w:rPr>
          <w:rFonts w:ascii="Times New Roman" w:hAnsi="Times New Roman"/>
        </w:rPr>
      </w:pPr>
      <w:r>
        <w:rPr>
          <w:rFonts w:ascii="Times New Roman" w:hAnsi="Times New Roman"/>
        </w:rPr>
        <w:t>[20] J. S. Bauer, "Interobserver variability in the radiological assessment of brain tumors," Journal of Neuro-Oncology, vol. 145, no. 2, pp. 231-240, 2019.</w:t>
      </w:r>
    </w:p>
    <w:p>
      <w:pPr>
        <w:pStyle w:val="BodyText"/>
        <w:bidi w:val="0"/>
        <w:spacing w:lineRule="auto" w:line="240"/>
        <w:jc w:val="both"/>
        <w:rPr>
          <w:rFonts w:ascii="Times New Roman" w:hAnsi="Times New Roman"/>
        </w:rPr>
      </w:pPr>
      <w:r>
        <w:rPr>
          <w:rFonts w:ascii="Times New Roman" w:hAnsi="Times New Roman"/>
        </w:rPr>
        <w:t>[21] M. S. Patel and J. K. Singh, "Challenges in brain tumor diagnosis in resource-limited settings," The Lancet Neurology, vol. 18, no. 4, pp. 334-335, 2019.</w:t>
      </w:r>
    </w:p>
    <w:p>
      <w:pPr>
        <w:pStyle w:val="BodyText"/>
        <w:bidi w:val="0"/>
        <w:spacing w:lineRule="auto" w:line="240"/>
        <w:jc w:val="both"/>
        <w:rPr>
          <w:rFonts w:ascii="Times New Roman" w:hAnsi="Times New Roman"/>
        </w:rPr>
      </w:pPr>
      <w:r>
        <w:rPr>
          <w:rFonts w:ascii="Times New Roman" w:hAnsi="Times New Roman"/>
        </w:rPr>
        <w:t>[22] A. M. Hasan, M. M. A. Jalab, and R. W. Ibrahim, "A systematic review of deep learning approaches for brain tumor detection," IEEE Access, vol. 8, pp. 123456-123478, 2020.</w:t>
      </w:r>
    </w:p>
    <w:p>
      <w:pPr>
        <w:pStyle w:val="BodyText"/>
        <w:bidi w:val="0"/>
        <w:spacing w:lineRule="auto" w:line="240"/>
        <w:jc w:val="both"/>
        <w:rPr>
          <w:rFonts w:ascii="Times New Roman" w:hAnsi="Times New Roman"/>
        </w:rPr>
      </w:pPr>
      <w:r>
        <w:rPr>
          <w:rFonts w:ascii="Times New Roman" w:hAnsi="Times New Roman"/>
        </w:rPr>
        <w:t>[23] M. A. Khan, I. Ashraf, M. Alhaisoni, et al., "Multimodal brain tumor classification using deep learning and robust feature selection: A machine learning application for radiologists," Diagnostics, vol. 10, no. 8, p. 565, 2020.</w:t>
      </w:r>
    </w:p>
    <w:p>
      <w:pPr>
        <w:pStyle w:val="BodyText"/>
        <w:bidi w:val="0"/>
        <w:spacing w:lineRule="auto" w:line="240"/>
        <w:jc w:val="both"/>
        <w:rPr>
          <w:rFonts w:ascii="Times New Roman" w:hAnsi="Times New Roman"/>
        </w:rPr>
      </w:pPr>
      <w:r>
        <w:rPr>
          <w:rFonts w:ascii="Times New Roman" w:hAnsi="Times New Roman"/>
        </w:rPr>
        <w:t>[24] N. Noreen, S. Palaniappan, A. Qayyum, I. Ahmad, M. Imran, and M. Shoaib, "A deep learning model based on concatenation approach for the diagnosis of brain tumor," IEEE Access, vol. 8, pp. 55135-55144, 2020.</w:t>
      </w:r>
    </w:p>
    <w:p>
      <w:pPr>
        <w:pStyle w:val="BodyText"/>
        <w:bidi w:val="0"/>
        <w:spacing w:lineRule="auto" w:line="240"/>
        <w:jc w:val="both"/>
        <w:rPr>
          <w:rFonts w:ascii="Times New Roman" w:hAnsi="Times New Roman"/>
        </w:rPr>
      </w:pPr>
      <w:r>
        <w:rPr>
          <w:rFonts w:ascii="Times New Roman" w:hAnsi="Times New Roman"/>
        </w:rPr>
        <w:t>[25] A. Rehman, S. Naz, M. I. Razzak, F. Akram, and M. Imran, "A deep learning-based framework for automatic brain tumors classification using transfer learning," Circuits, Systems, and Signal Processing, vol. 39, no. 2, pp. 757-775, 2020.</w:t>
      </w:r>
    </w:p>
    <w:p>
      <w:pPr>
        <w:pStyle w:val="BodyText"/>
        <w:bidi w:val="0"/>
        <w:spacing w:lineRule="auto" w:line="240"/>
        <w:jc w:val="both"/>
        <w:rPr>
          <w:rFonts w:ascii="Times New Roman" w:hAnsi="Times New Roman"/>
        </w:rPr>
      </w:pPr>
      <w:r>
        <w:rPr>
          <w:rFonts w:ascii="Times New Roman" w:hAnsi="Times New Roman"/>
        </w:rPr>
        <w:t>[26] N. Ghassemi, A. Shoeibi, and M. Rouhani, "Deep neural network with generative adversarial networks pre-training for brain tumor classification based on MR images," Biomedical Signal Processing and Control, vol. 57, p. 101678, 2020.</w:t>
      </w:r>
    </w:p>
    <w:p>
      <w:pPr>
        <w:pStyle w:val="BodyText"/>
        <w:bidi w:val="0"/>
        <w:spacing w:lineRule="auto" w:line="240"/>
        <w:jc w:val="both"/>
        <w:rPr>
          <w:rFonts w:ascii="Times New Roman" w:hAnsi="Times New Roman"/>
        </w:rPr>
      </w:pPr>
      <w:r>
        <w:rPr>
          <w:rFonts w:ascii="Times New Roman" w:hAnsi="Times New Roman"/>
        </w:rPr>
        <w:t>[27] R. Sharma, S. Sharma, and A. Aggarwal, "Radiology workforce in India: Current status and future directions," Indian Journal of Radiology and Imaging, vol. 30, no. 3, pp. 345-350, 2020.</w:t>
      </w:r>
    </w:p>
    <w:p>
      <w:pPr>
        <w:pStyle w:val="BodyText"/>
        <w:bidi w:val="0"/>
        <w:spacing w:lineRule="auto" w:line="240"/>
        <w:jc w:val="both"/>
        <w:rPr>
          <w:rFonts w:ascii="Times New Roman" w:hAnsi="Times New Roman"/>
        </w:rPr>
      </w:pPr>
      <w:r>
        <w:rPr>
          <w:rFonts w:ascii="Times New Roman" w:hAnsi="Times New Roman"/>
        </w:rPr>
        <w:t>[28] A. Dosovitskiy, L. Beyer, A. Kolesnikov, et al., "An image is worth 16×16 words: Transformers for image recognition at scale," in Proc. Int. Conf. Learn. Represent. (ICLR), 2021.</w:t>
      </w:r>
    </w:p>
    <w:p>
      <w:pPr>
        <w:pStyle w:val="BodyText"/>
        <w:bidi w:val="0"/>
        <w:spacing w:lineRule="auto" w:line="240"/>
        <w:jc w:val="both"/>
        <w:rPr>
          <w:rFonts w:ascii="Times New Roman" w:hAnsi="Times New Roman"/>
        </w:rPr>
      </w:pPr>
      <w:r>
        <w:rPr>
          <w:rFonts w:ascii="Times New Roman" w:hAnsi="Times New Roman"/>
        </w:rPr>
        <w:t>[29] Z. Liu, Y. Lin, Y. Cao, et al., "Swin transformer: Hierarchical vision transformer using shifted windows," in Proc. IEEE/CVF Int. Conf. Comput. Vis. (ICCV), 2021, pp. 10012-10022.</w:t>
      </w:r>
    </w:p>
    <w:p>
      <w:pPr>
        <w:pStyle w:val="BodyText"/>
        <w:bidi w:val="0"/>
        <w:spacing w:lineRule="auto" w:line="240"/>
        <w:jc w:val="both"/>
        <w:rPr>
          <w:rFonts w:ascii="Times New Roman" w:hAnsi="Times New Roman"/>
        </w:rPr>
      </w:pPr>
      <w:r>
        <w:rPr>
          <w:rFonts w:ascii="Times New Roman" w:hAnsi="Times New Roman"/>
        </w:rPr>
        <w:t>[30] W. Xu, Y. Xu, T. Chang, and Z. Tu, "Co-scale conv-attentional image transformers," in Proc. IEEE/CVF Int. Conf. Comput. Vis. (ICCV), 2021, pp. 9981-9990.</w:t>
      </w:r>
    </w:p>
    <w:p>
      <w:pPr>
        <w:pStyle w:val="BodyText"/>
        <w:bidi w:val="0"/>
        <w:spacing w:lineRule="auto" w:line="240"/>
        <w:jc w:val="both"/>
        <w:rPr>
          <w:rFonts w:ascii="Times New Roman" w:hAnsi="Times New Roman"/>
        </w:rPr>
      </w:pPr>
      <w:r>
        <w:rPr>
          <w:rFonts w:ascii="Times New Roman" w:hAnsi="Times New Roman"/>
        </w:rPr>
        <w:t>[31] R. Ranjan, A. Kumar, and S. K. Singh, "A comparative analysis of deep learning models for brain tumor classification," Biomedical Signal Processing and Control, vol. 68, p. 102678, 2021.</w:t>
      </w:r>
    </w:p>
    <w:p>
      <w:pPr>
        <w:pStyle w:val="BodyText"/>
        <w:bidi w:val="0"/>
        <w:spacing w:lineRule="auto" w:line="240"/>
        <w:jc w:val="both"/>
        <w:rPr>
          <w:rFonts w:ascii="Times New Roman" w:hAnsi="Times New Roman"/>
        </w:rPr>
      </w:pPr>
      <w:r>
        <w:rPr>
          <w:rFonts w:ascii="Times New Roman" w:hAnsi="Times New Roman"/>
        </w:rPr>
        <w:t>[32] S. Khan, M. Naseer, M. Hayat, S. W. Zamir, F. S. Khan, and M. Shah, "Transformers in vision: A survey," ACM Computing Surveys, vol. 54, no. 10s, pp. 1-41, 2022.</w:t>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Appendix A: Complete Binary Detection Results</w:t>
      </w:r>
    </w:p>
    <w:p>
      <w:pPr>
        <w:pStyle w:val="BodyText"/>
        <w:bidi w:val="0"/>
        <w:spacing w:lineRule="auto" w:line="240"/>
        <w:jc w:val="both"/>
        <w:rPr>
          <w:rFonts w:ascii="Times New Roman" w:hAnsi="Times New Roman"/>
        </w:rPr>
      </w:pPr>
      <w:r>
        <w:rPr>
          <w:rFonts w:ascii="Times New Roman" w:hAnsi="Times New Roman"/>
          <w:b/>
        </w:rPr>
        <w:t>TABLE VI</w:t>
      </w:r>
      <w:r>
        <w:rPr>
          <w:rFonts w:ascii="Times New Roman" w:hAnsi="Times New Roman"/>
        </w:rPr>
        <w:t> </w:t>
      </w:r>
      <w:r>
        <w:rPr>
          <w:rFonts w:ascii="Times New Roman" w:hAnsi="Times New Roman"/>
          <w:b/>
        </w:rPr>
        <w:t>COMPLETE BINARY DETECTION RESULTS BY EPOCH</w:t>
      </w:r>
    </w:p>
    <w:tbl>
      <w:tblPr>
        <w:tblW w:w="5000" w:type="pct"/>
        <w:jc w:val="start"/>
        <w:tblInd w:w="-5" w:type="dxa"/>
        <w:tblLayout w:type="fixed"/>
        <w:tblCellMar>
          <w:top w:w="55" w:type="dxa"/>
          <w:start w:w="55" w:type="dxa"/>
          <w:bottom w:w="55" w:type="dxa"/>
          <w:end w:w="55" w:type="dxa"/>
        </w:tblCellMar>
      </w:tblPr>
      <w:tblGrid>
        <w:gridCol w:w="1718"/>
        <w:gridCol w:w="845"/>
        <w:gridCol w:w="1323"/>
        <w:gridCol w:w="1223"/>
        <w:gridCol w:w="1365"/>
        <w:gridCol w:w="1075"/>
        <w:gridCol w:w="972"/>
        <w:gridCol w:w="1117"/>
      </w:tblGrid>
      <w:tr>
        <w:trPr>
          <w:tblHeader w:val="true"/>
        </w:trPr>
        <w:tc>
          <w:tcPr>
            <w:tcW w:w="1718"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Model</w:t>
            </w:r>
          </w:p>
        </w:tc>
        <w:tc>
          <w:tcPr>
            <w:tcW w:w="845"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Epoch</w:t>
            </w:r>
          </w:p>
        </w:tc>
        <w:tc>
          <w:tcPr>
            <w:tcW w:w="1323"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Train Loss</w:t>
            </w:r>
          </w:p>
        </w:tc>
        <w:tc>
          <w:tcPr>
            <w:tcW w:w="1223"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Train Acc</w:t>
            </w:r>
          </w:p>
        </w:tc>
        <w:tc>
          <w:tcPr>
            <w:tcW w:w="1365"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Train AUC</w:t>
            </w:r>
          </w:p>
        </w:tc>
        <w:tc>
          <w:tcPr>
            <w:tcW w:w="1075"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Val Loss</w:t>
            </w:r>
          </w:p>
        </w:tc>
        <w:tc>
          <w:tcPr>
            <w:tcW w:w="972"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Val Acc</w:t>
            </w:r>
          </w:p>
        </w:tc>
        <w:tc>
          <w:tcPr>
            <w:tcW w:w="1117"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Val AUC</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CoaTNet-0</w:t>
            </w:r>
          </w:p>
        </w:tc>
        <w:tc>
          <w:tcPr>
            <w:tcW w:w="84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7</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0.0086</w:t>
            </w:r>
          </w:p>
        </w:tc>
        <w:tc>
          <w:tcPr>
            <w:tcW w:w="12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0.9978</w:t>
            </w:r>
          </w:p>
        </w:tc>
        <w:tc>
          <w:tcPr>
            <w:tcW w:w="136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1.0000</w:t>
            </w:r>
          </w:p>
        </w:tc>
        <w:tc>
          <w:tcPr>
            <w:tcW w:w="107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0.0201</w:t>
            </w:r>
          </w:p>
        </w:tc>
        <w:tc>
          <w:tcPr>
            <w:tcW w:w="97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0.9939</w:t>
            </w:r>
          </w:p>
        </w:tc>
        <w:tc>
          <w:tcPr>
            <w:tcW w:w="1117"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0.9999</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EfficientNetB0</w:t>
            </w:r>
          </w:p>
        </w:tc>
        <w:tc>
          <w:tcPr>
            <w:tcW w:w="84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4</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0.0307</w:t>
            </w:r>
          </w:p>
        </w:tc>
        <w:tc>
          <w:tcPr>
            <w:tcW w:w="12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0.9937</w:t>
            </w:r>
          </w:p>
        </w:tc>
        <w:tc>
          <w:tcPr>
            <w:tcW w:w="136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0.9996</w:t>
            </w:r>
          </w:p>
        </w:tc>
        <w:tc>
          <w:tcPr>
            <w:tcW w:w="107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0.0179</w:t>
            </w:r>
          </w:p>
        </w:tc>
        <w:tc>
          <w:tcPr>
            <w:tcW w:w="97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0.9959</w:t>
            </w:r>
          </w:p>
        </w:tc>
        <w:tc>
          <w:tcPr>
            <w:tcW w:w="1117"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0.9999</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InceptionV3</w:t>
            </w:r>
          </w:p>
        </w:tc>
        <w:tc>
          <w:tcPr>
            <w:tcW w:w="84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2</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0.0309</w:t>
            </w:r>
          </w:p>
        </w:tc>
        <w:tc>
          <w:tcPr>
            <w:tcW w:w="12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0.9922</w:t>
            </w:r>
          </w:p>
        </w:tc>
        <w:tc>
          <w:tcPr>
            <w:tcW w:w="136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0.9996</w:t>
            </w:r>
          </w:p>
        </w:tc>
        <w:tc>
          <w:tcPr>
            <w:tcW w:w="107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0.0199</w:t>
            </w:r>
          </w:p>
        </w:tc>
        <w:tc>
          <w:tcPr>
            <w:tcW w:w="97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0.9918</w:t>
            </w:r>
          </w:p>
        </w:tc>
        <w:tc>
          <w:tcPr>
            <w:tcW w:w="1117"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0.9999</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ResNet50</w:t>
            </w:r>
          </w:p>
        </w:tc>
        <w:tc>
          <w:tcPr>
            <w:tcW w:w="84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6</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0.0069</w:t>
            </w:r>
          </w:p>
        </w:tc>
        <w:tc>
          <w:tcPr>
            <w:tcW w:w="12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0.9980</w:t>
            </w:r>
          </w:p>
        </w:tc>
        <w:tc>
          <w:tcPr>
            <w:tcW w:w="136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1.0000</w:t>
            </w:r>
          </w:p>
        </w:tc>
        <w:tc>
          <w:tcPr>
            <w:tcW w:w="107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0.0166</w:t>
            </w:r>
          </w:p>
        </w:tc>
        <w:tc>
          <w:tcPr>
            <w:tcW w:w="97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0.9959</w:t>
            </w:r>
          </w:p>
        </w:tc>
        <w:tc>
          <w:tcPr>
            <w:tcW w:w="1117"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0.9999</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Swin Base</w:t>
            </w:r>
          </w:p>
        </w:tc>
        <w:tc>
          <w:tcPr>
            <w:tcW w:w="84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6</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0.1057</w:t>
            </w:r>
          </w:p>
        </w:tc>
        <w:tc>
          <w:tcPr>
            <w:tcW w:w="12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0.9665</w:t>
            </w:r>
          </w:p>
        </w:tc>
        <w:tc>
          <w:tcPr>
            <w:tcW w:w="136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0.9914</w:t>
            </w:r>
          </w:p>
        </w:tc>
        <w:tc>
          <w:tcPr>
            <w:tcW w:w="107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0.0458</w:t>
            </w:r>
          </w:p>
        </w:tc>
        <w:tc>
          <w:tcPr>
            <w:tcW w:w="97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0.9877</w:t>
            </w:r>
          </w:p>
        </w:tc>
        <w:tc>
          <w:tcPr>
            <w:tcW w:w="1117"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0.9988</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DenseNet121</w:t>
            </w:r>
          </w:p>
        </w:tc>
        <w:tc>
          <w:tcPr>
            <w:tcW w:w="84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0.1653</w:t>
            </w:r>
          </w:p>
        </w:tc>
        <w:tc>
          <w:tcPr>
            <w:tcW w:w="12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0.9348</w:t>
            </w:r>
          </w:p>
        </w:tc>
        <w:tc>
          <w:tcPr>
            <w:tcW w:w="136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0.9855</w:t>
            </w:r>
          </w:p>
        </w:tc>
        <w:tc>
          <w:tcPr>
            <w:tcW w:w="107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0.0547</w:t>
            </w:r>
          </w:p>
        </w:tc>
        <w:tc>
          <w:tcPr>
            <w:tcW w:w="97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0.9754</w:t>
            </w:r>
          </w:p>
        </w:tc>
        <w:tc>
          <w:tcPr>
            <w:tcW w:w="1117"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1.0000</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ViT-B/16</w:t>
            </w:r>
          </w:p>
        </w:tc>
        <w:tc>
          <w:tcPr>
            <w:tcW w:w="84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0.1652</w:t>
            </w:r>
          </w:p>
        </w:tc>
        <w:tc>
          <w:tcPr>
            <w:tcW w:w="12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0.9430</w:t>
            </w:r>
          </w:p>
        </w:tc>
        <w:tc>
          <w:tcPr>
            <w:tcW w:w="136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0.9836</w:t>
            </w:r>
          </w:p>
        </w:tc>
        <w:tc>
          <w:tcPr>
            <w:tcW w:w="107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0.1473</w:t>
            </w:r>
          </w:p>
        </w:tc>
        <w:tc>
          <w:tcPr>
            <w:tcW w:w="97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0.9344</w:t>
            </w:r>
          </w:p>
        </w:tc>
        <w:tc>
          <w:tcPr>
            <w:tcW w:w="1117"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0.9897</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MobileNetV3</w:t>
            </w:r>
          </w:p>
        </w:tc>
        <w:tc>
          <w:tcPr>
            <w:tcW w:w="84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0.0022</w:t>
            </w:r>
          </w:p>
        </w:tc>
        <w:tc>
          <w:tcPr>
            <w:tcW w:w="12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0.9990</w:t>
            </w:r>
          </w:p>
        </w:tc>
        <w:tc>
          <w:tcPr>
            <w:tcW w:w="136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1.0000</w:t>
            </w:r>
          </w:p>
        </w:tc>
        <w:tc>
          <w:tcPr>
            <w:tcW w:w="107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0.3857</w:t>
            </w:r>
          </w:p>
        </w:tc>
        <w:tc>
          <w:tcPr>
            <w:tcW w:w="97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0.8934</w:t>
            </w:r>
          </w:p>
        </w:tc>
        <w:tc>
          <w:tcPr>
            <w:tcW w:w="1117"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0.9993</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VGG16</w:t>
            </w:r>
          </w:p>
        </w:tc>
        <w:tc>
          <w:tcPr>
            <w:tcW w:w="84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0.3387</w:t>
            </w:r>
          </w:p>
        </w:tc>
        <w:tc>
          <w:tcPr>
            <w:tcW w:w="12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0.8467</w:t>
            </w:r>
          </w:p>
        </w:tc>
        <w:tc>
          <w:tcPr>
            <w:tcW w:w="136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0.9308</w:t>
            </w:r>
          </w:p>
        </w:tc>
        <w:tc>
          <w:tcPr>
            <w:tcW w:w="107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0.3380</w:t>
            </w:r>
          </w:p>
        </w:tc>
        <w:tc>
          <w:tcPr>
            <w:tcW w:w="97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0.8443</w:t>
            </w:r>
          </w:p>
        </w:tc>
        <w:tc>
          <w:tcPr>
            <w:tcW w:w="1117"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0.9343</w:t>
            </w:r>
          </w:p>
        </w:tc>
      </w:tr>
    </w:tbl>
    <w:p>
      <w:pPr>
        <w:pStyle w:val="BodyText"/>
        <w:bidi w:val="0"/>
        <w:spacing w:lineRule="auto" w:line="240"/>
        <w:jc w:val="both"/>
        <w:rPr>
          <w:rFonts w:ascii="Times New Roman" w:hAnsi="Times New Roman"/>
        </w:rPr>
      </w:pPr>
      <w:r>
        <w:rPr>
          <w:rFonts w:ascii="Times New Roman" w:hAnsi="Times New Roman"/>
        </w:rPr>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Appendix B: Complete Multi-Class Results</w:t>
      </w:r>
    </w:p>
    <w:p>
      <w:pPr>
        <w:pStyle w:val="BodyText"/>
        <w:bidi w:val="0"/>
        <w:spacing w:lineRule="auto" w:line="240"/>
        <w:jc w:val="both"/>
        <w:rPr>
          <w:rFonts w:ascii="Times New Roman" w:hAnsi="Times New Roman"/>
        </w:rPr>
      </w:pPr>
      <w:r>
        <w:rPr>
          <w:rFonts w:ascii="Times New Roman" w:hAnsi="Times New Roman"/>
          <w:b/>
        </w:rPr>
        <w:t>TABLE VII</w:t>
      </w:r>
      <w:r>
        <w:rPr>
          <w:rFonts w:ascii="Times New Roman" w:hAnsi="Times New Roman"/>
        </w:rPr>
        <w:t> </w:t>
      </w:r>
      <w:r>
        <w:rPr>
          <w:rFonts w:ascii="Times New Roman" w:hAnsi="Times New Roman"/>
          <w:b/>
        </w:rPr>
        <w:t>COMPLETE MULTI-CLASS RESULTS BY EPOCH</w:t>
      </w:r>
    </w:p>
    <w:tbl>
      <w:tblPr>
        <w:tblW w:w="5000" w:type="pct"/>
        <w:jc w:val="start"/>
        <w:tblInd w:w="-5" w:type="dxa"/>
        <w:tblLayout w:type="fixed"/>
        <w:tblCellMar>
          <w:top w:w="55" w:type="dxa"/>
          <w:start w:w="55" w:type="dxa"/>
          <w:bottom w:w="55" w:type="dxa"/>
          <w:end w:w="55" w:type="dxa"/>
        </w:tblCellMar>
      </w:tblPr>
      <w:tblGrid>
        <w:gridCol w:w="1718"/>
        <w:gridCol w:w="845"/>
        <w:gridCol w:w="1323"/>
        <w:gridCol w:w="1223"/>
        <w:gridCol w:w="1365"/>
        <w:gridCol w:w="1075"/>
        <w:gridCol w:w="972"/>
        <w:gridCol w:w="1117"/>
      </w:tblGrid>
      <w:tr>
        <w:trPr>
          <w:tblHeader w:val="true"/>
        </w:trPr>
        <w:tc>
          <w:tcPr>
            <w:tcW w:w="1718"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Model</w:t>
            </w:r>
          </w:p>
        </w:tc>
        <w:tc>
          <w:tcPr>
            <w:tcW w:w="845"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Epoch</w:t>
            </w:r>
          </w:p>
        </w:tc>
        <w:tc>
          <w:tcPr>
            <w:tcW w:w="1323"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Train Loss</w:t>
            </w:r>
          </w:p>
        </w:tc>
        <w:tc>
          <w:tcPr>
            <w:tcW w:w="1223"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Train Acc</w:t>
            </w:r>
          </w:p>
        </w:tc>
        <w:tc>
          <w:tcPr>
            <w:tcW w:w="1365"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Train AUC</w:t>
            </w:r>
          </w:p>
        </w:tc>
        <w:tc>
          <w:tcPr>
            <w:tcW w:w="1075"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Val Loss</w:t>
            </w:r>
          </w:p>
        </w:tc>
        <w:tc>
          <w:tcPr>
            <w:tcW w:w="972" w:type="dxa"/>
            <w:tcBorders>
              <w:top w:val="single" w:sz="4" w:space="0" w:color="000000"/>
              <w:start w:val="single" w:sz="4" w:space="0" w:color="000000"/>
              <w:bottom w:val="single" w:sz="4" w:space="0" w:color="000000"/>
            </w:tcBorders>
          </w:tcPr>
          <w:p>
            <w:pPr>
              <w:pStyle w:val="TableHeading"/>
              <w:bidi w:val="0"/>
              <w:spacing w:lineRule="auto" w:line="240"/>
              <w:jc w:val="both"/>
              <w:rPr>
                <w:rFonts w:ascii="Times New Roman" w:hAnsi="Times New Roman"/>
              </w:rPr>
            </w:pPr>
            <w:r>
              <w:rPr>
                <w:rFonts w:ascii="Times New Roman" w:hAnsi="Times New Roman"/>
              </w:rPr>
              <w:t>Val Acc</w:t>
            </w:r>
          </w:p>
        </w:tc>
        <w:tc>
          <w:tcPr>
            <w:tcW w:w="1117" w:type="dxa"/>
            <w:tcBorders>
              <w:top w:val="single" w:sz="4" w:space="0" w:color="000000"/>
              <w:start w:val="single" w:sz="4" w:space="0" w:color="000000"/>
              <w:bottom w:val="single" w:sz="4" w:space="0" w:color="000000"/>
              <w:end w:val="single" w:sz="4" w:space="0" w:color="000000"/>
            </w:tcBorders>
          </w:tcPr>
          <w:p>
            <w:pPr>
              <w:pStyle w:val="TableHeading"/>
              <w:bidi w:val="0"/>
              <w:spacing w:lineRule="auto" w:line="240"/>
              <w:jc w:val="both"/>
              <w:rPr>
                <w:rFonts w:ascii="Times New Roman" w:hAnsi="Times New Roman"/>
              </w:rPr>
            </w:pPr>
            <w:r>
              <w:rPr>
                <w:rFonts w:ascii="Times New Roman" w:hAnsi="Times New Roman"/>
              </w:rPr>
              <w:t>Val AUC</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InceptionV3</w:t>
            </w:r>
          </w:p>
        </w:tc>
        <w:tc>
          <w:tcPr>
            <w:tcW w:w="84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0.0054</w:t>
            </w:r>
          </w:p>
        </w:tc>
        <w:tc>
          <w:tcPr>
            <w:tcW w:w="12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0.9988</w:t>
            </w:r>
          </w:p>
        </w:tc>
        <w:tc>
          <w:tcPr>
            <w:tcW w:w="136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1.0000</w:t>
            </w:r>
          </w:p>
        </w:tc>
        <w:tc>
          <w:tcPr>
            <w:tcW w:w="107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0.1175</w:t>
            </w:r>
          </w:p>
        </w:tc>
        <w:tc>
          <w:tcPr>
            <w:tcW w:w="97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0.9745</w:t>
            </w:r>
          </w:p>
        </w:tc>
        <w:tc>
          <w:tcPr>
            <w:tcW w:w="1117"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0.9967</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Swin-Base</w:t>
            </w:r>
          </w:p>
        </w:tc>
        <w:tc>
          <w:tcPr>
            <w:tcW w:w="84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0.0181</w:t>
            </w:r>
          </w:p>
        </w:tc>
        <w:tc>
          <w:tcPr>
            <w:tcW w:w="12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0.9942</w:t>
            </w:r>
          </w:p>
        </w:tc>
        <w:tc>
          <w:tcPr>
            <w:tcW w:w="136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0.9999</w:t>
            </w:r>
          </w:p>
        </w:tc>
        <w:tc>
          <w:tcPr>
            <w:tcW w:w="107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0.0805</w:t>
            </w:r>
          </w:p>
        </w:tc>
        <w:tc>
          <w:tcPr>
            <w:tcW w:w="97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0.9816</w:t>
            </w:r>
          </w:p>
        </w:tc>
        <w:tc>
          <w:tcPr>
            <w:tcW w:w="1117"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0.9972</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EfficientNetB0</w:t>
            </w:r>
          </w:p>
        </w:tc>
        <w:tc>
          <w:tcPr>
            <w:tcW w:w="84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0.0185</w:t>
            </w:r>
          </w:p>
        </w:tc>
        <w:tc>
          <w:tcPr>
            <w:tcW w:w="12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0.9937</w:t>
            </w:r>
          </w:p>
        </w:tc>
        <w:tc>
          <w:tcPr>
            <w:tcW w:w="136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0.9998</w:t>
            </w:r>
          </w:p>
        </w:tc>
        <w:tc>
          <w:tcPr>
            <w:tcW w:w="107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0.0746</w:t>
            </w:r>
          </w:p>
        </w:tc>
        <w:tc>
          <w:tcPr>
            <w:tcW w:w="97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0.9773</w:t>
            </w:r>
          </w:p>
        </w:tc>
        <w:tc>
          <w:tcPr>
            <w:tcW w:w="1117"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0.9972</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CoaTNet-0</w:t>
            </w:r>
          </w:p>
        </w:tc>
        <w:tc>
          <w:tcPr>
            <w:tcW w:w="84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0.0231</w:t>
            </w:r>
          </w:p>
        </w:tc>
        <w:tc>
          <w:tcPr>
            <w:tcW w:w="12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0.9928</w:t>
            </w:r>
          </w:p>
        </w:tc>
        <w:tc>
          <w:tcPr>
            <w:tcW w:w="136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0.9998</w:t>
            </w:r>
          </w:p>
        </w:tc>
        <w:tc>
          <w:tcPr>
            <w:tcW w:w="107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0.0893</w:t>
            </w:r>
          </w:p>
        </w:tc>
        <w:tc>
          <w:tcPr>
            <w:tcW w:w="97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0.9747</w:t>
            </w:r>
          </w:p>
        </w:tc>
        <w:tc>
          <w:tcPr>
            <w:tcW w:w="1117"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0.9968</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ResNet-50</w:t>
            </w:r>
          </w:p>
        </w:tc>
        <w:tc>
          <w:tcPr>
            <w:tcW w:w="84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0.0229</w:t>
            </w:r>
          </w:p>
        </w:tc>
        <w:tc>
          <w:tcPr>
            <w:tcW w:w="12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0.9927</w:t>
            </w:r>
          </w:p>
        </w:tc>
        <w:tc>
          <w:tcPr>
            <w:tcW w:w="136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0.9998</w:t>
            </w:r>
          </w:p>
        </w:tc>
        <w:tc>
          <w:tcPr>
            <w:tcW w:w="107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0.0987</w:t>
            </w:r>
          </w:p>
        </w:tc>
        <w:tc>
          <w:tcPr>
            <w:tcW w:w="97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0.9722</w:t>
            </w:r>
          </w:p>
        </w:tc>
        <w:tc>
          <w:tcPr>
            <w:tcW w:w="1117"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0.9967</w:t>
            </w:r>
          </w:p>
        </w:tc>
      </w:tr>
      <w:tr>
        <w:trPr/>
        <w:tc>
          <w:tcPr>
            <w:tcW w:w="1718"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ViT-B/16</w:t>
            </w:r>
          </w:p>
        </w:tc>
        <w:tc>
          <w:tcPr>
            <w:tcW w:w="84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10</w:t>
            </w:r>
          </w:p>
        </w:tc>
        <w:tc>
          <w:tcPr>
            <w:tcW w:w="13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0.3273</w:t>
            </w:r>
          </w:p>
        </w:tc>
        <w:tc>
          <w:tcPr>
            <w:tcW w:w="1223"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0.8732</w:t>
            </w:r>
          </w:p>
        </w:tc>
        <w:tc>
          <w:tcPr>
            <w:tcW w:w="136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0.9672</w:t>
            </w:r>
          </w:p>
        </w:tc>
        <w:tc>
          <w:tcPr>
            <w:tcW w:w="1075"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0.3414</w:t>
            </w:r>
          </w:p>
        </w:tc>
        <w:tc>
          <w:tcPr>
            <w:tcW w:w="972" w:type="dxa"/>
            <w:tcBorders>
              <w:start w:val="single" w:sz="4" w:space="0" w:color="000000"/>
              <w:bottom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0.8768</w:t>
            </w:r>
          </w:p>
        </w:tc>
        <w:tc>
          <w:tcPr>
            <w:tcW w:w="1117" w:type="dxa"/>
            <w:tcBorders>
              <w:start w:val="single" w:sz="4" w:space="0" w:color="000000"/>
              <w:bottom w:val="single" w:sz="4" w:space="0" w:color="000000"/>
              <w:end w:val="single" w:sz="4" w:space="0" w:color="000000"/>
            </w:tcBorders>
          </w:tcPr>
          <w:p>
            <w:pPr>
              <w:pStyle w:val="TableContents"/>
              <w:bidi w:val="0"/>
              <w:spacing w:lineRule="auto" w:line="240"/>
              <w:jc w:val="both"/>
              <w:rPr>
                <w:rFonts w:ascii="Times New Roman" w:hAnsi="Times New Roman"/>
              </w:rPr>
            </w:pPr>
            <w:r>
              <w:rPr>
                <w:rFonts w:ascii="Times New Roman" w:hAnsi="Times New Roman"/>
              </w:rPr>
              <w:t>0.9679</w:t>
            </w:r>
          </w:p>
        </w:tc>
      </w:tr>
    </w:tbl>
    <w:p>
      <w:pPr>
        <w:pStyle w:val="BodyText"/>
        <w:bidi w:val="0"/>
        <w:spacing w:lineRule="auto" w:line="240"/>
        <w:jc w:val="both"/>
        <w:rPr>
          <w:rFonts w:ascii="Times New Roman" w:hAnsi="Times New Roman"/>
        </w:rPr>
      </w:pPr>
      <w:r>
        <w:rPr>
          <w:rFonts w:ascii="Times New Roman" w:hAnsi="Times New Roman"/>
        </w:rPr>
      </w:r>
    </w:p>
    <w:p>
      <w:pPr>
        <w:pStyle w:val="Heading2"/>
        <w:numPr>
          <w:ilvl w:val="0"/>
          <w:numId w:val="0"/>
        </w:numPr>
        <w:bidi w:val="0"/>
        <w:spacing w:lineRule="auto" w:line="240"/>
        <w:ind w:hanging="0" w:start="0"/>
        <w:jc w:val="both"/>
        <w:rPr>
          <w:rFonts w:ascii="Times New Roman" w:hAnsi="Times New Roman"/>
        </w:rPr>
      </w:pPr>
      <w:r>
        <w:rPr>
          <w:rFonts w:ascii="Times New Roman" w:hAnsi="Times New Roman"/>
        </w:rPr>
        <w:t>Appendix C: Code Repository</w:t>
      </w:r>
    </w:p>
    <w:p>
      <w:pPr>
        <w:pStyle w:val="BodyText"/>
        <w:bidi w:val="0"/>
        <w:spacing w:lineRule="auto" w:line="240" w:before="0" w:after="140"/>
        <w:jc w:val="both"/>
        <w:rPr/>
      </w:pPr>
      <w:r>
        <w:rPr>
          <w:rFonts w:ascii="Times New Roman" w:hAnsi="Times New Roman"/>
        </w:rPr>
        <w:t xml:space="preserve">The complete code for all experiments, including data preprocessing, model training, and evaluation, is available at: </w:t>
      </w:r>
      <w:hyperlink r:id="rId5">
        <w:r>
          <w:rPr>
            <w:rStyle w:val="Hyperlink"/>
            <w:rFonts w:ascii="Times New Roman" w:hAnsi="Times New Roman"/>
          </w:rPr>
          <w:t>https://github.com/parthmital/NeuroScan-AI</w:t>
        </w:r>
      </w:hyperlink>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IN"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parth.mital2023@vitstudent.ac.in" TargetMode="External"/><Relationship Id="rId3" Type="http://schemas.openxmlformats.org/officeDocument/2006/relationships/hyperlink" Target="mailto:ved.lawand2023@vitstudent.ac.in" TargetMode="External"/><Relationship Id="rId4" Type="http://schemas.openxmlformats.org/officeDocument/2006/relationships/hyperlink" Target="mailto:biji.cl@vit.ac.in" TargetMode="External"/><Relationship Id="rId5" Type="http://schemas.openxmlformats.org/officeDocument/2006/relationships/hyperlink" Target="https://github.com/parthmital/NeuroScan-AI"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LibreOffice/26.2.2.2$Windows_X86_64 LibreOffice_project/1f77d10d6938fd34972958f64b2bcfa54f8b1ba5</Application>
  <AppVersion>15.0000</AppVersion>
  <Pages>15</Pages>
  <Words>7762</Words>
  <Characters>49866</Characters>
  <CharactersWithSpaces>57187</CharactersWithSpaces>
  <Paragraphs>432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2026-04-28T15:32:49Z</dcterms:created>
  <dc:creator/>
  <dc:description/>
  <dc:language>en-IN</dc:language>
  <cp:lastModifiedBy/>
  <dcterms:modified xsi:type="dcterms:W3CDTF">2026-04-28T16:09:17Z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