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120"/>
        <w:jc w:val="center"/>
        <w:rPr>
          <w:rFonts w:ascii="Times New Roman" w:hAnsi="Times New Roman"/>
        </w:rPr>
      </w:pPr>
      <w:r>
        <w:rPr>
          <w:rFonts w:ascii="Times New Roman" w:hAnsi="Times New Roman"/>
        </w:rPr>
        <w:t>Brain Tumour Detection &amp; Classification Using Deep Learning: A Comprehensive Comparative Study of CNN &amp; Transformer Architectures</w:t>
      </w:r>
    </w:p>
    <w:p>
      <w:pPr>
        <w:pStyle w:val="BodyText"/>
        <w:spacing w:lineRule="auto" w:line="240" w:before="0" w:after="0"/>
        <w:jc w:val="center"/>
        <w:rPr>
          <w:rFonts w:ascii="Times New Roman" w:hAnsi="Times New Roman"/>
        </w:rPr>
      </w:pPr>
      <w:r>
        <w:rPr>
          <w:rFonts w:ascii="Times New Roman" w:hAnsi="Times New Roman"/>
        </w:rPr>
        <w:t>Parth Mital¹, Ved Lawand¹, Dr. Biji C L¹</w:t>
      </w:r>
    </w:p>
    <w:p>
      <w:pPr>
        <w:pStyle w:val="BodyText"/>
        <w:spacing w:lineRule="auto" w:line="240" w:before="0" w:after="0"/>
        <w:jc w:val="center"/>
        <w:rPr>
          <w:rFonts w:ascii="Times New Roman" w:hAnsi="Times New Roman"/>
        </w:rPr>
      </w:pPr>
      <w:r>
        <w:rPr>
          <w:rFonts w:ascii="Times New Roman" w:hAnsi="Times New Roman"/>
        </w:rPr>
        <w:t>¹</w:t>
      </w:r>
      <w:r>
        <w:rPr>
          <w:rFonts w:ascii="Times New Roman" w:hAnsi="Times New Roman"/>
        </w:rPr>
        <w:t>School of Computer Science &amp; Engineering, Vellore Institute of Technology, Vellore, India</w:t>
      </w:r>
    </w:p>
    <w:p>
      <w:pPr>
        <w:pStyle w:val="BodyText"/>
        <w:spacing w:lineRule="auto" w:line="240" w:before="0" w:after="0"/>
        <w:jc w:val="center"/>
        <w:rPr>
          <w:rFonts w:hint="eastAsia"/>
        </w:rPr>
      </w:pPr>
      <w:r>
        <w:rPr>
          <w:rFonts w:ascii="Times New Roman" w:hAnsi="Times New Roman"/>
        </w:rPr>
        <w:t xml:space="preserve">Corresponding author email: </w:t>
      </w:r>
      <w:hyperlink r:id="rId2">
        <w:r>
          <w:rPr>
            <w:rStyle w:val="Hyperlink"/>
            <w:rFonts w:ascii="Times New Roman" w:hAnsi="Times New Roman"/>
          </w:rPr>
          <w:t>parth.mital2023@vitstudent.ac.in</w:t>
        </w:r>
      </w:hyperlink>
      <w:r>
        <w:rPr>
          <w:rFonts w:ascii="Times New Roman" w:hAnsi="Times New Roman"/>
        </w:rPr>
        <w:t xml:space="preserve">, </w:t>
      </w:r>
      <w:hyperlink r:id="rId3">
        <w:r>
          <w:rPr>
            <w:rStyle w:val="Hyperlink"/>
            <w:rFonts w:ascii="Times New Roman" w:hAnsi="Times New Roman"/>
          </w:rPr>
          <w:t>ved.lawand2023@vitstudent.ac.in</w:t>
        </w:r>
      </w:hyperlink>
      <w:r>
        <w:rPr>
          <w:rStyle w:val="Hyperlink"/>
          <w:rFonts w:ascii="Times New Roman" w:hAnsi="Times New Roman"/>
        </w:rPr>
        <w:t xml:space="preserve">, </w:t>
      </w:r>
      <w:hyperlink r:id="rId4">
        <w:r>
          <w:rPr>
            <w:rStyle w:val="Hyperlink"/>
            <w:rFonts w:ascii="Times New Roman" w:hAnsi="Times New Roman"/>
          </w:rPr>
          <w:t>biji.cl@vit.ac.in</w:t>
        </w:r>
      </w:hyperlink>
    </w:p>
    <w:p>
      <w:pPr>
        <w:pStyle w:val="Heading2"/>
        <w:numPr>
          <w:ilvl w:val="0"/>
          <w:numId w:val="0"/>
        </w:numPr>
        <w:ind w:hanging="0" w:start="0"/>
        <w:jc w:val="both"/>
        <w:rPr>
          <w:rFonts w:ascii="Times New Roman" w:hAnsi="Times New Roman"/>
        </w:rPr>
      </w:pPr>
      <w:r>
        <w:rPr>
          <w:rFonts w:ascii="Times New Roman" w:hAnsi="Times New Roman"/>
        </w:rPr>
        <w:t>Abstract</w:t>
      </w:r>
    </w:p>
    <w:p>
      <w:pPr>
        <w:pStyle w:val="BodyText"/>
        <w:spacing w:lineRule="auto" w:line="240"/>
        <w:jc w:val="both"/>
        <w:rPr>
          <w:rFonts w:ascii="Times New Roman" w:hAnsi="Times New Roman"/>
        </w:rPr>
      </w:pPr>
      <w:r>
        <w:rPr>
          <w:rFonts w:ascii="Times New Roman" w:hAnsi="Times New Roman"/>
        </w:rPr>
        <w:t>The presence of brain tumours can be considered one of the most complicated neurologic</w:t>
      </w:r>
      <w:r>
        <w:rPr>
          <w:rFonts w:ascii="Times New Roman" w:hAnsi="Times New Roman"/>
        </w:rPr>
        <w:t>al</w:t>
      </w:r>
      <w:r>
        <w:rPr>
          <w:rFonts w:ascii="Times New Roman" w:hAnsi="Times New Roman"/>
        </w:rPr>
        <w:t xml:space="preserve"> problems in the world, where early &amp; precise diagnosis can determine the success of therapy &amp; ensure survival. The use of Magnetic Resonance Imaging (MRI) is a standard procedure in diagnosing the problem, yet manual image interpretation takes much time, is subject to inter-observer variability, &amp; needs experts whose competence may not always be at hand. In this paper, we provide a systematic comparison of nine cutting-edge deep learning models aimed at detecting brain tumours &amp; their classification into glioma, meningioma, &amp; pituitary tumours. Classic CNNs (ResNet50, VGG16, &amp; DenseNet121), efficient CNNs (EfficientNetB0, MobileNetV3 Large, &amp; InceptionV3), &amp; transformers (ViT-B/16, Swin Transformer Base, CoaTNet-0) are evaluated under standardised conditions. Perceptual Hashing used as preprocessing resulted in eliminating 19.3% near-duplicate images from 5,828 MRIs to obtain 4,705 samples for multi-class classification. For binary detection, we used another set containing 3,253 images. For both tasks, all models were trained on ImageNet before being fine-tuned with the use of AdamW optimizer, cosine annealing learning schedule, &amp; mixed precision training on two NVIDIA Tesla T4 GPUs. InceptionV3 achieved a high accuracy rate of 99.39% with perfect AUC of 1.0000 for the task of binary detection, while CoaTNet-0 &amp; EfficientNetB0 showed 99.59% accuracy. For the multi-class classification, the best accuracy was shown by InceptionV3 &amp; Swin-Base with 98.58% &amp; AUC higher than 0.999. EfficientNetB0 model was the most efficient in terms of the number of parameters – the model had an accuracy rate of 97.59% with only 5.3 million parameters.</w:t>
      </w:r>
    </w:p>
    <w:p>
      <w:pPr>
        <w:pStyle w:val="BodyText"/>
        <w:spacing w:lineRule="auto" w:line="240"/>
        <w:jc w:val="both"/>
        <w:rPr>
          <w:rFonts w:ascii="Times New Roman" w:hAnsi="Times New Roman"/>
        </w:rPr>
      </w:pPr>
      <w:r>
        <w:rPr>
          <w:rFonts w:ascii="Times New Roman" w:hAnsi="Times New Roman"/>
          <w:b/>
        </w:rPr>
        <w:t>Keywords:</w:t>
      </w:r>
      <w:r>
        <w:rPr>
          <w:rFonts w:ascii="Times New Roman" w:hAnsi="Times New Roman"/>
        </w:rPr>
        <w:t xml:space="preserve"> Brain tumour detection, deep learning, convolutional neural networks, vision transformers, medical image classification, MRI, transfer learning.</w:t>
      </w:r>
    </w:p>
    <w:p>
      <w:pPr>
        <w:pStyle w:val="Heading2"/>
        <w:numPr>
          <w:ilvl w:val="0"/>
          <w:numId w:val="0"/>
        </w:numPr>
        <w:ind w:hanging="0" w:start="0"/>
        <w:jc w:val="both"/>
        <w:rPr>
          <w:rFonts w:ascii="Times New Roman" w:hAnsi="Times New Roman"/>
        </w:rPr>
      </w:pPr>
      <w:r>
        <w:rPr>
          <w:rFonts w:ascii="Times New Roman" w:hAnsi="Times New Roman"/>
        </w:rPr>
        <w:t>1. Introduction</w:t>
      </w:r>
    </w:p>
    <w:p>
      <w:pPr>
        <w:pStyle w:val="BodyText"/>
        <w:spacing w:lineRule="auto" w:line="240"/>
        <w:jc w:val="both"/>
        <w:rPr>
          <w:rFonts w:ascii="Times New Roman" w:hAnsi="Times New Roman"/>
        </w:rPr>
      </w:pPr>
      <w:r>
        <w:rPr>
          <w:rFonts w:ascii="Times New Roman" w:hAnsi="Times New Roman"/>
        </w:rPr>
        <w:t>Brain tumours constitute the abnormal proliferation of cells either in the brain or the central nervous system. Whether benign or malignant, brain tumours represent serious threats because of their location in the limited skull cavity &amp; the important functions of the brain. According to American Brain Tumor Association, about 90,000 people are estimated to have primary brain tumours each year in the USA alone, while the global scenario is similar with respect to incidence. The exact prevalence in India, however, is not fully documented. Nonetheless, in the major metropolitan cities like Mumbai, Delhi, Bangalore, &amp; Chennai, the tertiary care hospitals report thousands of patients with primary brain tumours each year. Three major forms of primary brain tumours include: (i) glioma, which is formed from glial cells &amp; constitutes 30% of total brain tumours; (ii) meningioma, which develops in the meningeal layers of the brain, is usually benign in nature, &amp; (iii) pituitary tumours that grow in the pituitary gland causing hormonal problems [1, 2].</w:t>
      </w:r>
    </w:p>
    <w:p>
      <w:pPr>
        <w:pStyle w:val="BodyText"/>
        <w:spacing w:lineRule="auto" w:line="240"/>
        <w:jc w:val="both"/>
        <w:rPr>
          <w:rFonts w:ascii="Times New Roman" w:hAnsi="Times New Roman"/>
        </w:rPr>
      </w:pPr>
      <w:r>
        <w:rPr>
          <w:rFonts w:ascii="Times New Roman" w:hAnsi="Times New Roman"/>
        </w:rPr>
        <w:t>MRI or Magnetic Resonance Imaging is used nowadays as the main non-invasive technique for brain tumours detection &amp; classification. In comparison to the traditional CT imaging, MRI gives much better soft tissue contrast without utilising any ionising radiation. Moreover, MRI allows getting pictures in different directions &amp; using different types of contrasts – namely, T1-weighted, T2-weighted, FLAIR, &amp; diffusion-weighted. This is extremely important for tumour location, volume, margins, oedema, &amp; adjacent vital structures determination. At the same time, analysis of MRI studies raises a number of problems that cannot be ignored. Firstly, it takes a lot of time for examination – the complete brain MRI study may include hundreds of sections, while it takes a specialist radiologist 15-30 minutes to make a correct diagnosis [20], [21]. Secondly, inter- &amp; intra-observer variabilities should be noted; i.e. there is no guarantee that radiologists will interpret the results of MRI in the same way. Thirdly, lack of knowledge in neuroradiology can become an obstacle for correct image interpretation. Finally, there is no enough specialists in the rural &amp; semi-urban regions of India because of their poor radiologist/population ratio.</w:t>
      </w:r>
    </w:p>
    <w:p>
      <w:pPr>
        <w:pStyle w:val="BodyText"/>
        <w:spacing w:lineRule="auto" w:line="240"/>
        <w:jc w:val="both"/>
        <w:rPr>
          <w:rFonts w:ascii="Times New Roman" w:hAnsi="Times New Roman"/>
        </w:rPr>
      </w:pPr>
      <w:r>
        <w:rPr>
          <w:rFonts w:ascii="Times New Roman" w:hAnsi="Times New Roman"/>
        </w:rPr>
        <w:t>The introduction of deep learning technology has transformed the field of medical imaging analysis in the last ten years. The models based on deep learning, especially convolutional neural networks (CNN), have the ability to learn hierarchical representation of the visual features directly from pixel inputs without the need for manual feature extraction. Thus, the use of these models enables automatic, efficient, &amp; consistent tumor detection from brain MRIs. Convolutional neural networks have become popular among researchers working in this area, with well-performing models like ResNet, VGG, DenseNet, Inception, EfficientNet, &amp; MobileNet setting benchmarks on image classification tasks. Recently, researchers started exploring transformer models for computer vision problems, which were initially used in natural language processing. These transformer-based models include ViT, Swin Transformer, &amp; CoaTNet. This line of research provides an alternate way of representing global information in the images using self-attention mechanism, &amp; it might be of particular use in medical imaging, especially when understanding the relation between a tumour &amp; the surrounding anatomical structures [28], [29], [30], [32].</w:t>
      </w:r>
    </w:p>
    <w:p>
      <w:pPr>
        <w:pStyle w:val="BodyText"/>
        <w:spacing w:lineRule="auto" w:line="240"/>
        <w:jc w:val="both"/>
        <w:rPr>
          <w:rFonts w:ascii="Times New Roman" w:hAnsi="Times New Roman"/>
        </w:rPr>
      </w:pPr>
      <w:r>
        <w:rPr>
          <w:rFonts w:ascii="Times New Roman" w:hAnsi="Times New Roman"/>
        </w:rPr>
        <w:t>Although several research works have separately proved the efficiency of deep learning architectures in the case of detecting &amp; classifying brain tumours, there is still an insufficient number of comparative investigations performed across several architectural groups using the same sets of parameters. The lack of comparative analysis poses serious challenges in choosing the required models, since each research employs separate databases, preprocessing procedures, data augmentation approaches, as well as assessment techniques, which makes it quite problematic to compare the results received from various scientific studies. For example, it is impossible to say which performance indicator is better when one work indicates an accuracy of 99% based on a small &amp; homogeneous database, whereas another one gives 97% accuracy based on a larger &amp; heterogeneous one.</w:t>
      </w:r>
    </w:p>
    <w:p>
      <w:pPr>
        <w:pStyle w:val="BodyText"/>
        <w:spacing w:lineRule="auto" w:line="240"/>
        <w:jc w:val="both"/>
        <w:rPr>
          <w:rFonts w:ascii="Times New Roman" w:hAnsi="Times New Roman"/>
        </w:rPr>
      </w:pPr>
      <w:r>
        <w:rPr>
          <w:rFonts w:ascii="Times New Roman" w:hAnsi="Times New Roman"/>
        </w:rPr>
        <w:t>Even though there exist numerous studies confirming the efficiency of deep learning models for detection &amp; classification of brain tumours, however, there are only a few comparative studies analysing efficiency of several different architectural designs with the use of the same parameters. The problem with comparative analysis hinders greatly in selecting the right model, as every study uses its own particular database, preprocessing method, augmentation, &amp; evaluation technique, making comparison of results obtained in various scientific research almost impossible. To illustrate, it is not possible to decide which indicator is more accurate in a case where one study shows 99% accuracy but uses small homogenous database, while the other gives 97% but uses a large heterogeneous one.</w:t>
      </w:r>
    </w:p>
    <w:p>
      <w:pPr>
        <w:pStyle w:val="BodyText"/>
        <w:spacing w:lineRule="auto" w:line="240"/>
        <w:jc w:val="both"/>
        <w:rPr>
          <w:rFonts w:ascii="Times New Roman" w:hAnsi="Times New Roman"/>
        </w:rPr>
      </w:pPr>
      <w:r>
        <w:rPr>
          <w:rFonts w:ascii="Times New Roman" w:hAnsi="Times New Roman"/>
        </w:rPr>
        <w:t>Numerous papers make the mistake of containing images that are near-duplicates or duplicates across the training, validation, &amp; test splits when using publicly available datasets from multiple sources. This results in a highly inaccurate assessment of the performance, causing a significant increase in reported performance figures compared to the actual ability of a model to generalise. Once a neural network or other machine learning model has been shown a particular image (or one that is very similar) in training, any further performance results for that image will be a reflection of memory &amp; not true learning. The problem of near-duplicate images is especially critical within brain tumour research, since most publicly available datasets come from common origins, like the Cheng dataset or the Figshare dataset. Most papers that discuss this problem use simple exact-matching techniques that rely either on the file name or the cryptographic hash of an image. However, exact-matching techniques fail to detect even simple modifications such as changing the size of an image, recompressing it, rotating it slightly, or changing its contrast.</w:t>
      </w:r>
    </w:p>
    <w:p>
      <w:pPr>
        <w:pStyle w:val="BodyText"/>
        <w:spacing w:lineRule="auto" w:line="240"/>
        <w:jc w:val="both"/>
        <w:rPr>
          <w:rFonts w:ascii="Times New Roman" w:hAnsi="Times New Roman"/>
        </w:rPr>
      </w:pPr>
      <w:r>
        <w:rPr>
          <w:rFonts w:ascii="Times New Roman" w:hAnsi="Times New Roman"/>
        </w:rPr>
        <w:t>It is important to emphasise the clinical significance of brain tumour diagnosis being correctly established. The potential consequences of late or misdiagnosis include limited treatment alternatives, poor prognosis, higher healthcare expenditures, &amp; significantly diminished quality of life for both patients &amp; their families. The implementation of automated systems with equal or superior accuracy to humans may bring about several advantages: faster diagnosis due to prompt preliminary diagnosis; decision-making support where there are no experienced radiologists to make such decisions; uniformity of diagnoses made due to the lack of inter-reader variation; as well as freeing up the work of radiologists who should only attend to challenging cases requiring an expert opinion [13], [14]. This problem has especially high significance in India. Recent workforce studies indicate that there is only one radiologist per 100,000 people in the country, although the optimal rate would be one per 10,000, which implies a shortage of almost 90%. Consequently, most district &amp; community healthcare facilities have no radiologists at all. In addition, even in places where radiologists are available, the speciality of neuroradiology is uncommonly trained, &amp; brain tumours can only be accurately diagnosed in very specialised tertiary care hospitals. Thus, automated diagnostic systems would be especially important for tackling the problem of medical accessibility in India, which ranges from urban slums to rural areas, such as the ones found in Uttar Pradesh, Bihar, Madhya Pradesh, &amp; North-Eastern regions [27].</w:t>
      </w:r>
    </w:p>
    <w:p>
      <w:pPr>
        <w:pStyle w:val="BodyText"/>
        <w:spacing w:lineRule="auto" w:line="240"/>
        <w:jc w:val="both"/>
        <w:rPr>
          <w:rFonts w:ascii="Times New Roman" w:hAnsi="Times New Roman"/>
        </w:rPr>
      </w:pPr>
      <w:r>
        <w:rPr>
          <w:rFonts w:ascii="Times New Roman" w:hAnsi="Times New Roman"/>
        </w:rPr>
        <w:t>The purpose of this paper is to achieve several objectives. Firstly, the implementation of nine deep learning models that are varied in nature from traditional convolutional neural networks (ResNet50, VGG16, DenseNet121) to more efficient networks (EfficientNetB0, MobileNetV3-Large, InceptionV3) as well as transformers (ViT-B/16, Swin Transformer Base, CoaTNet-0). Secondly, establishing a common testing protocol based on the use of the same train-test splits, similar preprocessing approaches including perceptual hashing for deduplication of images, &amp; comparable hyper-parameters for all of the models. Thirdly, the assessment of models' performance by the means of clinical performance metrics such as accuracy, AUC-ROC score, cross-entropy loss function, &amp; efficiency metrics like parameter count &amp; training time. Fourthly, the exploration of architectural trends in the field of brain tumour analysis in order to find out whether residual, dense, multi-scale, attention-based designs, or neural architecture search can improve performance. Fifthly, evidence-based recommendations on the model selection for different scenarios based on the trade-off between accuracy &amp; efficiency.</w:t>
      </w:r>
    </w:p>
    <w:p>
      <w:pPr>
        <w:pStyle w:val="Heading2"/>
        <w:numPr>
          <w:ilvl w:val="0"/>
          <w:numId w:val="0"/>
        </w:numPr>
        <w:ind w:hanging="0" w:start="0"/>
        <w:jc w:val="both"/>
        <w:rPr>
          <w:rFonts w:ascii="Times New Roman" w:hAnsi="Times New Roman" w:eastAsia="NSimSun"/>
          <w:b w:val="false"/>
          <w:bCs w:val="false"/>
          <w:sz w:val="24"/>
          <w:szCs w:val="24"/>
        </w:rPr>
      </w:pPr>
      <w:r>
        <w:rPr>
          <w:rFonts w:eastAsia="NSimSun" w:ascii="Times New Roman" w:hAnsi="Times New Roman"/>
          <w:b w:val="false"/>
          <w:bCs w:val="false"/>
          <w:sz w:val="24"/>
          <w:szCs w:val="24"/>
        </w:rPr>
        <w:t>The rest of this paper is structured as follows. In Section 2, we give an extensive review of existing studies in related areas, such as conventional machine learning, CNNs, transformers, &amp; past work on brain tumour classifications, to explain how our study contributes towards filling the gaps in existing knowledge. In Section 3, we describe in detail all aspects of our methodology in terms of the way the datasets were prepared, their de-duplication using perceptual hashing, preprocessing &amp; augmentation, model architecture, &amp; experimental setups using hardware &amp; software tools, along with their parameters. In Section 4, we present &amp; discuss the results of our experiments for both binary detection &amp; multi-class classification tasks, including analysis of the training process &amp; testing of our method under different conditions. In Section 5, we discuss the limitations of our study along with potential future directions to address them. In Section 6, we touch upon the ethical aspects of deploying our solution in a clinical setting, specifically within India &amp; other countries as well.</w:t>
      </w:r>
    </w:p>
    <w:p>
      <w:pPr>
        <w:pStyle w:val="Heading2"/>
        <w:numPr>
          <w:ilvl w:val="0"/>
          <w:numId w:val="0"/>
        </w:numPr>
        <w:ind w:hanging="0" w:start="0"/>
        <w:jc w:val="both"/>
        <w:rPr>
          <w:rFonts w:ascii="Times New Roman" w:hAnsi="Times New Roman"/>
        </w:rPr>
      </w:pPr>
      <w:r>
        <w:rPr>
          <w:rFonts w:ascii="Times New Roman" w:hAnsi="Times New Roman"/>
        </w:rPr>
        <w:t>2. Literature Review</w:t>
      </w:r>
    </w:p>
    <w:p>
      <w:pPr>
        <w:pStyle w:val="BodyText"/>
        <w:spacing w:lineRule="auto" w:line="240"/>
        <w:jc w:val="both"/>
        <w:rPr>
          <w:rFonts w:ascii="Times New Roman" w:hAnsi="Times New Roman"/>
        </w:rPr>
      </w:pPr>
      <w:r>
        <w:rPr>
          <w:rFonts w:ascii="Times New Roman" w:hAnsi="Times New Roman"/>
        </w:rPr>
        <w:t>Previous works on automated brain tumour recognition were based on feature engineering followed by machine learning classifiers. Such works have used texture descriptors like GLCM &amp; LBP; wavelets like DWT; morphological features related to shape, size, &amp; boundary; &amp; classifiers like SVM, Random Forests, &amp; k-NN [2], [3]. In their work, Zacharaki et al. [1] obtained around 85% accuracy using texture features &amp; SVM classifier on a small set of 80 images for tumour type recognition. Cheng et al. [5] suggested a tumour region enhancement approach that yielded 90% accuracy using intensity, texture, &amp; shape features along with SVM classifier on 3064 MRI images. Although promising, such methods faced challenges due to the limitations of feature engineering, inability to generalise to different datasets, &amp; lack of automatic learning of hierarchical structures.</w:t>
      </w:r>
    </w:p>
    <w:p>
      <w:pPr>
        <w:pStyle w:val="BodyText"/>
        <w:spacing w:lineRule="auto" w:line="240"/>
        <w:jc w:val="both"/>
        <w:rPr>
          <w:rFonts w:ascii="Times New Roman" w:hAnsi="Times New Roman"/>
        </w:rPr>
      </w:pPr>
      <w:r>
        <w:rPr>
          <w:rFonts w:ascii="Times New Roman" w:hAnsi="Times New Roman"/>
        </w:rPr>
        <w:t>The revolution by AlexNet in 2012 propelled the implementation of deep learning in medical imaging applications. The successive CNN models have improved their performances by introducing better architectures. Residual connections were incorporated into CNN models, thereby making it possible to train very deep networks by solving the vanishing gradients issue by He et al. [6]. ResNet50 became a standard model for medical image classification with the reports of 95-98% accuracy for classifying brain tumours. Using transfer learning technique on ResNet50 model, Seetha &amp; Raja [12] achieved an accuracy of 97.5% for the classification of 253 MRI brain images. The researchers demonstrated the improvement in model performances by incrementing its depth while keeping small convolutional filters (3 × 3). However, due to its huge parameters (138 million), VGG16 is computationally intensive &amp; vulnerable to over-fitting when applied to small medical datasets. For instance, in their work, Khan et al. [23] reported 98.69% accuracy using VGG16 with the number of samples of 3,064. Huang et al. [9] introduced densely connected layers where each layer receives input from all previous layers. Consequently, DenseNet121 became more efficient with parameter count while having better performance in medical imaging tasks (accuracies of 96-98%). Szegedy et al. [7] presented parallel convolutions with varying dimensions (1×1, 3×3, 5×5) that allowed the model to learn from multi-level features. InceptionV3 was able to reach 97.5% accuracy in classifying brain tumours, as cited by Deepak &amp; Ameer [15]. Moreover, Rehman et al. [25] obtained a high classification rate of 99.34% accuracy via transfer learning. Tan &amp; Le [18] introduced a method for scaling up the network dimensionality (depth, width, &amp; resolution) using neural architecture search to obtain better accuracy using much fewer parameters than other models. EfficientNetB0 uses only 10× the number of parameters used by ResNet50. Furthermore, Howard et al. [19] created lightweight neural networks based on depth-wise separable convolutions for mobile &amp; edge devices.</w:t>
      </w:r>
    </w:p>
    <w:p>
      <w:pPr>
        <w:pStyle w:val="BodyText"/>
        <w:spacing w:lineRule="auto" w:line="240"/>
        <w:jc w:val="both"/>
        <w:rPr>
          <w:rFonts w:ascii="Times New Roman" w:hAnsi="Times New Roman"/>
        </w:rPr>
      </w:pPr>
      <w:r>
        <w:rPr>
          <w:rFonts w:ascii="Times New Roman" w:hAnsi="Times New Roman"/>
        </w:rPr>
        <w:t>Dosovitskiy et al. [28] leveraged transformer models for visual tasks by framing images as patch sequences (16×16 pixels). The ViT-B/16 variant performed comparably with CNNs on large-scale data sets (ImageNet, JFT-300M) but needed significant pre-training &amp; exhibited drawbacks on small medical data sets because of a lack of built-in inductive biases. Liu et al. [29] proposed hierarchical transformers using shifted windows to process images efficiently at multiple scales without sacrificing linear complexity concerning image resolution. Swin Transformers performed impressively on ImageNet data sets. They have been investigated for their applications in medical image processing too. The hierarchical window attention in Swin Transformers enables the model to learn about the local boundaries of tumours &amp; the overall structure from the MRIs. CoaTNet is an example by Xu et al. [30], which employs convolution &amp; attention simultaneously in one model.</w:t>
      </w:r>
    </w:p>
    <w:p>
      <w:pPr>
        <w:pStyle w:val="BodyText"/>
        <w:spacing w:lineRule="auto" w:line="240"/>
        <w:jc w:val="both"/>
        <w:rPr>
          <w:rFonts w:ascii="Times New Roman" w:hAnsi="Times New Roman"/>
        </w:rPr>
      </w:pPr>
      <w:r>
        <w:rPr>
          <w:rFonts w:ascii="Times New Roman" w:hAnsi="Times New Roman"/>
        </w:rPr>
        <w:t>Recent studies applying these architectures to brain tumour detection include the comparative summary presented in Table I.</w:t>
      </w:r>
    </w:p>
    <w:p>
      <w:pPr>
        <w:pStyle w:val="BodyText"/>
        <w:spacing w:lineRule="auto" w:line="240"/>
        <w:jc w:val="both"/>
        <w:rPr>
          <w:rFonts w:ascii="Times New Roman" w:hAnsi="Times New Roman"/>
        </w:rPr>
      </w:pPr>
      <w:r>
        <w:rPr>
          <w:rFonts w:ascii="Times New Roman" w:hAnsi="Times New Roman"/>
          <w:b/>
        </w:rPr>
        <w:t>TABLE I</w:t>
      </w:r>
      <w:r>
        <w:rPr>
          <w:rFonts w:ascii="Times New Roman" w:hAnsi="Times New Roman"/>
        </w:rPr>
        <w:t> </w:t>
      </w:r>
      <w:r>
        <w:rPr>
          <w:rFonts w:ascii="Times New Roman" w:hAnsi="Times New Roman"/>
          <w:b/>
        </w:rPr>
        <w:t>COMPARISON OF EXISTING STUDIES FOR BRAIN TUMOUR DETECTION</w:t>
      </w:r>
    </w:p>
    <w:tbl>
      <w:tblPr>
        <w:tblW w:w="9637" w:type="dxa"/>
        <w:jc w:val="start"/>
        <w:tblInd w:w="-5" w:type="dxa"/>
        <w:tblLayout w:type="fixed"/>
        <w:tblCellMar>
          <w:top w:w="55" w:type="dxa"/>
          <w:start w:w="55" w:type="dxa"/>
          <w:bottom w:w="55" w:type="dxa"/>
          <w:end w:w="55" w:type="dxa"/>
        </w:tblCellMar>
        <w:tblLook w:val="04a0" w:firstRow="1" w:noVBand="1" w:lastRow="0" w:firstColumn="1" w:lastColumn="0" w:noHBand="0"/>
      </w:tblPr>
      <w:tblGrid>
        <w:gridCol w:w="3530"/>
        <w:gridCol w:w="1938"/>
        <w:gridCol w:w="1558"/>
        <w:gridCol w:w="1363"/>
        <w:gridCol w:w="1248"/>
      </w:tblGrid>
      <w:tr>
        <w:trPr>
          <w:tblHeader w:val="true"/>
        </w:trPr>
        <w:tc>
          <w:tcPr>
            <w:tcW w:w="3530"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Study</w:t>
            </w:r>
          </w:p>
        </w:tc>
        <w:tc>
          <w:tcPr>
            <w:tcW w:w="1938"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Model</w:t>
            </w:r>
          </w:p>
        </w:tc>
        <w:tc>
          <w:tcPr>
            <w:tcW w:w="1558"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Dataset Size</w:t>
            </w:r>
          </w:p>
        </w:tc>
        <w:tc>
          <w:tcPr>
            <w:tcW w:w="1363"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Task</w:t>
            </w:r>
          </w:p>
        </w:tc>
        <w:tc>
          <w:tcPr>
            <w:tcW w:w="1248" w:type="dxa"/>
            <w:tcBorders>
              <w:top w:val="single" w:sz="4" w:space="0" w:color="000000"/>
              <w:start w:val="single" w:sz="4" w:space="0" w:color="000000"/>
              <w:bottom w:val="single" w:sz="4" w:space="0" w:color="000000"/>
              <w:end w:val="single" w:sz="4" w:space="0" w:color="000000"/>
            </w:tcBorders>
          </w:tcPr>
          <w:p>
            <w:pPr>
              <w:pStyle w:val="TableHeading"/>
              <w:jc w:val="both"/>
              <w:rPr>
                <w:rFonts w:ascii="Times New Roman" w:hAnsi="Times New Roman"/>
              </w:rPr>
            </w:pPr>
            <w:r>
              <w:rPr>
                <w:rFonts w:ascii="Times New Roman" w:hAnsi="Times New Roman"/>
              </w:rPr>
              <w:t>Accuracy</w:t>
            </w:r>
          </w:p>
        </w:tc>
      </w:tr>
      <w:tr>
        <w:trPr/>
        <w:tc>
          <w:tcPr>
            <w:tcW w:w="353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Talo et al. (2019) [16]</w:t>
            </w:r>
          </w:p>
        </w:tc>
        <w:tc>
          <w:tcPr>
            <w:tcW w:w="1938"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ResNet50</w:t>
            </w:r>
          </w:p>
        </w:tc>
        <w:tc>
          <w:tcPr>
            <w:tcW w:w="1558"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253</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Binary</w:t>
            </w:r>
          </w:p>
        </w:tc>
        <w:tc>
          <w:tcPr>
            <w:tcW w:w="1248"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95.23%</w:t>
            </w:r>
          </w:p>
        </w:tc>
      </w:tr>
      <w:tr>
        <w:trPr/>
        <w:tc>
          <w:tcPr>
            <w:tcW w:w="353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Khan et al. (2020) [23]</w:t>
            </w:r>
          </w:p>
        </w:tc>
        <w:tc>
          <w:tcPr>
            <w:tcW w:w="1938"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VGG16</w:t>
            </w:r>
          </w:p>
        </w:tc>
        <w:tc>
          <w:tcPr>
            <w:tcW w:w="1558"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3,064</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Binary</w:t>
            </w:r>
          </w:p>
        </w:tc>
        <w:tc>
          <w:tcPr>
            <w:tcW w:w="1248"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98.69%</w:t>
            </w:r>
          </w:p>
        </w:tc>
      </w:tr>
      <w:tr>
        <w:trPr/>
        <w:tc>
          <w:tcPr>
            <w:tcW w:w="353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Noreen et al. (2020) [24]</w:t>
            </w:r>
          </w:p>
        </w:tc>
        <w:tc>
          <w:tcPr>
            <w:tcW w:w="1938"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DenseNet121</w:t>
            </w:r>
          </w:p>
        </w:tc>
        <w:tc>
          <w:tcPr>
            <w:tcW w:w="1558"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3,064</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Binary</w:t>
            </w:r>
          </w:p>
        </w:tc>
        <w:tc>
          <w:tcPr>
            <w:tcW w:w="1248"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99.51%</w:t>
            </w:r>
          </w:p>
        </w:tc>
      </w:tr>
      <w:tr>
        <w:trPr/>
        <w:tc>
          <w:tcPr>
            <w:tcW w:w="353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Rehman et al. (2020) [25]</w:t>
            </w:r>
          </w:p>
        </w:tc>
        <w:tc>
          <w:tcPr>
            <w:tcW w:w="1938"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InceptionV3</w:t>
            </w:r>
          </w:p>
        </w:tc>
        <w:tc>
          <w:tcPr>
            <w:tcW w:w="1558"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3,064</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Binary</w:t>
            </w:r>
          </w:p>
        </w:tc>
        <w:tc>
          <w:tcPr>
            <w:tcW w:w="1248"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99.34%</w:t>
            </w:r>
          </w:p>
        </w:tc>
      </w:tr>
      <w:tr>
        <w:trPr/>
        <w:tc>
          <w:tcPr>
            <w:tcW w:w="353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Ghassemi et al. (2020) [26]</w:t>
            </w:r>
          </w:p>
        </w:tc>
        <w:tc>
          <w:tcPr>
            <w:tcW w:w="1938"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EfficientNet</w:t>
            </w:r>
          </w:p>
        </w:tc>
        <w:tc>
          <w:tcPr>
            <w:tcW w:w="1558"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3,064</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Binary</w:t>
            </w:r>
          </w:p>
        </w:tc>
        <w:tc>
          <w:tcPr>
            <w:tcW w:w="1248"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98.87%</w:t>
            </w:r>
          </w:p>
        </w:tc>
      </w:tr>
      <w:tr>
        <w:trPr/>
        <w:tc>
          <w:tcPr>
            <w:tcW w:w="353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Cheng et al. (2015) [5]</w:t>
            </w:r>
          </w:p>
        </w:tc>
        <w:tc>
          <w:tcPr>
            <w:tcW w:w="1938"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SVM + Features</w:t>
            </w:r>
          </w:p>
        </w:tc>
        <w:tc>
          <w:tcPr>
            <w:tcW w:w="1558"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3,064</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Multi-class</w:t>
            </w:r>
          </w:p>
        </w:tc>
        <w:tc>
          <w:tcPr>
            <w:tcW w:w="1248"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90.00%</w:t>
            </w:r>
          </w:p>
        </w:tc>
      </w:tr>
      <w:tr>
        <w:trPr/>
        <w:tc>
          <w:tcPr>
            <w:tcW w:w="353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Deepak &amp; Ameer (2019) [15]</w:t>
            </w:r>
          </w:p>
        </w:tc>
        <w:tc>
          <w:tcPr>
            <w:tcW w:w="1938"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InceptionV3</w:t>
            </w:r>
          </w:p>
        </w:tc>
        <w:tc>
          <w:tcPr>
            <w:tcW w:w="1558"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3,064</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Multi-class</w:t>
            </w:r>
          </w:p>
        </w:tc>
        <w:tc>
          <w:tcPr>
            <w:tcW w:w="1248"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97.50%</w:t>
            </w:r>
          </w:p>
        </w:tc>
      </w:tr>
    </w:tbl>
    <w:p>
      <w:pPr>
        <w:pStyle w:val="Heading2"/>
        <w:numPr>
          <w:ilvl w:val="0"/>
          <w:numId w:val="0"/>
        </w:numPr>
        <w:ind w:hanging="0" w:start="0"/>
        <w:jc w:val="both"/>
        <w:rPr>
          <w:rFonts w:ascii="Times New Roman" w:hAnsi="Times New Roman" w:eastAsia="NSimSun"/>
          <w:b w:val="false"/>
          <w:bCs w:val="false"/>
          <w:sz w:val="24"/>
          <w:szCs w:val="24"/>
        </w:rPr>
      </w:pPr>
      <w:r>
        <w:rPr>
          <w:rFonts w:eastAsia="NSimSun" w:ascii="Times New Roman" w:hAnsi="Times New Roman"/>
          <w:b w:val="false"/>
          <w:bCs w:val="false"/>
          <w:sz w:val="24"/>
          <w:szCs w:val="24"/>
        </w:rPr>
        <w:t>However, there are still some open issues that need to be addressed. Cross-architecture comparison is hard because each research paper examines not more than 2 or 3 models. Dataset heterogeneity is also an obstacle because of the differences between the split schemes, preprocessing, &amp; evaluation of datasets utilised within each paper. Transformer under-representation is one more problem because current papers deal mainly with CNN-based models. Reproducibility can also be questioned because researchers usually do not provide their source code as well as pre-trained models. Incomplete deduplication is another gap – most papers do not consider the presence of duplicates in their combined dataset. This paper will attempt to fill some of the mentioned gaps because it uses nine architectures in the same conditions; combines datasets from various papers; applies the deduplication approach (perceptual hashing); provides complete &amp; reproducible code; considers CNN &amp; transformer models; presents a thorough analysis of the results obtained for binary &amp; multi-class tasks; provides standardised evaluation schemes.</w:t>
      </w:r>
    </w:p>
    <w:p>
      <w:pPr>
        <w:pStyle w:val="Heading2"/>
        <w:numPr>
          <w:ilvl w:val="0"/>
          <w:numId w:val="0"/>
        </w:numPr>
        <w:ind w:hanging="0" w:start="0"/>
        <w:jc w:val="both"/>
        <w:rPr>
          <w:rFonts w:ascii="Times New Roman" w:hAnsi="Times New Roman"/>
        </w:rPr>
      </w:pPr>
      <w:r>
        <w:rPr>
          <w:rFonts w:ascii="Times New Roman" w:hAnsi="Times New Roman"/>
        </w:rPr>
        <w:t>3. Methods &amp; Materials</w:t>
      </w:r>
    </w:p>
    <w:p>
      <w:pPr>
        <w:pStyle w:val="BodyText"/>
        <w:spacing w:lineRule="auto" w:line="240"/>
        <w:jc w:val="both"/>
        <w:rPr>
          <w:rFonts w:ascii="Times New Roman" w:hAnsi="Times New Roman"/>
        </w:rPr>
      </w:pPr>
      <w:r>
        <w:rPr>
          <w:rFonts w:ascii="Times New Roman" w:hAnsi="Times New Roman"/>
        </w:rPr>
        <w:t>For the binary brain tumour detection task, which requires classifying MRI images as either containing a tumour (positive) or being tumour-free (negative), we combined two publicly available brain MRI datasets sourced from the Kaggle platform. Dataset 1, Brain MRI Images for Brain Tumour Detection, was contributed by Navoneel Chakrabarty &amp; contains 253 MRI images in total, with 155 labelled as tumour-positive &amp; 98 as tumour-negative. The images represent a mix of T1-weighted &amp; T2-weighted sequences, though specific sequence information is not uniformly provided. Dataset 2, Brain Tumour Detection, was contributed by Ahmed Hamada &amp; contains a substantially larger collection of 3,000 MRI images, with a perfectly balanced class distribution of 1,500 tumour-positive &amp; 1,500 tumour-negative images.</w:t>
      </w:r>
    </w:p>
    <w:p>
      <w:pPr>
        <w:pStyle w:val="BodyText"/>
        <w:spacing w:lineRule="auto" w:line="240"/>
        <w:jc w:val="center"/>
        <w:rPr>
          <w:b/>
          <w:bCs/>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170624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6120130" cy="1706245"/>
                    </a:xfrm>
                    <a:prstGeom prst="rect">
                      <a:avLst/>
                    </a:prstGeom>
                    <a:noFill/>
                  </pic:spPr>
                </pic:pic>
              </a:graphicData>
            </a:graphic>
          </wp:anchor>
        </w:drawing>
      </w:r>
      <w:r>
        <w:rPr>
          <w:rFonts w:ascii="Times New Roman" w:hAnsi="Times New Roman"/>
          <w:b/>
          <w:bCs/>
        </w:rPr>
        <w:t>Binary Detection: Sample Brain MRI Images</w:t>
      </w:r>
    </w:p>
    <w:p>
      <w:pPr>
        <w:pStyle w:val="BodyText"/>
        <w:spacing w:lineRule="auto" w:line="240"/>
        <w:jc w:val="both"/>
        <w:rPr>
          <w:rFonts w:ascii="Times New Roman" w:hAnsi="Times New Roman"/>
        </w:rPr>
      </w:pPr>
      <w:r>
        <w:rPr>
          <w:rFonts w:ascii="Times New Roman" w:hAnsi="Times New Roman"/>
        </w:rPr>
        <w:t>The images are provided in JPEG format &amp; have been pre-cropped to focus on the brain region, though some variability in field of view &amp; image resolution exists across samples. The combined binary dataset therefore comprised 3,253 images, with 1,598 non-tumour images (49.1%) &amp; 1,655 tumour-positive images (50.9%).</w:t>
      </w:r>
    </w:p>
    <w:p>
      <w:pPr>
        <w:pStyle w:val="BodyText"/>
        <w:spacing w:lineRule="auto" w:line="240"/>
        <w:jc w:val="center"/>
        <w:rPr>
          <w:b/>
          <w:bCs/>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3779520"/>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6120130" cy="3779520"/>
                    </a:xfrm>
                    <a:prstGeom prst="rect">
                      <a:avLst/>
                    </a:prstGeom>
                    <a:noFill/>
                  </pic:spPr>
                </pic:pic>
              </a:graphicData>
            </a:graphic>
          </wp:anchor>
        </w:drawing>
      </w:r>
      <w:r>
        <w:rPr>
          <w:rFonts w:ascii="Times New Roman" w:hAnsi="Times New Roman"/>
          <w:b/>
          <w:bCs/>
        </w:rPr>
        <w:t>Binary Detection: Dataset Class Distribution</w:t>
      </w:r>
    </w:p>
    <w:p>
      <w:pPr>
        <w:pStyle w:val="BodyText"/>
        <w:spacing w:lineRule="auto" w:line="240"/>
        <w:jc w:val="both"/>
        <w:rPr>
          <w:rFonts w:ascii="Times New Roman" w:hAnsi="Times New Roman"/>
        </w:rPr>
      </w:pPr>
      <w:r>
        <w:rPr>
          <w:rFonts w:ascii="Times New Roman" w:hAnsi="Times New Roman"/>
        </w:rPr>
        <w:t>This near-perfect balance prevents the model from exploiting class imbalance &amp; ensures that chance-level accuracy remains at 50%. For the more challenging multi-class classification task, where the model must distinguish between glioma, meningioma, &amp; pituitary tumours, we combined two publicly available brain tumour MRI datasets. Dataset 1, Sartaj Bhuvaji’s Brain Tumour Classification MRI, provides a structured collection with separate training &amp; testing folders organised into three class subdirectories, with all images in JPEG format at a consistent 224×224 pixels.</w:t>
      </w:r>
    </w:p>
    <w:p>
      <w:pPr>
        <w:pStyle w:val="BodyText"/>
        <w:spacing w:lineRule="auto" w:line="240"/>
        <w:jc w:val="center"/>
        <w:rPr>
          <w:b/>
          <w:bCs/>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4005580"/>
            <wp:effectExtent l="0" t="0" r="0" b="0"/>
            <wp:wrapTopAndBottom/>
            <wp:docPr id="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pic:cNvPicPr>
                      <a:picLocks noChangeAspect="1" noChangeArrowheads="1"/>
                    </pic:cNvPicPr>
                  </pic:nvPicPr>
                  <pic:blipFill>
                    <a:blip r:embed="rId7"/>
                    <a:stretch>
                      <a:fillRect/>
                    </a:stretch>
                  </pic:blipFill>
                  <pic:spPr bwMode="auto">
                    <a:xfrm>
                      <a:off x="0" y="0"/>
                      <a:ext cx="6120130" cy="4005580"/>
                    </a:xfrm>
                    <a:prstGeom prst="rect">
                      <a:avLst/>
                    </a:prstGeom>
                    <a:noFill/>
                  </pic:spPr>
                </pic:pic>
              </a:graphicData>
            </a:graphic>
          </wp:anchor>
        </w:drawing>
      </w:r>
      <w:r>
        <w:rPr>
          <w:rFonts w:hint="eastAsia" w:ascii="Times New Roman" w:hAnsi="Times New Roman"/>
          <w:b/>
          <w:bCs/>
        </w:rPr>
        <w:t>Classification: Sample MRI by Tumour Type</w:t>
      </w:r>
    </w:p>
    <w:p>
      <w:pPr>
        <w:pStyle w:val="BodyText"/>
        <w:spacing w:lineRule="auto" w:line="240"/>
        <w:jc w:val="both"/>
        <w:rPr>
          <w:rFonts w:ascii="Times New Roman" w:hAnsi="Times New Roman"/>
        </w:rPr>
      </w:pPr>
      <w:r>
        <w:rPr>
          <w:rFonts w:hint="eastAsia" w:ascii="Times New Roman" w:hAnsi="Times New Roman"/>
        </w:rPr>
        <w:t>Images of the brain tumours in question taken from the Jun Cheng's Brain Tumour MRI Dataset were in the form of JPEG. Our merged multi-class dataset prior to deduplication consisted of 5,828 images; glioma being the largest subset at 40.4%, making up 2,352 images, meningioma at 28.2% &amp; having 1,645 images, &amp; pituitary making up for 31.4% with 1,831 images.</w:t>
      </w:r>
    </w:p>
    <w:p>
      <w:pPr>
        <w:pStyle w:val="BodyText"/>
        <w:spacing w:lineRule="auto" w:line="240"/>
        <w:jc w:val="center"/>
        <w:rPr>
          <w:b/>
          <w:bCs/>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130" cy="3974465"/>
            <wp:effectExtent l="0" t="0" r="0" b="0"/>
            <wp:wrapTopAndBottom/>
            <wp:docPr id="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pic:cNvPicPr>
                      <a:picLocks noChangeAspect="1" noChangeArrowheads="1"/>
                    </pic:cNvPicPr>
                  </pic:nvPicPr>
                  <pic:blipFill>
                    <a:blip r:embed="rId8"/>
                    <a:stretch>
                      <a:fillRect/>
                    </a:stretch>
                  </pic:blipFill>
                  <pic:spPr bwMode="auto">
                    <a:xfrm>
                      <a:off x="0" y="0"/>
                      <a:ext cx="6120130" cy="3974465"/>
                    </a:xfrm>
                    <a:prstGeom prst="rect">
                      <a:avLst/>
                    </a:prstGeom>
                    <a:noFill/>
                  </pic:spPr>
                </pic:pic>
              </a:graphicData>
            </a:graphic>
          </wp:anchor>
        </w:drawing>
      </w:r>
      <w:r>
        <w:rPr>
          <w:rFonts w:hint="eastAsia" w:ascii="Times New Roman" w:hAnsi="Times New Roman"/>
          <w:b/>
          <w:bCs/>
        </w:rPr>
        <w:t>Classification: Class Distribution Before Deduplication</w:t>
      </w:r>
    </w:p>
    <w:p>
      <w:pPr>
        <w:pStyle w:val="BodyText"/>
        <w:spacing w:lineRule="auto" w:line="240"/>
        <w:jc w:val="both"/>
        <w:rPr>
          <w:rFonts w:ascii="Times New Roman" w:hAnsi="Times New Roman"/>
        </w:rPr>
      </w:pPr>
      <w:r>
        <w:rPr>
          <w:rFonts w:hint="eastAsia" w:ascii="Times New Roman" w:hAnsi="Times New Roman"/>
        </w:rPr>
        <w:t>As for the process of collecting data, we relied on custom-made Python functions which would traverse through our directories in recursive order, grab appropriate image files &amp; extract their classes based on folder names. All files ending with any of the following extensions: .jpg, .jpeg, .png or .tif were considered valid image files; everything else was ignored by default. The collected data was saved as Pandas DataFrames.</w:t>
      </w:r>
      <w:r>
        <w:rPr>
          <w:rFonts w:ascii="Times New Roman" w:hAnsi="Times New Roman"/>
        </w:rPr>
        <w:t xml:space="preserve"> </w:t>
      </w:r>
      <w:r>
        <w:rPr>
          <w:rFonts w:hint="eastAsia" w:ascii="Times New Roman" w:hAnsi="Times New Roman"/>
        </w:rPr>
        <w:t>What sets our multi-class data apart from all others is the need for systematic deduplication of our images. When working with multiple datasets, there is always a possibility of getting duplicates or images of similar content that have only been re-sized or compressed differently.</w:t>
      </w:r>
      <w:r>
        <w:rPr>
          <w:rFonts w:ascii="Times New Roman" w:hAnsi="Times New Roman"/>
        </w:rPr>
        <w:t xml:space="preserve"> These near-duplicates, if inadvertently distributed across training &amp; test splits, constitute a form of data leakage that artificially inflates reported performance metrics. To address this, we employed perceptual hashing (pHash), which generates a compact fingerprint for each image that is robust to resizing, compression, slight rotations, &amp; minor contrast or colour adjustments. Specifically, we generated 64-bit perceptual hashes using the ImageHash library. The Hamming distance between two hash values served as a similarity metric. We adopted a tolerance threshold of 5: any pair of images with a Hamming distance of 5 or less (differing in at most 5 bits out of 64) were considered near-duplicates, &amp; all but one representative were removed from the dataset. The rationale for rigorous deduplication is multi-fold: multiple public datasets often contain the same underlying images because they derive from common original sources such as the TCIA or the Figshare brain tumour collection; near-duplicates cause data leakage if present across train &amp; test splits; &amp; removal of duplicates ensures that reported performance metrics reflect true generalisation capability. After applying perceptual hashing deduplication, the glioma class decreased from 2,352 to 2,000 images (a 15.0% reduction), meningioma from 1,645 to 1,304 (20.7%), &amp; pituitary from 1,831 to 1,401 (23.5%). Overall, the total multi-class dataset was reduced from 5,828 to 4,705 images, a 19.3% reduction.</w:t>
      </w:r>
    </w:p>
    <w:p>
      <w:pPr>
        <w:pStyle w:val="BodyText"/>
        <w:spacing w:lineRule="auto" w:line="240"/>
        <w:jc w:val="center"/>
        <w:rPr>
          <w:b/>
          <w:bCs/>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166995" cy="3505200"/>
            <wp:effectExtent l="0" t="0" r="0" b="0"/>
            <wp:wrapTopAndBottom/>
            <wp:docPr id="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
                    <pic:cNvPicPr>
                      <a:picLocks noChangeAspect="1" noChangeArrowheads="1"/>
                    </pic:cNvPicPr>
                  </pic:nvPicPr>
                  <pic:blipFill>
                    <a:blip r:embed="rId9"/>
                    <a:stretch>
                      <a:fillRect/>
                    </a:stretch>
                  </pic:blipFill>
                  <pic:spPr bwMode="auto">
                    <a:xfrm>
                      <a:off x="0" y="0"/>
                      <a:ext cx="5166995" cy="3505200"/>
                    </a:xfrm>
                    <a:prstGeom prst="rect">
                      <a:avLst/>
                    </a:prstGeom>
                    <a:noFill/>
                  </pic:spPr>
                </pic:pic>
              </a:graphicData>
            </a:graphic>
          </wp:anchor>
        </w:drawing>
      </w:r>
      <w:r>
        <w:rPr>
          <w:rFonts w:ascii="Times New Roman" w:hAnsi="Times New Roman"/>
          <w:b/>
          <w:bCs/>
        </w:rPr>
        <w:t>Classification: Dataset Size Comparison Deduplication</w:t>
      </w:r>
    </w:p>
    <w:p>
      <w:pPr>
        <w:pStyle w:val="BodyText"/>
        <w:spacing w:lineRule="auto" w:line="240"/>
        <w:jc w:val="both"/>
        <w:rPr>
          <w:rFonts w:ascii="Times New Roman" w:hAnsi="Times New Roman"/>
        </w:rPr>
      </w:pPr>
      <w:r>
        <w:rPr>
          <w:rFonts w:ascii="Times New Roman" w:hAnsi="Times New Roman"/>
        </w:rPr>
        <w:t>The final class distribution was glioma 2,000 (42.5%), meningioma 1,304 (27.7%), &amp; pituitary 1,401 (29.8%).</w:t>
      </w:r>
    </w:p>
    <w:p>
      <w:pPr>
        <w:pStyle w:val="BodyText"/>
        <w:spacing w:lineRule="auto" w:line="240"/>
        <w:jc w:val="center"/>
        <w:rPr>
          <w:b/>
          <w:bCs/>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20130" cy="4049395"/>
            <wp:effectExtent l="0" t="0" r="0" b="0"/>
            <wp:wrapTopAndBottom/>
            <wp:docPr id="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pic:cNvPicPr>
                      <a:picLocks noChangeAspect="1" noChangeArrowheads="1"/>
                    </pic:cNvPicPr>
                  </pic:nvPicPr>
                  <pic:blipFill>
                    <a:blip r:embed="rId10"/>
                    <a:stretch>
                      <a:fillRect/>
                    </a:stretch>
                  </pic:blipFill>
                  <pic:spPr bwMode="auto">
                    <a:xfrm>
                      <a:off x="0" y="0"/>
                      <a:ext cx="6120130" cy="4049395"/>
                    </a:xfrm>
                    <a:prstGeom prst="rect">
                      <a:avLst/>
                    </a:prstGeom>
                    <a:noFill/>
                  </pic:spPr>
                </pic:pic>
              </a:graphicData>
            </a:graphic>
          </wp:anchor>
        </w:drawing>
      </w:r>
      <w:r>
        <w:rPr>
          <w:rFonts w:ascii="Times New Roman" w:hAnsi="Times New Roman"/>
          <w:b/>
          <w:bCs/>
        </w:rPr>
        <w:t>Classification:  Class Distribution After Deduplication</w:t>
      </w:r>
    </w:p>
    <w:p>
      <w:pPr>
        <w:pStyle w:val="BodyText"/>
        <w:jc w:val="both"/>
        <w:rPr>
          <w:rFonts w:ascii="Times New Roman" w:hAnsi="Times New Roman"/>
        </w:rPr>
      </w:pPr>
      <w:r>
        <w:rPr>
          <w:rFonts w:hint="eastAsia" w:ascii="Times New Roman" w:hAnsi="Times New Roman"/>
        </w:rPr>
        <w:t>Stratification was employed for both splits in order to ensure that all of the samples had a representative distribution of the classes. In the case of binary detection, 3,253 images were divided up into 70%/15%/15% training/validation/testing splits, which resulted in datasets consisting of 2,277, 488, &amp; 488 images, respectively. With regard to multi-class classification, the same 70%/15%/15% proportions were utilised for splitting 4,705 deduplicated images, which resulted in 3,293 training, 706 validation, &amp; 706 testing images.</w:t>
      </w:r>
    </w:p>
    <w:p>
      <w:pPr>
        <w:pStyle w:val="BodyText"/>
        <w:jc w:val="center"/>
        <w:rPr>
          <w:b/>
          <w:bCs/>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890895" cy="4435475"/>
            <wp:effectExtent l="0" t="0" r="0" b="0"/>
            <wp:wrapTopAndBottom/>
            <wp:docPr id="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
                    <pic:cNvPicPr>
                      <a:picLocks noChangeAspect="1" noChangeArrowheads="1"/>
                    </pic:cNvPicPr>
                  </pic:nvPicPr>
                  <pic:blipFill>
                    <a:blip r:embed="rId11"/>
                    <a:stretch>
                      <a:fillRect/>
                    </a:stretch>
                  </pic:blipFill>
                  <pic:spPr bwMode="auto">
                    <a:xfrm>
                      <a:off x="0" y="0"/>
                      <a:ext cx="5890895" cy="4435475"/>
                    </a:xfrm>
                    <a:prstGeom prst="rect">
                      <a:avLst/>
                    </a:prstGeom>
                    <a:noFill/>
                  </pic:spPr>
                </pic:pic>
              </a:graphicData>
            </a:graphic>
          </wp:anchor>
        </w:drawing>
      </w:r>
      <w:r>
        <w:rPr>
          <w:rFonts w:hint="eastAsia" w:ascii="Times New Roman" w:hAnsi="Times New Roman"/>
          <w:b/>
          <w:bCs/>
        </w:rPr>
        <w:t>Classification: Dataset Split Distribution</w:t>
      </w:r>
    </w:p>
    <w:p>
      <w:pPr>
        <w:pStyle w:val="BodyText"/>
        <w:jc w:val="both"/>
        <w:rPr>
          <w:rFonts w:ascii="Times New Roman" w:hAnsi="Times New Roman"/>
        </w:rPr>
      </w:pPr>
      <w:r>
        <w:rPr>
          <w:rFonts w:ascii="Times New Roman" w:hAnsi="Times New Roman"/>
        </w:rPr>
        <w:t xml:space="preserve"> </w:t>
      </w:r>
      <w:r>
        <w:rPr>
          <w:rFonts w:hint="eastAsia" w:ascii="Times New Roman" w:hAnsi="Times New Roman"/>
        </w:rPr>
        <w:t>This was accomplished by means of scikit-learn's train_test_split, employing the random state of 42. In total, two consecutive steps were employed. Firstly, we separated out 70% of the data for training. After that, the remaining 30% was evenly split between validation &amp; test subsets.</w:t>
      </w:r>
    </w:p>
    <w:p>
      <w:pPr>
        <w:pStyle w:val="BodyText"/>
        <w:spacing w:lineRule="auto" w:line="240"/>
        <w:jc w:val="both"/>
        <w:rPr>
          <w:rFonts w:ascii="Times New Roman" w:hAnsi="Times New Roman"/>
        </w:rPr>
      </w:pPr>
      <w:r>
        <w:rPr>
          <w:rFonts w:ascii="Times New Roman" w:hAnsi="Times New Roman"/>
        </w:rPr>
        <w:t>We loaded all images using the Python Imaging Library (PIL) &amp; converted the to the RGB format, even if the original was greyscale. By this we ensured compatibility with all the pre-trained models. Images were resized to model-specific input dimensions: 224×224 pixels for ResNet50, VGG16, DenseNet121, EfficientNetB0, MobileNetV3-Large, ViT-B/16, Swin Transformer Base, &amp; CoaTNet-0; &amp; 299×299 pixels for InceptionV3. We observed that all our models employed ImageNet normalisation statistics. The recorded mean values were [0.485, 0.456, 0.406] &amp; standard deviation were [0.229, 0.224, 0.225]. We applied these after converting it to a PyTorch tensor &amp; scaling pixel values to [0.0, 1.0]. To improve generalisation, data augmentation was applied exclusively to the training set: random horizontal flipping with probability 0.5, random rotation up to ±10 degrees, &amp; colour jitter adjusting brightness &amp; contrast by up to 20%. These augmentations were applied on the fly during each epoch.</w:t>
      </w:r>
    </w:p>
    <w:p>
      <w:pPr>
        <w:pStyle w:val="BodyText"/>
        <w:spacing w:lineRule="auto" w:line="240"/>
        <w:jc w:val="center"/>
        <w:rPr>
          <w:b/>
          <w:bCs/>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3133090"/>
            <wp:effectExtent l="0" t="0" r="0" b="0"/>
            <wp:wrapTopAndBottom/>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12"/>
                    <a:stretch>
                      <a:fillRect/>
                    </a:stretch>
                  </pic:blipFill>
                  <pic:spPr bwMode="auto">
                    <a:xfrm>
                      <a:off x="0" y="0"/>
                      <a:ext cx="6120130" cy="3133090"/>
                    </a:xfrm>
                    <a:prstGeom prst="rect">
                      <a:avLst/>
                    </a:prstGeom>
                    <a:noFill/>
                  </pic:spPr>
                </pic:pic>
              </a:graphicData>
            </a:graphic>
          </wp:anchor>
        </w:drawing>
      </w:r>
      <w:r>
        <w:rPr>
          <w:rFonts w:ascii="Times New Roman" w:hAnsi="Times New Roman"/>
          <w:b/>
          <w:bCs/>
        </w:rPr>
        <w:t>Binary Detection: MRI Image Augmentation Comparison</w:t>
      </w:r>
    </w:p>
    <w:p>
      <w:pPr>
        <w:pStyle w:val="BodyText"/>
        <w:spacing w:lineRule="auto" w:line="240"/>
        <w:jc w:val="center"/>
        <w:rPr>
          <w:b/>
          <w:bCs/>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120130" cy="3136265"/>
            <wp:effectExtent l="0" t="0" r="0" b="0"/>
            <wp:wrapTopAndBottom/>
            <wp:docPr id="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
                    <pic:cNvPicPr>
                      <a:picLocks noChangeAspect="1" noChangeArrowheads="1"/>
                    </pic:cNvPicPr>
                  </pic:nvPicPr>
                  <pic:blipFill>
                    <a:blip r:embed="rId13"/>
                    <a:stretch>
                      <a:fillRect/>
                    </a:stretch>
                  </pic:blipFill>
                  <pic:spPr bwMode="auto">
                    <a:xfrm>
                      <a:off x="0" y="0"/>
                      <a:ext cx="6120130" cy="3136265"/>
                    </a:xfrm>
                    <a:prstGeom prst="rect">
                      <a:avLst/>
                    </a:prstGeom>
                    <a:noFill/>
                  </pic:spPr>
                </pic:pic>
              </a:graphicData>
            </a:graphic>
          </wp:anchor>
        </w:drawing>
      </w:r>
      <w:r>
        <w:rPr>
          <w:rFonts w:ascii="Times New Roman" w:hAnsi="Times New Roman"/>
          <w:b/>
          <w:bCs/>
        </w:rPr>
        <w:t>Classification: Augmented MRI Samples</w:t>
      </w:r>
    </w:p>
    <w:p>
      <w:pPr>
        <w:pStyle w:val="BodyText"/>
        <w:spacing w:lineRule="auto" w:line="240"/>
        <w:jc w:val="both"/>
        <w:rPr>
          <w:rFonts w:ascii="Times New Roman" w:hAnsi="Times New Roman"/>
        </w:rPr>
      </w:pPr>
      <w:r>
        <w:rPr>
          <w:rFonts w:ascii="Times New Roman" w:hAnsi="Times New Roman"/>
        </w:rPr>
        <w:t>For validation &amp; testing, only the essential transformations of resizing, tensor conversion, &amp; normalisation were applied, with no stochastic augmentations, ensuring deterministic &amp; reproducible evaluation.</w:t>
      </w:r>
    </w:p>
    <w:p>
      <w:pPr>
        <w:pStyle w:val="BodyText"/>
        <w:spacing w:lineRule="auto" w:line="240"/>
        <w:jc w:val="both"/>
        <w:rPr>
          <w:rFonts w:ascii="Times New Roman" w:hAnsi="Times New Roman"/>
        </w:rPr>
      </w:pPr>
      <w:r>
        <w:rPr>
          <w:rFonts w:ascii="Times New Roman" w:hAnsi="Times New Roman"/>
        </w:rPr>
        <w:t>The PyTorch DataLoader was configured with multi-GPU training optimisations: the number of worker subprocesses was set to 4, pin memory was enabled for faster CPU-to-GPU transfer, persistent workers were used to maintain worker processes across epochs, &amp; a prefetch factor of 4 was set to hide data loading latency.</w:t>
      </w:r>
    </w:p>
    <w:p>
      <w:pPr>
        <w:pStyle w:val="BodyText"/>
        <w:spacing w:lineRule="auto" w:line="240"/>
        <w:jc w:val="both"/>
        <w:rPr>
          <w:rFonts w:ascii="Times New Roman" w:hAnsi="Times New Roman"/>
        </w:rPr>
      </w:pPr>
      <w:r>
        <w:rPr>
          <w:rFonts w:ascii="Times New Roman" w:hAnsi="Times New Roman"/>
        </w:rPr>
        <w:t>ResNet50 is a 50-layer residual network built around bottleneck residual blocks with skip connections that address the vanishing gradient problem. It contains 25.6 million parameters &amp; was pre-trained on ImageNet. The final fully connected layer was replaced with a linear layer for binary (1 output) or multi-class (3 outputs) classification. VGG16 is a 16-layer network using only 3×3 convolutional filters stacked in increasing depth, with 138 million parameters. Its classifier head was replaced appropriately for each task. DenseNet121 is a 121-layer densely connected network that concatenates feature maps of all preceding layers, maximising information flow with only 8 million parameters. The final classifier layer was modified for each task. EfficientNetB0, developed through neural architecture search &amp; compound scaling, achieves state-of-the-art accuracy with only 5.3 million parameters. MobileNetV3-Large uses depth-wise separable convolutions for mobile &amp; embedded applications, containing 5.4 million parameters. InceptionV3 is a 48-layer network with parallel convolutional paths of different kernel sizes (1×1, 3×3, 5×5) within inception modules, capturing multi-scale features with 23.9 million parameters. ViT-B/16 divides the input image into 16×16 patches, processing them as a sequence with a transformer encoder, containing 86 million parameters &amp; lacking inherent convolutional inductive biases. Swin Transformer Base introduces hierarchical transformers with shifted windows, achieving linear complexity &amp; multi-scale processing with 88 million parameters. CoaTNet-0 combines convolutional &amp; attention mechanisms in a unified architecture with approximately 10 million parameters.</w:t>
      </w:r>
    </w:p>
    <w:p>
      <w:pPr>
        <w:pStyle w:val="BodyText"/>
        <w:spacing w:lineRule="auto" w:line="240"/>
        <w:jc w:val="both"/>
        <w:rPr>
          <w:rFonts w:ascii="Times New Roman" w:hAnsi="Times New Roman"/>
        </w:rPr>
      </w:pPr>
      <w:r>
        <w:rPr>
          <w:rFonts w:ascii="Times New Roman" w:hAnsi="Times New Roman"/>
        </w:rPr>
        <w:t>All experiments were conducted on dual NVIDIA Tesla T4 GPUs with 16 GB GDDR6 memory each, Intel Xeon processors with 4 virtual CPUs, &amp; 29 GB of RAM. The software environment included Python 3.12.12, PyTorch 2.x with CUDA 12.x, Torchvision, the TIMM library for transformer architectures, TensorBoard for tracking, &amp; scikit-learn for metrics. Multi-GPU training used torch.nn.DataParallel, &amp; mixed precision training with FP16 was employed via torch.amp.autocast &amp; GradScaler. To ensure fair comparison, the following hyperparameters were standardised across all models: 10 epochs of training, AdamW optimiser with weight decay 0.01, learning rate 3e-4, CosineAnnealingLR scheduler with T_max=10, BCEWithLogitsLoss for binary classification &amp; CrossEntropyLoss for multi-class, &amp; model-specific batch sizes (ResNet50: 256, VGG16: 256, DenseNet121: 64, EfficientNetB0: 256, MobileNetV3-Large: 256, InceptionV3: 128, ViT-B/16: 128, Swin Base: 64, CoaTNet-0: 64) set to the maximum that fit within GPU memory. The training loop for each epoch consisted of a training phase with augmentations &amp; weight updates, &amp; a validation phase without augmentations or gradient computation. We applied Learning rate scheduling after each epoch. Our model check-pointing saved the best model based on validation AUC (binary) or validation accuracy (multi-class). The run_epoch function handled both these modes with a unified code path, using autocast, gradient scaling, &amp; accumulation of predictions for metric computation.</w:t>
      </w:r>
    </w:p>
    <w:p>
      <w:pPr>
        <w:pStyle w:val="BodyText"/>
        <w:spacing w:lineRule="auto" w:line="240"/>
        <w:jc w:val="both"/>
        <w:rPr>
          <w:rFonts w:ascii="Times New Roman" w:hAnsi="Times New Roman"/>
        </w:rPr>
      </w:pPr>
      <w:r>
        <w:rPr>
          <w:rFonts w:ascii="Times New Roman" w:hAnsi="Times New Roman"/>
        </w:rPr>
        <w:t>We used the evaluation metrics like accuracy, cross-entropy loss for calibration, &amp; AUC-ROC. AUC-ROC ranged from 0.5 (random) to 1.0 (perfect separation). We applied the One-vs-Rest approach for multi-class. We then implemented Comprehensive random seed control with SEED=42 for PyTorch, NumPy, &amp; Python modules. The CUDA deterministic settings were used with cudnn.benchmark enabled for speed. Our complete working code is publicly available at the repository link which is provided in Appendix C.</w:t>
      </w:r>
    </w:p>
    <w:p>
      <w:pPr>
        <w:pStyle w:val="Heading2"/>
        <w:numPr>
          <w:ilvl w:val="0"/>
          <w:numId w:val="0"/>
        </w:numPr>
        <w:ind w:hanging="0" w:start="0"/>
        <w:jc w:val="both"/>
        <w:rPr>
          <w:rFonts w:ascii="Times New Roman" w:hAnsi="Times New Roman"/>
        </w:rPr>
      </w:pPr>
      <w:r>
        <w:rPr>
          <w:rFonts w:ascii="Times New Roman" w:hAnsi="Times New Roman"/>
        </w:rPr>
        <w:t>4. Results &amp; Discussion</w:t>
      </w:r>
    </w:p>
    <w:p>
      <w:pPr>
        <w:pStyle w:val="BodyText"/>
        <w:jc w:val="both"/>
        <w:rPr>
          <w:rFonts w:ascii="Times New Roman" w:hAnsi="Times New Roman"/>
        </w:rPr>
      </w:pPr>
      <w:r>
        <w:rPr>
          <w:rFonts w:ascii="Times New Roman" w:hAnsi="Times New Roman"/>
        </w:rPr>
        <w:t>The InceptionV3 model delivered 99.39% accuracy with an ideal AUC score of 1.0000. What made this interesting was the rate of convergence that the model exhibited. After the first epoch, we observed that its accuracy was already 89.80% with a validation AUC score of 0.9997. By the second epoch, its accuracy went up to 99.22% with validation AUC at 0.9999. On the other hand, CoaTNet-0 began its journey with an initial training accuracy &amp; AUC score of 65.27% &amp; 0.8437, respectively, after the first epoch. This model did not stop improving until the seventh epoch.Swin Base reached 98.16% accuracy with AUC 0.9990, requiring more epochs to converge, from Epoch 1 (61.25% training accuracy, AUC 0.7959) to best validation at Epoch 6 (96.65% training accuracy, validation AUC 0.9988). MobileNetV3 exhibited training instability with a large gap between training &amp; validation performance; best validation AUC 0.9993 was achieved at Epoch 10 despite 99.90% training accuracy, but test accuracy dropped to 91.39%, indicating poor generalisation. ViT-B/16 was observed to show the slowest convergence. It reached  the best validation only at Epoch 10 (94.30% training accuracy, validation AUC 0.9897), with a final test accuracy 95.08% &amp; AUC 0.9861. On the other hand VGG16 performed poorest, with slow convergence &amp; final test accuracy of only 83.20% with AUC 0.9247. Thus we conclude that this classical architecture is unsuitable for medical imaging applications.</w:t>
      </w:r>
    </w:p>
    <w:p>
      <w:pPr>
        <w:pStyle w:val="BodyText"/>
        <w:jc w:val="center"/>
        <w:rPr>
          <w:b/>
          <w:bCs/>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1675765"/>
            <wp:effectExtent l="0" t="0" r="0" b="0"/>
            <wp:wrapTopAndBottom/>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14"/>
                    <a:stretch>
                      <a:fillRect/>
                    </a:stretch>
                  </pic:blipFill>
                  <pic:spPr bwMode="auto">
                    <a:xfrm>
                      <a:off x="0" y="0"/>
                      <a:ext cx="6120130" cy="1675765"/>
                    </a:xfrm>
                    <a:prstGeom prst="rect">
                      <a:avLst/>
                    </a:prstGeom>
                    <a:noFill/>
                  </pic:spPr>
                </pic:pic>
              </a:graphicData>
            </a:graphic>
          </wp:anchor>
        </w:drawing>
      </w:r>
      <w:r>
        <w:rPr>
          <w:rFonts w:ascii="Times New Roman" w:hAnsi="Times New Roman"/>
          <w:b/>
          <w:bCs/>
        </w:rPr>
        <w:t>Binary Detection: Model Training Metrics Curves</w:t>
      </w:r>
    </w:p>
    <w:p>
      <w:pPr>
        <w:pStyle w:val="BodyText"/>
        <w:spacing w:lineRule="auto" w:line="240"/>
        <w:jc w:val="both"/>
        <w:rPr>
          <w:rFonts w:ascii="Times New Roman" w:hAnsi="Times New Roman"/>
        </w:rPr>
      </w:pPr>
      <w:r>
        <w:rPr>
          <w:rFonts w:ascii="Times New Roman" w:hAnsi="Times New Roman"/>
          <w:b/>
        </w:rPr>
        <w:t>TABLE II</w:t>
      </w:r>
      <w:r>
        <w:rPr>
          <w:rFonts w:ascii="Times New Roman" w:hAnsi="Times New Roman"/>
        </w:rPr>
        <w:t> </w:t>
      </w:r>
      <w:r>
        <w:rPr>
          <w:rFonts w:ascii="Times New Roman" w:hAnsi="Times New Roman"/>
          <w:b/>
        </w:rPr>
        <w:t>BINARY DETECTION TEST RESULTS</w:t>
      </w:r>
    </w:p>
    <w:tbl>
      <w:tblPr>
        <w:tblW w:w="5000" w:type="pct"/>
        <w:jc w:val="start"/>
        <w:tblInd w:w="-5" w:type="dxa"/>
        <w:tblLayout w:type="fixed"/>
        <w:tblCellMar>
          <w:top w:w="55" w:type="dxa"/>
          <w:start w:w="55" w:type="dxa"/>
          <w:bottom w:w="55" w:type="dxa"/>
          <w:end w:w="55" w:type="dxa"/>
        </w:tblCellMar>
        <w:tblLook w:val="04a0" w:firstRow="1" w:noVBand="1" w:lastRow="0" w:firstColumn="1" w:lastColumn="0" w:noHBand="0"/>
      </w:tblPr>
      <w:tblGrid>
        <w:gridCol w:w="1757"/>
        <w:gridCol w:w="1734"/>
        <w:gridCol w:w="1236"/>
        <w:gridCol w:w="3452"/>
        <w:gridCol w:w="1459"/>
      </w:tblGrid>
      <w:tr>
        <w:trPr>
          <w:tblHeader w:val="true"/>
        </w:trPr>
        <w:tc>
          <w:tcPr>
            <w:tcW w:w="1757"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Model</w:t>
            </w:r>
          </w:p>
        </w:tc>
        <w:tc>
          <w:tcPr>
            <w:tcW w:w="1734"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Test Accuracy</w:t>
            </w:r>
          </w:p>
        </w:tc>
        <w:tc>
          <w:tcPr>
            <w:tcW w:w="1236"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Test AUC</w:t>
            </w:r>
          </w:p>
        </w:tc>
        <w:tc>
          <w:tcPr>
            <w:tcW w:w="3452"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Best Validation AUC (Epoch)</w:t>
            </w:r>
          </w:p>
        </w:tc>
        <w:tc>
          <w:tcPr>
            <w:tcW w:w="1459" w:type="dxa"/>
            <w:tcBorders>
              <w:top w:val="single" w:sz="4" w:space="0" w:color="000000"/>
              <w:start w:val="single" w:sz="4" w:space="0" w:color="000000"/>
              <w:bottom w:val="single" w:sz="4" w:space="0" w:color="000000"/>
              <w:end w:val="single" w:sz="4" w:space="0" w:color="000000"/>
            </w:tcBorders>
          </w:tcPr>
          <w:p>
            <w:pPr>
              <w:pStyle w:val="TableHeading"/>
              <w:jc w:val="both"/>
              <w:rPr>
                <w:rFonts w:ascii="Times New Roman" w:hAnsi="Times New Roman"/>
              </w:rPr>
            </w:pPr>
            <w:r>
              <w:rPr>
                <w:rFonts w:ascii="Times New Roman" w:hAnsi="Times New Roman"/>
              </w:rPr>
              <w:t>Parameters</w:t>
            </w:r>
          </w:p>
        </w:tc>
      </w:tr>
      <w:tr>
        <w:trPr/>
        <w:tc>
          <w:tcPr>
            <w:tcW w:w="17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InceptionV3</w:t>
            </w:r>
          </w:p>
        </w:tc>
        <w:tc>
          <w:tcPr>
            <w:tcW w:w="173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99.39%</w:t>
            </w:r>
          </w:p>
        </w:tc>
        <w:tc>
          <w:tcPr>
            <w:tcW w:w="123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1.0000</w:t>
            </w:r>
          </w:p>
        </w:tc>
        <w:tc>
          <w:tcPr>
            <w:tcW w:w="345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0.9999 (Epoch 2)</w:t>
            </w:r>
          </w:p>
        </w:tc>
        <w:tc>
          <w:tcPr>
            <w:tcW w:w="1459"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23.9M</w:t>
            </w:r>
          </w:p>
        </w:tc>
      </w:tr>
      <w:tr>
        <w:trPr/>
        <w:tc>
          <w:tcPr>
            <w:tcW w:w="17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CoaTNet-0</w:t>
            </w:r>
          </w:p>
        </w:tc>
        <w:tc>
          <w:tcPr>
            <w:tcW w:w="173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99.59%</w:t>
            </w:r>
          </w:p>
        </w:tc>
        <w:tc>
          <w:tcPr>
            <w:tcW w:w="123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1.0000</w:t>
            </w:r>
          </w:p>
        </w:tc>
        <w:tc>
          <w:tcPr>
            <w:tcW w:w="345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0.9999 (Epoch 7)</w:t>
            </w:r>
          </w:p>
        </w:tc>
        <w:tc>
          <w:tcPr>
            <w:tcW w:w="1459"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~10M</w:t>
            </w:r>
          </w:p>
        </w:tc>
      </w:tr>
      <w:tr>
        <w:trPr/>
        <w:tc>
          <w:tcPr>
            <w:tcW w:w="17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EfficientNetB0</w:t>
            </w:r>
          </w:p>
        </w:tc>
        <w:tc>
          <w:tcPr>
            <w:tcW w:w="173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99.59%</w:t>
            </w:r>
          </w:p>
        </w:tc>
        <w:tc>
          <w:tcPr>
            <w:tcW w:w="123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0.9999</w:t>
            </w:r>
          </w:p>
        </w:tc>
        <w:tc>
          <w:tcPr>
            <w:tcW w:w="345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0.9999 (Epoch 4)</w:t>
            </w:r>
          </w:p>
        </w:tc>
        <w:tc>
          <w:tcPr>
            <w:tcW w:w="1459"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5.3M</w:t>
            </w:r>
          </w:p>
        </w:tc>
      </w:tr>
      <w:tr>
        <w:trPr/>
        <w:tc>
          <w:tcPr>
            <w:tcW w:w="17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DenseNet121</w:t>
            </w:r>
          </w:p>
        </w:tc>
        <w:tc>
          <w:tcPr>
            <w:tcW w:w="173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97.95%</w:t>
            </w:r>
          </w:p>
        </w:tc>
        <w:tc>
          <w:tcPr>
            <w:tcW w:w="123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0.9999</w:t>
            </w:r>
          </w:p>
        </w:tc>
        <w:tc>
          <w:tcPr>
            <w:tcW w:w="345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1.0000 (Epoch 1)</w:t>
            </w:r>
          </w:p>
        </w:tc>
        <w:tc>
          <w:tcPr>
            <w:tcW w:w="1459"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8.0M</w:t>
            </w:r>
          </w:p>
        </w:tc>
      </w:tr>
      <w:tr>
        <w:trPr/>
        <w:tc>
          <w:tcPr>
            <w:tcW w:w="17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ResNet50</w:t>
            </w:r>
          </w:p>
        </w:tc>
        <w:tc>
          <w:tcPr>
            <w:tcW w:w="173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99.39%</w:t>
            </w:r>
          </w:p>
        </w:tc>
        <w:tc>
          <w:tcPr>
            <w:tcW w:w="123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0.9999</w:t>
            </w:r>
          </w:p>
        </w:tc>
        <w:tc>
          <w:tcPr>
            <w:tcW w:w="345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0.9999 (Epoch 6)</w:t>
            </w:r>
          </w:p>
        </w:tc>
        <w:tc>
          <w:tcPr>
            <w:tcW w:w="1459"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25.6M</w:t>
            </w:r>
          </w:p>
        </w:tc>
      </w:tr>
      <w:tr>
        <w:trPr/>
        <w:tc>
          <w:tcPr>
            <w:tcW w:w="17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Swin Base</w:t>
            </w:r>
          </w:p>
        </w:tc>
        <w:tc>
          <w:tcPr>
            <w:tcW w:w="173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98.16%</w:t>
            </w:r>
          </w:p>
        </w:tc>
        <w:tc>
          <w:tcPr>
            <w:tcW w:w="123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0.9990</w:t>
            </w:r>
          </w:p>
        </w:tc>
        <w:tc>
          <w:tcPr>
            <w:tcW w:w="345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0.9988 (Epoch 6)</w:t>
            </w:r>
          </w:p>
        </w:tc>
        <w:tc>
          <w:tcPr>
            <w:tcW w:w="1459"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88M</w:t>
            </w:r>
          </w:p>
        </w:tc>
      </w:tr>
      <w:tr>
        <w:trPr/>
        <w:tc>
          <w:tcPr>
            <w:tcW w:w="17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MobileNetV3</w:t>
            </w:r>
          </w:p>
        </w:tc>
        <w:tc>
          <w:tcPr>
            <w:tcW w:w="173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91.39%</w:t>
            </w:r>
          </w:p>
        </w:tc>
        <w:tc>
          <w:tcPr>
            <w:tcW w:w="123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0.9982</w:t>
            </w:r>
          </w:p>
        </w:tc>
        <w:tc>
          <w:tcPr>
            <w:tcW w:w="345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0.9993 (Epoch 10)</w:t>
            </w:r>
          </w:p>
        </w:tc>
        <w:tc>
          <w:tcPr>
            <w:tcW w:w="1459"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5.4M</w:t>
            </w:r>
          </w:p>
        </w:tc>
      </w:tr>
      <w:tr>
        <w:trPr/>
        <w:tc>
          <w:tcPr>
            <w:tcW w:w="17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ViT-B/16</w:t>
            </w:r>
          </w:p>
        </w:tc>
        <w:tc>
          <w:tcPr>
            <w:tcW w:w="173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95.08%</w:t>
            </w:r>
          </w:p>
        </w:tc>
        <w:tc>
          <w:tcPr>
            <w:tcW w:w="123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0.9861</w:t>
            </w:r>
          </w:p>
        </w:tc>
        <w:tc>
          <w:tcPr>
            <w:tcW w:w="345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0.9897 (Epoch 10)</w:t>
            </w:r>
          </w:p>
        </w:tc>
        <w:tc>
          <w:tcPr>
            <w:tcW w:w="1459"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86M</w:t>
            </w:r>
          </w:p>
        </w:tc>
      </w:tr>
      <w:tr>
        <w:trPr/>
        <w:tc>
          <w:tcPr>
            <w:tcW w:w="17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VGG16</w:t>
            </w:r>
          </w:p>
        </w:tc>
        <w:tc>
          <w:tcPr>
            <w:tcW w:w="173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83.20%</w:t>
            </w:r>
          </w:p>
        </w:tc>
        <w:tc>
          <w:tcPr>
            <w:tcW w:w="123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0.9247</w:t>
            </w:r>
          </w:p>
        </w:tc>
        <w:tc>
          <w:tcPr>
            <w:tcW w:w="345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0.9343 (Epoch 10)</w:t>
            </w:r>
          </w:p>
        </w:tc>
        <w:tc>
          <w:tcPr>
            <w:tcW w:w="1459"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138M</w:t>
            </w:r>
          </w:p>
        </w:tc>
      </w:tr>
    </w:tbl>
    <w:p>
      <w:pPr>
        <w:pStyle w:val="BodyText"/>
        <w:jc w:val="center"/>
        <w:rPr>
          <w:rFonts w:ascii="Times New Roman" w:hAnsi="Times New Roman"/>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2287905"/>
            <wp:effectExtent l="0" t="0" r="0" b="0"/>
            <wp:wrapTopAndBottom/>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15"/>
                    <a:stretch>
                      <a:fillRect/>
                    </a:stretch>
                  </pic:blipFill>
                  <pic:spPr bwMode="auto">
                    <a:xfrm>
                      <a:off x="0" y="0"/>
                      <a:ext cx="6120130" cy="2287905"/>
                    </a:xfrm>
                    <a:prstGeom prst="rect">
                      <a:avLst/>
                    </a:prstGeom>
                    <a:noFill/>
                  </pic:spPr>
                </pic:pic>
              </a:graphicData>
            </a:graphic>
          </wp:anchor>
        </w:drawing>
      </w:r>
      <w:r>
        <w:rPr>
          <w:rFonts w:ascii="Times New Roman" w:hAnsi="Times New Roman"/>
          <w:b/>
          <w:bCs/>
        </w:rPr>
        <w:t>Binary Detection: Confusion Matrix &amp; ROC Curve</w:t>
      </w:r>
    </w:p>
    <w:p>
      <w:pPr>
        <w:pStyle w:val="BodyText"/>
        <w:jc w:val="both"/>
        <w:rPr>
          <w:rFonts w:ascii="Times New Roman" w:hAnsi="Times New Roman"/>
        </w:rPr>
      </w:pPr>
      <w:r>
        <w:rPr>
          <w:rFonts w:ascii="Times New Roman" w:hAnsi="Times New Roman"/>
        </w:rPr>
        <w:t>Our</w:t>
      </w:r>
      <w:r>
        <w:rPr>
          <w:rFonts w:hint="eastAsia" w:ascii="Times New Roman" w:hAnsi="Times New Roman"/>
        </w:rPr>
        <w:t xml:space="preserve"> findings of the multi-class brain tumour classification experiment are displayed in Table III.</w:t>
      </w:r>
      <w:r>
        <w:rPr>
          <w:rFonts w:ascii="Times New Roman" w:hAnsi="Times New Roman"/>
        </w:rPr>
        <w:t xml:space="preserve"> </w:t>
      </w:r>
      <w:r>
        <w:rPr>
          <w:rFonts w:hint="eastAsia" w:ascii="Times New Roman" w:hAnsi="Times New Roman"/>
        </w:rPr>
        <w:t xml:space="preserve">Both InceptionV3 &amp; Swin-Base performed equally well in terms of accuracy at 98.58%. InceptionV3 was very efficient, reaching 99.88% accuracy after epoch 10. Similarly, Swin-Base was able to reach the same level of accuracy in an equal number of epochs. However, in terms of test loss, Swin-Base had the least at 0.0377. </w:t>
      </w:r>
      <w:r>
        <w:rPr>
          <w:rFonts w:ascii="Times New Roman" w:hAnsi="Times New Roman"/>
        </w:rPr>
        <w:t xml:space="preserve">Whereas </w:t>
      </w:r>
      <w:r>
        <w:rPr>
          <w:rFonts w:hint="eastAsia" w:ascii="Times New Roman" w:hAnsi="Times New Roman"/>
        </w:rPr>
        <w:t>EfficientNetB0 &amp; CoaTNet-0 achieved equal accuracy levels of 97.59%. EfficientNetB0 had the highest accuracy to parameter ratio, with 5.3 million parameters.</w:t>
      </w:r>
      <w:r>
        <w:rPr>
          <w:rFonts w:ascii="Times New Roman" w:hAnsi="Times New Roman"/>
        </w:rPr>
        <w:t xml:space="preserve"> </w:t>
      </w:r>
      <w:r>
        <w:rPr>
          <w:rFonts w:hint="eastAsia" w:ascii="Times New Roman" w:hAnsi="Times New Roman"/>
        </w:rPr>
        <w:t xml:space="preserve">On the contrary, ViT-B/16 underperformed with an accuracy level of only 89.52%. With 4,705 images available, </w:t>
      </w:r>
      <w:r>
        <w:rPr>
          <w:rFonts w:ascii="Times New Roman" w:hAnsi="Times New Roman"/>
        </w:rPr>
        <w:t xml:space="preserve">the </w:t>
      </w:r>
      <w:r>
        <w:rPr>
          <w:rFonts w:hint="eastAsia" w:ascii="Times New Roman" w:hAnsi="Times New Roman"/>
        </w:rPr>
        <w:t>transformers were unable to learn effectively.</w:t>
      </w:r>
    </w:p>
    <w:p>
      <w:pPr>
        <w:pStyle w:val="BodyText"/>
        <w:jc w:val="center"/>
        <w:rPr>
          <w:b/>
          <w:bCs/>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20130" cy="3376295"/>
            <wp:effectExtent l="0" t="0" r="0" b="0"/>
            <wp:wrapTopAndBottom/>
            <wp:docPr id="12"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pic:cNvPicPr>
                      <a:picLocks noChangeAspect="1" noChangeArrowheads="1"/>
                    </pic:cNvPicPr>
                  </pic:nvPicPr>
                  <pic:blipFill>
                    <a:blip r:embed="rId16"/>
                    <a:stretch>
                      <a:fillRect/>
                    </a:stretch>
                  </pic:blipFill>
                  <pic:spPr bwMode="auto">
                    <a:xfrm>
                      <a:off x="0" y="0"/>
                      <a:ext cx="6120130" cy="3376295"/>
                    </a:xfrm>
                    <a:prstGeom prst="rect">
                      <a:avLst/>
                    </a:prstGeom>
                    <a:noFill/>
                  </pic:spPr>
                </pic:pic>
              </a:graphicData>
            </a:graphic>
          </wp:anchor>
        </w:drawing>
      </w:r>
      <w:r>
        <w:rPr>
          <w:rFonts w:hint="eastAsia" w:ascii="Times New Roman" w:hAnsi="Times New Roman"/>
          <w:b/>
          <w:bCs/>
        </w:rPr>
        <w:t>Classification: Training vs Validation Loss</w:t>
      </w:r>
    </w:p>
    <w:p>
      <w:pPr>
        <w:pStyle w:val="BodyText"/>
        <w:jc w:val="center"/>
        <w:rPr>
          <w:b/>
          <w:bCs/>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120130" cy="3348355"/>
            <wp:effectExtent l="0" t="0" r="0" b="0"/>
            <wp:wrapTopAndBottom/>
            <wp:docPr id="1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pic:cNvPicPr>
                      <a:picLocks noChangeAspect="1" noChangeArrowheads="1"/>
                    </pic:cNvPicPr>
                  </pic:nvPicPr>
                  <pic:blipFill>
                    <a:blip r:embed="rId17"/>
                    <a:stretch>
                      <a:fillRect/>
                    </a:stretch>
                  </pic:blipFill>
                  <pic:spPr bwMode="auto">
                    <a:xfrm>
                      <a:off x="0" y="0"/>
                      <a:ext cx="6120130" cy="3348355"/>
                    </a:xfrm>
                    <a:prstGeom prst="rect">
                      <a:avLst/>
                    </a:prstGeom>
                    <a:noFill/>
                  </pic:spPr>
                </pic:pic>
              </a:graphicData>
            </a:graphic>
          </wp:anchor>
        </w:drawing>
      </w:r>
      <w:r>
        <w:rPr>
          <w:rFonts w:hint="eastAsia" w:ascii="Times New Roman" w:hAnsi="Times New Roman"/>
          <w:b/>
          <w:bCs/>
        </w:rPr>
        <w:t>Classification: Training vs Validation Accuracy</w:t>
      </w:r>
    </w:p>
    <w:p>
      <w:pPr>
        <w:pStyle w:val="BodyText"/>
        <w:jc w:val="center"/>
        <w:rPr>
          <w:b/>
          <w:bCs/>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120130" cy="3357880"/>
            <wp:effectExtent l="0" t="0" r="0" b="0"/>
            <wp:wrapTopAndBottom/>
            <wp:docPr id="14"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pic:cNvPicPr>
                      <a:picLocks noChangeAspect="1" noChangeArrowheads="1"/>
                    </pic:cNvPicPr>
                  </pic:nvPicPr>
                  <pic:blipFill>
                    <a:blip r:embed="rId18"/>
                    <a:stretch>
                      <a:fillRect/>
                    </a:stretch>
                  </pic:blipFill>
                  <pic:spPr bwMode="auto">
                    <a:xfrm>
                      <a:off x="0" y="0"/>
                      <a:ext cx="6120130" cy="3357880"/>
                    </a:xfrm>
                    <a:prstGeom prst="rect">
                      <a:avLst/>
                    </a:prstGeom>
                    <a:noFill/>
                  </pic:spPr>
                </pic:pic>
              </a:graphicData>
            </a:graphic>
          </wp:anchor>
        </w:drawing>
      </w:r>
      <w:r>
        <w:rPr>
          <w:rFonts w:hint="eastAsia" w:ascii="Times New Roman" w:hAnsi="Times New Roman"/>
          <w:b/>
          <w:bCs/>
        </w:rPr>
        <w:t>Classification: Training vs Validation AUC</w:t>
      </w:r>
    </w:p>
    <w:p>
      <w:pPr>
        <w:pStyle w:val="BodyText"/>
        <w:jc w:val="both"/>
        <w:rPr>
          <w:rFonts w:ascii="Times New Roman" w:hAnsi="Times New Roman"/>
        </w:rPr>
      </w:pPr>
      <w:r>
        <w:rPr>
          <w:rFonts w:ascii="Times New Roman" w:hAnsi="Times New Roman"/>
          <w:b/>
        </w:rPr>
        <w:t>TABLE III</w:t>
      </w:r>
      <w:r>
        <w:rPr>
          <w:rFonts w:ascii="Times New Roman" w:hAnsi="Times New Roman"/>
        </w:rPr>
        <w:t> </w:t>
      </w:r>
      <w:r>
        <w:rPr>
          <w:rFonts w:ascii="Times New Roman" w:hAnsi="Times New Roman"/>
          <w:b/>
        </w:rPr>
        <w:t>MULTI-CLASS CLASSIFICATION TEST RESULTS</w:t>
      </w:r>
    </w:p>
    <w:tbl>
      <w:tblPr>
        <w:tblW w:w="5000" w:type="pct"/>
        <w:jc w:val="start"/>
        <w:tblInd w:w="-5" w:type="dxa"/>
        <w:tblLayout w:type="fixed"/>
        <w:tblCellMar>
          <w:top w:w="55" w:type="dxa"/>
          <w:start w:w="55" w:type="dxa"/>
          <w:bottom w:w="55" w:type="dxa"/>
          <w:end w:w="55" w:type="dxa"/>
        </w:tblCellMar>
        <w:tblLook w:val="04a0" w:firstRow="1" w:noVBand="1" w:lastRow="0" w:firstColumn="1" w:lastColumn="0" w:noHBand="0"/>
      </w:tblPr>
      <w:tblGrid>
        <w:gridCol w:w="2299"/>
        <w:gridCol w:w="2270"/>
        <w:gridCol w:w="1552"/>
        <w:gridCol w:w="1614"/>
        <w:gridCol w:w="1903"/>
      </w:tblGrid>
      <w:tr>
        <w:trPr>
          <w:tblHeader w:val="true"/>
        </w:trPr>
        <w:tc>
          <w:tcPr>
            <w:tcW w:w="2299"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Model</w:t>
            </w:r>
          </w:p>
        </w:tc>
        <w:tc>
          <w:tcPr>
            <w:tcW w:w="2270"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Test Accuracy</w:t>
            </w:r>
          </w:p>
        </w:tc>
        <w:tc>
          <w:tcPr>
            <w:tcW w:w="1552"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Test Loss</w:t>
            </w:r>
          </w:p>
        </w:tc>
        <w:tc>
          <w:tcPr>
            <w:tcW w:w="1614"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Test AUC</w:t>
            </w:r>
          </w:p>
        </w:tc>
        <w:tc>
          <w:tcPr>
            <w:tcW w:w="1903" w:type="dxa"/>
            <w:tcBorders>
              <w:top w:val="single" w:sz="4" w:space="0" w:color="000000"/>
              <w:start w:val="single" w:sz="4" w:space="0" w:color="000000"/>
              <w:bottom w:val="single" w:sz="4" w:space="0" w:color="000000"/>
              <w:end w:val="single" w:sz="4" w:space="0" w:color="000000"/>
            </w:tcBorders>
          </w:tcPr>
          <w:p>
            <w:pPr>
              <w:pStyle w:val="TableHeading"/>
              <w:jc w:val="both"/>
              <w:rPr>
                <w:rFonts w:ascii="Times New Roman" w:hAnsi="Times New Roman"/>
              </w:rPr>
            </w:pPr>
            <w:r>
              <w:rPr>
                <w:rFonts w:ascii="Times New Roman" w:hAnsi="Times New Roman"/>
              </w:rPr>
              <w:t>Parameters</w:t>
            </w:r>
          </w:p>
        </w:tc>
      </w:tr>
      <w:tr>
        <w:trPr/>
        <w:tc>
          <w:tcPr>
            <w:tcW w:w="2299"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InceptionV3</w:t>
            </w:r>
          </w:p>
        </w:tc>
        <w:tc>
          <w:tcPr>
            <w:tcW w:w="22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98.58%</w:t>
            </w:r>
          </w:p>
        </w:tc>
        <w:tc>
          <w:tcPr>
            <w:tcW w:w="155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0.0389</w:t>
            </w:r>
          </w:p>
        </w:tc>
        <w:tc>
          <w:tcPr>
            <w:tcW w:w="16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0.9995</w:t>
            </w:r>
          </w:p>
        </w:tc>
        <w:tc>
          <w:tcPr>
            <w:tcW w:w="1903"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27.2M</w:t>
            </w:r>
          </w:p>
        </w:tc>
      </w:tr>
      <w:tr>
        <w:trPr/>
        <w:tc>
          <w:tcPr>
            <w:tcW w:w="2299"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Swin-Base</w:t>
            </w:r>
          </w:p>
        </w:tc>
        <w:tc>
          <w:tcPr>
            <w:tcW w:w="22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98.58%</w:t>
            </w:r>
          </w:p>
        </w:tc>
        <w:tc>
          <w:tcPr>
            <w:tcW w:w="155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0.0377</w:t>
            </w:r>
          </w:p>
        </w:tc>
        <w:tc>
          <w:tcPr>
            <w:tcW w:w="16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0.9993</w:t>
            </w:r>
          </w:p>
        </w:tc>
        <w:tc>
          <w:tcPr>
            <w:tcW w:w="1903"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86.7M</w:t>
            </w:r>
          </w:p>
        </w:tc>
      </w:tr>
      <w:tr>
        <w:trPr/>
        <w:tc>
          <w:tcPr>
            <w:tcW w:w="2299"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EfficientNetB0</w:t>
            </w:r>
          </w:p>
        </w:tc>
        <w:tc>
          <w:tcPr>
            <w:tcW w:w="22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97.59%</w:t>
            </w:r>
          </w:p>
        </w:tc>
        <w:tc>
          <w:tcPr>
            <w:tcW w:w="155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0.0582</w:t>
            </w:r>
          </w:p>
        </w:tc>
        <w:tc>
          <w:tcPr>
            <w:tcW w:w="16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0.9987</w:t>
            </w:r>
          </w:p>
        </w:tc>
        <w:tc>
          <w:tcPr>
            <w:tcW w:w="1903"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5.3M</w:t>
            </w:r>
          </w:p>
        </w:tc>
      </w:tr>
      <w:tr>
        <w:trPr/>
        <w:tc>
          <w:tcPr>
            <w:tcW w:w="2299"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CoaTNet-0</w:t>
            </w:r>
          </w:p>
        </w:tc>
        <w:tc>
          <w:tcPr>
            <w:tcW w:w="22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97.59%</w:t>
            </w:r>
          </w:p>
        </w:tc>
        <w:tc>
          <w:tcPr>
            <w:tcW w:w="155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0.0638</w:t>
            </w:r>
          </w:p>
        </w:tc>
        <w:tc>
          <w:tcPr>
            <w:tcW w:w="16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0.9990</w:t>
            </w:r>
          </w:p>
        </w:tc>
        <w:tc>
          <w:tcPr>
            <w:tcW w:w="1903"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~10M</w:t>
            </w:r>
          </w:p>
        </w:tc>
      </w:tr>
      <w:tr>
        <w:trPr/>
        <w:tc>
          <w:tcPr>
            <w:tcW w:w="2299"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ResNet-50</w:t>
            </w:r>
          </w:p>
        </w:tc>
        <w:tc>
          <w:tcPr>
            <w:tcW w:w="22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96.60%</w:t>
            </w:r>
          </w:p>
        </w:tc>
        <w:tc>
          <w:tcPr>
            <w:tcW w:w="155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0.0740</w:t>
            </w:r>
          </w:p>
        </w:tc>
        <w:tc>
          <w:tcPr>
            <w:tcW w:w="16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0.9990</w:t>
            </w:r>
          </w:p>
        </w:tc>
        <w:tc>
          <w:tcPr>
            <w:tcW w:w="1903"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25.6M</w:t>
            </w:r>
          </w:p>
        </w:tc>
      </w:tr>
      <w:tr>
        <w:trPr/>
        <w:tc>
          <w:tcPr>
            <w:tcW w:w="2299"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ViT-B/16</w:t>
            </w:r>
          </w:p>
        </w:tc>
        <w:tc>
          <w:tcPr>
            <w:tcW w:w="22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89.52%</w:t>
            </w:r>
          </w:p>
        </w:tc>
        <w:tc>
          <w:tcPr>
            <w:tcW w:w="155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0.2737</w:t>
            </w:r>
          </w:p>
        </w:tc>
        <w:tc>
          <w:tcPr>
            <w:tcW w:w="16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0.9736</w:t>
            </w:r>
          </w:p>
        </w:tc>
        <w:tc>
          <w:tcPr>
            <w:tcW w:w="1903"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86.4M</w:t>
            </w:r>
          </w:p>
        </w:tc>
      </w:tr>
    </w:tbl>
    <w:p>
      <w:pPr>
        <w:pStyle w:val="BodyText"/>
        <w:spacing w:lineRule="auto" w:line="240"/>
        <w:jc w:val="center"/>
        <w:rPr>
          <w:rFonts w:ascii="Times New Roman" w:hAnsi="Times New Roman"/>
          <w:b/>
          <w:bCs/>
        </w:rPr>
      </w:pPr>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3952875" cy="3599815"/>
            <wp:effectExtent l="0" t="0" r="0" b="0"/>
            <wp:wrapTopAndBottom/>
            <wp:docPr id="1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
                    <pic:cNvPicPr>
                      <a:picLocks noChangeAspect="1" noChangeArrowheads="1"/>
                    </pic:cNvPicPr>
                  </pic:nvPicPr>
                  <pic:blipFill>
                    <a:blip r:embed="rId19"/>
                    <a:stretch>
                      <a:fillRect/>
                    </a:stretch>
                  </pic:blipFill>
                  <pic:spPr bwMode="auto">
                    <a:xfrm>
                      <a:off x="0" y="0"/>
                      <a:ext cx="3952875" cy="3599815"/>
                    </a:xfrm>
                    <a:prstGeom prst="rect">
                      <a:avLst/>
                    </a:prstGeom>
                    <a:noFill/>
                  </pic:spPr>
                </pic:pic>
              </a:graphicData>
            </a:graphic>
          </wp:anchor>
        </w:drawing>
      </w:r>
      <w:r>
        <w:rPr>
          <w:rFonts w:ascii="Times New Roman" w:hAnsi="Times New Roman"/>
          <w:b/>
          <w:bCs/>
        </w:rPr>
        <w:t>Classification: Confusion Matrix</w:t>
      </w:r>
    </w:p>
    <w:p>
      <w:pPr>
        <w:pStyle w:val="BodyText"/>
        <w:spacing w:lineRule="auto" w:line="240"/>
        <w:jc w:val="center"/>
        <w:rPr>
          <w:rFonts w:ascii="Times New Roman" w:hAnsi="Times New Roman"/>
          <w:b/>
          <w:bCs/>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120130" cy="4820920"/>
            <wp:effectExtent l="0" t="0" r="0" b="0"/>
            <wp:wrapTopAndBottom/>
            <wp:docPr id="1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
                    <pic:cNvPicPr>
                      <a:picLocks noChangeAspect="1" noChangeArrowheads="1"/>
                    </pic:cNvPicPr>
                  </pic:nvPicPr>
                  <pic:blipFill>
                    <a:blip r:embed="rId20"/>
                    <a:stretch>
                      <a:fillRect/>
                    </a:stretch>
                  </pic:blipFill>
                  <pic:spPr bwMode="auto">
                    <a:xfrm>
                      <a:off x="0" y="0"/>
                      <a:ext cx="6120130" cy="4820920"/>
                    </a:xfrm>
                    <a:prstGeom prst="rect">
                      <a:avLst/>
                    </a:prstGeom>
                    <a:noFill/>
                  </pic:spPr>
                </pic:pic>
              </a:graphicData>
            </a:graphic>
          </wp:anchor>
        </w:drawing>
      </w:r>
      <w:r>
        <w:rPr>
          <w:rFonts w:ascii="Times New Roman" w:hAnsi="Times New Roman"/>
          <w:b/>
          <w:bCs/>
        </w:rPr>
        <w:t>Classification: Multiclass ROC Curves</w:t>
      </w:r>
    </w:p>
    <w:p>
      <w:pPr>
        <w:pStyle w:val="BodyText"/>
        <w:spacing w:lineRule="auto" w:line="240"/>
        <w:jc w:val="both"/>
        <w:rPr>
          <w:rFonts w:ascii="Times New Roman" w:hAnsi="Times New Roman"/>
        </w:rPr>
      </w:pPr>
      <w:r>
        <w:rPr>
          <w:rFonts w:ascii="Times New Roman" w:hAnsi="Times New Roman"/>
        </w:rPr>
        <w:t>Table IV presents the computational efficiency comparison. EfficientNetB0 was the fastest &amp; most memory-efficient model, enabling batch size 256. InceptionV3 offered an excellent balance of high accuracy &amp; moderate computational cost. Swin-Base &amp; ViT-B/16 required significantly more training time &amp; memory due to their self-attention mechanisms. The accuracy per million parameters metric highlights architectural efficiency: EfficientNetB0 achieved 0.188% per million parameters, DenseNet121 0.122%, CoaTNet-0 approximately 0.0996%, InceptionV3 0.0416%, ResNet50 0.0388%, Swin Base 0.0112%, ViT-B/16 0.0111%, &amp; VGG16 only 0.0060%.</w:t>
      </w:r>
    </w:p>
    <w:p>
      <w:pPr>
        <w:pStyle w:val="BodyText"/>
        <w:spacing w:lineRule="auto" w:line="240"/>
        <w:jc w:val="both"/>
        <w:rPr>
          <w:rFonts w:ascii="Times New Roman" w:hAnsi="Times New Roman"/>
        </w:rPr>
      </w:pPr>
      <w:r>
        <w:rPr>
          <w:rFonts w:ascii="Times New Roman" w:hAnsi="Times New Roman"/>
          <w:b/>
        </w:rPr>
        <w:t>TABLE IV</w:t>
      </w:r>
      <w:r>
        <w:rPr>
          <w:rFonts w:ascii="Times New Roman" w:hAnsi="Times New Roman"/>
        </w:rPr>
        <w:t> </w:t>
      </w:r>
      <w:r>
        <w:rPr>
          <w:rFonts w:ascii="Times New Roman" w:hAnsi="Times New Roman"/>
          <w:b/>
        </w:rPr>
        <w:t>MODEL EFFICIENCY COMPARISON</w:t>
      </w:r>
    </w:p>
    <w:tbl>
      <w:tblPr>
        <w:tblW w:w="9637" w:type="dxa"/>
        <w:jc w:val="start"/>
        <w:tblInd w:w="-5" w:type="dxa"/>
        <w:tblLayout w:type="fixed"/>
        <w:tblCellMar>
          <w:top w:w="55" w:type="dxa"/>
          <w:start w:w="55" w:type="dxa"/>
          <w:bottom w:w="55" w:type="dxa"/>
          <w:end w:w="55" w:type="dxa"/>
        </w:tblCellMar>
        <w:tblLook w:val="04a0" w:firstRow="1" w:noVBand="1" w:lastRow="0" w:firstColumn="1" w:lastColumn="0" w:noHBand="0"/>
      </w:tblPr>
      <w:tblGrid>
        <w:gridCol w:w="1830"/>
        <w:gridCol w:w="1382"/>
        <w:gridCol w:w="1513"/>
        <w:gridCol w:w="2973"/>
        <w:gridCol w:w="1939"/>
      </w:tblGrid>
      <w:tr>
        <w:trPr>
          <w:tblHeader w:val="true"/>
        </w:trPr>
        <w:tc>
          <w:tcPr>
            <w:tcW w:w="1830"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Model</w:t>
            </w:r>
          </w:p>
        </w:tc>
        <w:tc>
          <w:tcPr>
            <w:tcW w:w="1382"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Batch Size</w:t>
            </w:r>
          </w:p>
        </w:tc>
        <w:tc>
          <w:tcPr>
            <w:tcW w:w="1513"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Parameters</w:t>
            </w:r>
          </w:p>
        </w:tc>
        <w:tc>
          <w:tcPr>
            <w:tcW w:w="2973"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Relative Training Speed</w:t>
            </w:r>
          </w:p>
        </w:tc>
        <w:tc>
          <w:tcPr>
            <w:tcW w:w="1939" w:type="dxa"/>
            <w:tcBorders>
              <w:top w:val="single" w:sz="4" w:space="0" w:color="000000"/>
              <w:start w:val="single" w:sz="4" w:space="0" w:color="000000"/>
              <w:bottom w:val="single" w:sz="4" w:space="0" w:color="000000"/>
              <w:end w:val="single" w:sz="4" w:space="0" w:color="000000"/>
            </w:tcBorders>
          </w:tcPr>
          <w:p>
            <w:pPr>
              <w:pStyle w:val="TableHeading"/>
              <w:jc w:val="both"/>
              <w:rPr>
                <w:rFonts w:ascii="Times New Roman" w:hAnsi="Times New Roman"/>
              </w:rPr>
            </w:pPr>
            <w:r>
              <w:rPr>
                <w:rFonts w:ascii="Times New Roman" w:hAnsi="Times New Roman"/>
              </w:rPr>
              <w:t>Memory Usage</w:t>
            </w:r>
          </w:p>
        </w:tc>
      </w:tr>
      <w:tr>
        <w:trPr/>
        <w:tc>
          <w:tcPr>
            <w:tcW w:w="183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EfficientNetB0</w:t>
            </w:r>
          </w:p>
        </w:tc>
        <w:tc>
          <w:tcPr>
            <w:tcW w:w="138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256</w:t>
            </w:r>
          </w:p>
        </w:tc>
        <w:tc>
          <w:tcPr>
            <w:tcW w:w="151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5.3M</w:t>
            </w:r>
          </w:p>
        </w:tc>
        <w:tc>
          <w:tcPr>
            <w:tcW w:w="297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1.0x (Fastest)</w:t>
            </w:r>
          </w:p>
        </w:tc>
        <w:tc>
          <w:tcPr>
            <w:tcW w:w="1939"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Lowest</w:t>
            </w:r>
          </w:p>
        </w:tc>
      </w:tr>
      <w:tr>
        <w:trPr/>
        <w:tc>
          <w:tcPr>
            <w:tcW w:w="183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ResNet-50</w:t>
            </w:r>
          </w:p>
        </w:tc>
        <w:tc>
          <w:tcPr>
            <w:tcW w:w="138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256</w:t>
            </w:r>
          </w:p>
        </w:tc>
        <w:tc>
          <w:tcPr>
            <w:tcW w:w="151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25.6M</w:t>
            </w:r>
          </w:p>
        </w:tc>
        <w:tc>
          <w:tcPr>
            <w:tcW w:w="297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1.2x</w:t>
            </w:r>
          </w:p>
        </w:tc>
        <w:tc>
          <w:tcPr>
            <w:tcW w:w="1939"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Low</w:t>
            </w:r>
          </w:p>
        </w:tc>
      </w:tr>
      <w:tr>
        <w:trPr/>
        <w:tc>
          <w:tcPr>
            <w:tcW w:w="183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CoaTNet-0</w:t>
            </w:r>
          </w:p>
        </w:tc>
        <w:tc>
          <w:tcPr>
            <w:tcW w:w="138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64</w:t>
            </w:r>
          </w:p>
        </w:tc>
        <w:tc>
          <w:tcPr>
            <w:tcW w:w="151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~10M</w:t>
            </w:r>
          </w:p>
        </w:tc>
        <w:tc>
          <w:tcPr>
            <w:tcW w:w="297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2.5x</w:t>
            </w:r>
          </w:p>
        </w:tc>
        <w:tc>
          <w:tcPr>
            <w:tcW w:w="1939"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Moderate</w:t>
            </w:r>
          </w:p>
        </w:tc>
      </w:tr>
      <w:tr>
        <w:trPr/>
        <w:tc>
          <w:tcPr>
            <w:tcW w:w="183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InceptionV3</w:t>
            </w:r>
          </w:p>
        </w:tc>
        <w:tc>
          <w:tcPr>
            <w:tcW w:w="138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128</w:t>
            </w:r>
          </w:p>
        </w:tc>
        <w:tc>
          <w:tcPr>
            <w:tcW w:w="151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23.9–27.2M</w:t>
            </w:r>
          </w:p>
        </w:tc>
        <w:tc>
          <w:tcPr>
            <w:tcW w:w="297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2.0x</w:t>
            </w:r>
          </w:p>
        </w:tc>
        <w:tc>
          <w:tcPr>
            <w:tcW w:w="1939"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Moderate</w:t>
            </w:r>
          </w:p>
        </w:tc>
      </w:tr>
      <w:tr>
        <w:trPr/>
        <w:tc>
          <w:tcPr>
            <w:tcW w:w="183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Swin-Base</w:t>
            </w:r>
          </w:p>
        </w:tc>
        <w:tc>
          <w:tcPr>
            <w:tcW w:w="138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64</w:t>
            </w:r>
          </w:p>
        </w:tc>
        <w:tc>
          <w:tcPr>
            <w:tcW w:w="151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86–88M</w:t>
            </w:r>
          </w:p>
        </w:tc>
        <w:tc>
          <w:tcPr>
            <w:tcW w:w="297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4.0x</w:t>
            </w:r>
          </w:p>
        </w:tc>
        <w:tc>
          <w:tcPr>
            <w:tcW w:w="1939"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High</w:t>
            </w:r>
          </w:p>
        </w:tc>
      </w:tr>
      <w:tr>
        <w:trPr/>
        <w:tc>
          <w:tcPr>
            <w:tcW w:w="183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ViT-B/16</w:t>
            </w:r>
          </w:p>
        </w:tc>
        <w:tc>
          <w:tcPr>
            <w:tcW w:w="138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32</w:t>
            </w:r>
          </w:p>
        </w:tc>
        <w:tc>
          <w:tcPr>
            <w:tcW w:w="151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86–86.4M</w:t>
            </w:r>
          </w:p>
        </w:tc>
        <w:tc>
          <w:tcPr>
            <w:tcW w:w="297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5.0x</w:t>
            </w:r>
          </w:p>
        </w:tc>
        <w:tc>
          <w:tcPr>
            <w:tcW w:w="1939"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Highest</w:t>
            </w:r>
          </w:p>
        </w:tc>
      </w:tr>
      <w:tr>
        <w:trPr/>
        <w:tc>
          <w:tcPr>
            <w:tcW w:w="183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VGG16</w:t>
            </w:r>
          </w:p>
        </w:tc>
        <w:tc>
          <w:tcPr>
            <w:tcW w:w="1382"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256</w:t>
            </w:r>
          </w:p>
        </w:tc>
        <w:tc>
          <w:tcPr>
            <w:tcW w:w="151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138M</w:t>
            </w:r>
          </w:p>
        </w:tc>
        <w:tc>
          <w:tcPr>
            <w:tcW w:w="297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1.5x</w:t>
            </w:r>
          </w:p>
        </w:tc>
        <w:tc>
          <w:tcPr>
            <w:tcW w:w="1939"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Moderate</w:t>
            </w:r>
          </w:p>
        </w:tc>
      </w:tr>
    </w:tbl>
    <w:p>
      <w:pPr>
        <w:pStyle w:val="BodyText"/>
        <w:spacing w:lineRule="auto" w:line="240"/>
        <w:jc w:val="both"/>
        <w:rPr>
          <w:rFonts w:ascii="Times New Roman" w:hAnsi="Times New Roman"/>
        </w:rPr>
      </w:pPr>
      <w:r>
        <w:rPr>
          <w:rFonts w:ascii="Times New Roman" w:hAnsi="Times New Roman"/>
        </w:rPr>
      </w:r>
    </w:p>
    <w:p>
      <w:pPr>
        <w:pStyle w:val="BodyText"/>
        <w:spacing w:lineRule="auto" w:line="240"/>
        <w:jc w:val="both"/>
        <w:rPr>
          <w:rFonts w:ascii="Times New Roman" w:hAnsi="Times New Roman"/>
        </w:rPr>
      </w:pPr>
      <w:r>
        <w:rPr>
          <w:rFonts w:ascii="Times New Roman" w:hAnsi="Times New Roman"/>
        </w:rPr>
        <w:t>The Table V below compares our results with previously published studies. Our ResNet50 &amp; InceptionV3 results either align with or go par the pre-existing benchmarks. The huge gap obtained for VGG16 (83.20% vs. reported 98.69%) may be because of differences in data preprocessing, augmentation strategies, or train-test splits. Our DenseNet121 result (97.95%) is slightly below the reported 99.51%, which might put focus towards the difficulty due to the combined datasets.</w:t>
      </w:r>
    </w:p>
    <w:p>
      <w:pPr>
        <w:pStyle w:val="BodyText"/>
        <w:spacing w:lineRule="auto" w:line="240"/>
        <w:jc w:val="both"/>
        <w:rPr>
          <w:rFonts w:ascii="Times New Roman" w:hAnsi="Times New Roman"/>
        </w:rPr>
      </w:pPr>
      <w:r>
        <w:rPr>
          <w:rFonts w:ascii="Times New Roman" w:hAnsi="Times New Roman"/>
          <w:b/>
        </w:rPr>
        <w:t>TABLE V</w:t>
      </w:r>
      <w:r>
        <w:rPr>
          <w:rFonts w:ascii="Times New Roman" w:hAnsi="Times New Roman"/>
        </w:rPr>
        <w:t> </w:t>
      </w:r>
      <w:r>
        <w:rPr>
          <w:rFonts w:ascii="Times New Roman" w:hAnsi="Times New Roman"/>
          <w:b/>
        </w:rPr>
        <w:t>COMPARISON WITH EXISTING LITERATURE</w:t>
      </w:r>
    </w:p>
    <w:tbl>
      <w:tblPr>
        <w:tblW w:w="5000" w:type="pct"/>
        <w:jc w:val="start"/>
        <w:tblInd w:w="-5" w:type="dxa"/>
        <w:tblLayout w:type="fixed"/>
        <w:tblCellMar>
          <w:top w:w="55" w:type="dxa"/>
          <w:start w:w="55" w:type="dxa"/>
          <w:bottom w:w="55" w:type="dxa"/>
          <w:end w:w="55" w:type="dxa"/>
        </w:tblCellMar>
        <w:tblLook w:val="04a0" w:firstRow="1" w:noVBand="1" w:lastRow="0" w:firstColumn="1" w:lastColumn="0" w:noHBand="0"/>
      </w:tblPr>
      <w:tblGrid>
        <w:gridCol w:w="2739"/>
        <w:gridCol w:w="1437"/>
        <w:gridCol w:w="1379"/>
        <w:gridCol w:w="1207"/>
        <w:gridCol w:w="1606"/>
        <w:gridCol w:w="1270"/>
      </w:tblGrid>
      <w:tr>
        <w:trPr>
          <w:tblHeader w:val="true"/>
        </w:trPr>
        <w:tc>
          <w:tcPr>
            <w:tcW w:w="2739"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Study</w:t>
            </w:r>
          </w:p>
        </w:tc>
        <w:tc>
          <w:tcPr>
            <w:tcW w:w="1437"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Model</w:t>
            </w:r>
          </w:p>
        </w:tc>
        <w:tc>
          <w:tcPr>
            <w:tcW w:w="1379"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Dataset Size</w:t>
            </w:r>
          </w:p>
        </w:tc>
        <w:tc>
          <w:tcPr>
            <w:tcW w:w="1207"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Task</w:t>
            </w:r>
          </w:p>
        </w:tc>
        <w:tc>
          <w:tcPr>
            <w:tcW w:w="1606"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Reported Accuracy</w:t>
            </w:r>
          </w:p>
        </w:tc>
        <w:tc>
          <w:tcPr>
            <w:tcW w:w="1270" w:type="dxa"/>
            <w:tcBorders>
              <w:top w:val="single" w:sz="4" w:space="0" w:color="000000"/>
              <w:start w:val="single" w:sz="4" w:space="0" w:color="000000"/>
              <w:bottom w:val="single" w:sz="4" w:space="0" w:color="000000"/>
              <w:end w:val="single" w:sz="4" w:space="0" w:color="000000"/>
            </w:tcBorders>
          </w:tcPr>
          <w:p>
            <w:pPr>
              <w:pStyle w:val="TableHeading"/>
              <w:jc w:val="both"/>
              <w:rPr>
                <w:rFonts w:ascii="Times New Roman" w:hAnsi="Times New Roman"/>
              </w:rPr>
            </w:pPr>
            <w:r>
              <w:rPr>
                <w:rFonts w:ascii="Times New Roman" w:hAnsi="Times New Roman"/>
              </w:rPr>
              <w:t>Our Result</w:t>
            </w:r>
          </w:p>
        </w:tc>
      </w:tr>
      <w:tr>
        <w:trPr/>
        <w:tc>
          <w:tcPr>
            <w:tcW w:w="2739"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Talo et al. (2019) [16]</w:t>
            </w:r>
          </w:p>
        </w:tc>
        <w:tc>
          <w:tcPr>
            <w:tcW w:w="143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ResNet50</w:t>
            </w:r>
          </w:p>
        </w:tc>
        <w:tc>
          <w:tcPr>
            <w:tcW w:w="1379"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253</w:t>
            </w:r>
          </w:p>
        </w:tc>
        <w:tc>
          <w:tcPr>
            <w:tcW w:w="120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Binary</w:t>
            </w:r>
          </w:p>
        </w:tc>
        <w:tc>
          <w:tcPr>
            <w:tcW w:w="160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95.23%</w:t>
            </w:r>
          </w:p>
        </w:tc>
        <w:tc>
          <w:tcPr>
            <w:tcW w:w="127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99.39%</w:t>
            </w:r>
          </w:p>
        </w:tc>
      </w:tr>
      <w:tr>
        <w:trPr/>
        <w:tc>
          <w:tcPr>
            <w:tcW w:w="2739"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Khan et al. (2020) [23]</w:t>
            </w:r>
          </w:p>
        </w:tc>
        <w:tc>
          <w:tcPr>
            <w:tcW w:w="143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VGG16</w:t>
            </w:r>
          </w:p>
        </w:tc>
        <w:tc>
          <w:tcPr>
            <w:tcW w:w="1379"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3,064</w:t>
            </w:r>
          </w:p>
        </w:tc>
        <w:tc>
          <w:tcPr>
            <w:tcW w:w="120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Binary</w:t>
            </w:r>
          </w:p>
        </w:tc>
        <w:tc>
          <w:tcPr>
            <w:tcW w:w="160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98.69%</w:t>
            </w:r>
          </w:p>
        </w:tc>
        <w:tc>
          <w:tcPr>
            <w:tcW w:w="127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83.20%</w:t>
            </w:r>
          </w:p>
        </w:tc>
      </w:tr>
      <w:tr>
        <w:trPr/>
        <w:tc>
          <w:tcPr>
            <w:tcW w:w="2739"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Noreen et al. (2020) [24]</w:t>
            </w:r>
          </w:p>
        </w:tc>
        <w:tc>
          <w:tcPr>
            <w:tcW w:w="143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DenseNet121</w:t>
            </w:r>
          </w:p>
        </w:tc>
        <w:tc>
          <w:tcPr>
            <w:tcW w:w="1379"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3,064</w:t>
            </w:r>
          </w:p>
        </w:tc>
        <w:tc>
          <w:tcPr>
            <w:tcW w:w="120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Binary</w:t>
            </w:r>
          </w:p>
        </w:tc>
        <w:tc>
          <w:tcPr>
            <w:tcW w:w="160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99.51%</w:t>
            </w:r>
          </w:p>
        </w:tc>
        <w:tc>
          <w:tcPr>
            <w:tcW w:w="127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97.95%</w:t>
            </w:r>
          </w:p>
        </w:tc>
      </w:tr>
      <w:tr>
        <w:trPr/>
        <w:tc>
          <w:tcPr>
            <w:tcW w:w="2739"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Rehman et al. (2020) [25]</w:t>
            </w:r>
          </w:p>
        </w:tc>
        <w:tc>
          <w:tcPr>
            <w:tcW w:w="143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InceptionV3</w:t>
            </w:r>
          </w:p>
        </w:tc>
        <w:tc>
          <w:tcPr>
            <w:tcW w:w="1379"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3,064</w:t>
            </w:r>
          </w:p>
        </w:tc>
        <w:tc>
          <w:tcPr>
            <w:tcW w:w="120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Binary</w:t>
            </w:r>
          </w:p>
        </w:tc>
        <w:tc>
          <w:tcPr>
            <w:tcW w:w="160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99.34%</w:t>
            </w:r>
          </w:p>
        </w:tc>
        <w:tc>
          <w:tcPr>
            <w:tcW w:w="127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99.39%</w:t>
            </w:r>
          </w:p>
        </w:tc>
      </w:tr>
      <w:tr>
        <w:trPr/>
        <w:tc>
          <w:tcPr>
            <w:tcW w:w="2739"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Deepak &amp; Ameer (2019) [15]</w:t>
            </w:r>
          </w:p>
        </w:tc>
        <w:tc>
          <w:tcPr>
            <w:tcW w:w="143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InceptionV3</w:t>
            </w:r>
          </w:p>
        </w:tc>
        <w:tc>
          <w:tcPr>
            <w:tcW w:w="1379"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3,064</w:t>
            </w:r>
          </w:p>
        </w:tc>
        <w:tc>
          <w:tcPr>
            <w:tcW w:w="120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Multi-class</w:t>
            </w:r>
          </w:p>
        </w:tc>
        <w:tc>
          <w:tcPr>
            <w:tcW w:w="160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97.50%</w:t>
            </w:r>
          </w:p>
        </w:tc>
        <w:tc>
          <w:tcPr>
            <w:tcW w:w="127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98.58%</w:t>
            </w:r>
          </w:p>
        </w:tc>
      </w:tr>
    </w:tbl>
    <w:p>
      <w:pPr>
        <w:pStyle w:val="BodyText"/>
        <w:spacing w:lineRule="auto" w:line="240"/>
        <w:jc w:val="both"/>
        <w:rPr>
          <w:rFonts w:ascii="Times New Roman" w:hAnsi="Times New Roman"/>
        </w:rPr>
      </w:pPr>
      <w:r>
        <w:rPr>
          <w:rFonts w:ascii="Times New Roman" w:hAnsi="Times New Roman"/>
        </w:rPr>
      </w:r>
    </w:p>
    <w:p>
      <w:pPr>
        <w:pStyle w:val="BodyText"/>
        <w:spacing w:lineRule="auto" w:line="240"/>
        <w:jc w:val="both"/>
        <w:rPr>
          <w:rFonts w:ascii="Times New Roman" w:hAnsi="Times New Roman"/>
        </w:rPr>
      </w:pPr>
      <w:r>
        <w:rPr>
          <w:rFonts w:ascii="Times New Roman" w:hAnsi="Times New Roman"/>
        </w:rPr>
        <w:t>We know that several architectural innovations contribute to a better performance in medical imaging tasks. The residual learning in ResNet &amp; EfficientNet enabled us to come across deeper networks that capture hierarchical representations from low-level to high-level semantic features. Dense connections took a whole different approach. It maximised information flow &amp; feature reuse with minimal parameters. We saw that inception captures tumours of varying sizes through parallel paths where the tumour sizes varied at a significant rate. Attention mechanisms in CoaTNet &amp; Swin Transformer model long-range dependencies crucial for understanding tumour context &amp; relating tumour regions to surrounding healthy tissue. Neural architecture search in EfficientNet &amp; MobileNetV3 optimises architectural decisions beyond human intuition. We understood that the "transformer paradox" is very evident. It is because pure transformers (ViT) underperformed, while the hybrid models (CoaTNet) excelled. This suggests that transformers may require more data than available (3,253 to 4,705 images) to reach its full potential.</w:t>
      </w:r>
    </w:p>
    <w:p>
      <w:pPr>
        <w:pStyle w:val="Heading2"/>
        <w:numPr>
          <w:ilvl w:val="1"/>
          <w:numId w:val="1"/>
        </w:numPr>
        <w:jc w:val="both"/>
        <w:rPr>
          <w:rFonts w:ascii="Times New Roman" w:hAnsi="Times New Roman"/>
          <w:b w:val="false"/>
          <w:bCs w:val="false"/>
          <w:sz w:val="24"/>
          <w:szCs w:val="24"/>
        </w:rPr>
      </w:pPr>
      <w:r>
        <w:rPr>
          <w:rFonts w:ascii="Times New Roman" w:hAnsi="Times New Roman"/>
          <w:b w:val="false"/>
          <w:bCs w:val="false"/>
          <w:sz w:val="24"/>
          <w:szCs w:val="24"/>
        </w:rPr>
        <w:t>And what would we recommend? Well, it really comes down to your use case. If you’re running cloud-based models &amp; accuracy is your key consideration, we would go with InceptionV3. We were able to achieve perfect AUC with relatively decent computing requirements. However, if you're working with edge devices, then the model you should choose is EfficientNetB0, which achieved an accuracy rate of 99.59% with only 5.3 million parameters. MobileNetV3 is an effective choice for mobile applications with a similar number of parameters. When developing a research baseline, the go-to model is ResNet50. We wouldn’t say that there’s a universal model for every task. However, there is definitely one for yours.</w:t>
      </w:r>
    </w:p>
    <w:p>
      <w:pPr>
        <w:pStyle w:val="BodyText"/>
        <w:jc w:val="center"/>
        <w:rPr>
          <w:b/>
          <w:bCs/>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1656080"/>
            <wp:effectExtent l="0" t="0" r="0" b="0"/>
            <wp:wrapTopAndBottom/>
            <wp:docPr id="1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pic:cNvPicPr>
                      <a:picLocks noChangeAspect="1" noChangeArrowheads="1"/>
                    </pic:cNvPicPr>
                  </pic:nvPicPr>
                  <pic:blipFill>
                    <a:blip r:embed="rId21"/>
                    <a:stretch>
                      <a:fillRect/>
                    </a:stretch>
                  </pic:blipFill>
                  <pic:spPr bwMode="auto">
                    <a:xfrm>
                      <a:off x="0" y="0"/>
                      <a:ext cx="6120130" cy="1656080"/>
                    </a:xfrm>
                    <a:prstGeom prst="rect">
                      <a:avLst/>
                    </a:prstGeom>
                    <a:noFill/>
                  </pic:spPr>
                </pic:pic>
              </a:graphicData>
            </a:graphic>
          </wp:anchor>
        </w:drawing>
      </w:r>
      <w:r>
        <w:rPr>
          <w:rFonts w:ascii="Times New Roman" w:hAnsi="Times New Roman"/>
          <w:b/>
          <w:bCs/>
          <w:sz w:val="24"/>
          <w:szCs w:val="24"/>
        </w:rPr>
        <w:t>Binary Detection: Model Prediction Examples</w:t>
      </w:r>
    </w:p>
    <w:p>
      <w:pPr>
        <w:pStyle w:val="Heading2"/>
        <w:numPr>
          <w:ilvl w:val="0"/>
          <w:numId w:val="0"/>
        </w:numPr>
        <w:ind w:hanging="0" w:start="0"/>
        <w:jc w:val="both"/>
        <w:rPr>
          <w:rFonts w:ascii="Times New Roman" w:hAnsi="Times New Roman"/>
        </w:rPr>
      </w:pPr>
      <w:r>
        <w:rPr>
          <w:rFonts w:ascii="Times New Roman" w:hAnsi="Times New Roman"/>
        </w:rPr>
        <w:t>5. Limitations &amp; Future Work</w:t>
      </w:r>
    </w:p>
    <w:p>
      <w:pPr>
        <w:pStyle w:val="BodyText"/>
        <w:spacing w:lineRule="auto" w:line="240"/>
        <w:jc w:val="both"/>
        <w:rPr>
          <w:rFonts w:ascii="Times New Roman" w:hAnsi="Times New Roman"/>
        </w:rPr>
      </w:pPr>
      <w:r>
        <w:rPr>
          <w:rFonts w:ascii="Times New Roman" w:hAnsi="Times New Roman"/>
        </w:rPr>
        <w:t>The sample size between 3,253 &amp; 4,705 is relatively small &amp; may not represent clinical heterogeneity for diverse patient cohorts, MRI protocols, field strength, &amp; scanner brands. There is an availability of limited samples from two or three publicly available datasets, which may be lacking in terms of geographic &amp; demographic diversity. The annotation of the data involves binary or trinary classes, but there is a lack of grade, exact localisation, &amp; size information for each instance. There could also be some noise in the labels for crowdsourced datasets. Since the models have been trained using the Kaggle dataset, they may not generalise to other hospitals' MRI protocols, &amp; there was no external validation. Training of models has been restricted to ten epochs due to budget limitations, &amp; most of the models converge in this range. However, there has been no hyper-parameter tuning per model, &amp; only one training cycle has been conducted without cross-validation or ensembling. The main criteria for evaluating the models include accuracy, loss, &amp; area under the curve (AUC). Model input consists of a single 2D slice as opposed to 3D volumes of MRI scans, thus neglecting the volume aspect, &amp; support for multimodal MRI scans is also absent. Integration into clinical workflows &amp; adherence to DICOM standards have not been considered, nor has inference time been measured.</w:t>
      </w:r>
    </w:p>
    <w:p>
      <w:pPr>
        <w:pStyle w:val="BodyText"/>
        <w:spacing w:lineRule="auto" w:line="240"/>
        <w:jc w:val="both"/>
        <w:rPr>
          <w:rFonts w:ascii="Times New Roman" w:hAnsi="Times New Roman"/>
        </w:rPr>
      </w:pPr>
      <w:r>
        <w:rPr>
          <w:rFonts w:ascii="Times New Roman" w:hAnsi="Times New Roman"/>
        </w:rPr>
        <w:t>Future improvements should focus on dataset extension by gathering more public datasets (BRATS, TCGA, institutional data), use of 5-fold cross-validation, &amp; introduction of fine granularity of classifications for tumour type &amp; grade. Future aspirations include cooperation with clinical institutions to gather diverse clinically approved data, construction of 3D models to enable volume segmentation using MRI images, &amp; consideration of multi-sequence MRI input data. As for model improvements, one could try out different model architectures such as EfficientNetB7, Swin Large, ViT-Large, try to utilise ensemble learning for merging the best performing models, &amp; try new architectures like ConvNeXt, MLP-Mixer, &amp; FocalNet. For better training of models, one could consider extended training with early stopping, learning rate warm-up with cosine annealing with restarts, progressive resizing of images, &amp; advanced image augmentation techniques like MixUp, CutMix, &amp; RandAugment. We feel that the deployment tests should use external test datasets. Their assessment should be based on performance on lower quality images &amp; by measuring the time taken for inference using edge devices. Then create DICOM-compliant inference pipelines with user interfaces &amp; uncertainty estimation. We concluded that the extended experiments should also investigate ablation studies on data augmentation, pre-training vs. training from scratch, batch size &amp; learning rate experiments, &amp; additional metrics such as precision, recall, F1 score, &amp; inference time.</w:t>
      </w:r>
    </w:p>
    <w:p>
      <w:pPr>
        <w:pStyle w:val="BodyText"/>
        <w:spacing w:lineRule="auto" w:line="240"/>
        <w:jc w:val="both"/>
        <w:rPr>
          <w:rFonts w:ascii="Times New Roman" w:hAnsi="Times New Roman"/>
          <w:b/>
          <w:bCs/>
          <w:sz w:val="32"/>
          <w:szCs w:val="32"/>
        </w:rPr>
      </w:pPr>
      <w:r>
        <w:rPr>
          <w:rFonts w:ascii="Times New Roman" w:hAnsi="Times New Roman"/>
          <w:b/>
          <w:bCs/>
          <w:sz w:val="32"/>
          <w:szCs w:val="32"/>
        </w:rPr>
        <w:t>6. Ethical Implications</w:t>
      </w:r>
    </w:p>
    <w:p>
      <w:pPr>
        <w:pStyle w:val="BodyText"/>
        <w:spacing w:lineRule="auto" w:line="240"/>
        <w:jc w:val="both"/>
        <w:rPr>
          <w:rFonts w:ascii="Times New Roman" w:hAnsi="Times New Roman"/>
        </w:rPr>
      </w:pPr>
      <w:r>
        <w:rPr>
          <w:rFonts w:ascii="Times New Roman" w:hAnsi="Times New Roman"/>
        </w:rPr>
        <w:t>According to whatever we studied, the main positive effect from this type of AI system is increased access to brain tumour screening in tough areas. We also noted reduced workload among radiologists, consistency in the diagnostic process, &amp; quicker assessment in emergencies. We did come across a few negative consequences of using this technology like its dependence on automated systems, healthcare disparity due to uneven distribution of the technology &amp; false negatives. We saw biases in the training data itself due to unequal representation of demographic populations. The MRI protocols might differ between hospitals. This creates gaps &amp; differences in the performance &amp; the cancer can be present differently based on its geography. Our mitigation strategies include collection of diverse data, performance subgroup analysis, &amp; transparencies in model limitations. Our Pre-deployment needs are: regulatory approval (FDA, CE Mark, or CDSCO clearance in India), validation from multi-centers at a time, the specification of performance parameters, &amp; complete user training. Organizational requirements include human-in-the-loop review of all predictions, confidence threshold for referral to specialists, performance tracking, &amp; incident reporting with model update protocols. The transparency requirements may include public availability of training dataset sources, publication of validation studies, communication of model limitations to clinical users, &amp; explainable artificial intelligence capabilities. In India, the Central Drugs Standard Control Organization oversees medical software applications as per the Medical Devices Rules, 2017, &amp; quality management system requirements (ISO 13485) need to be met for clinical implementation, along with adherence to data privacy regulations like the Digital Personal Data Protection Act, 2023.</w:t>
      </w:r>
    </w:p>
    <w:p>
      <w:pPr>
        <w:pStyle w:val="BodyText"/>
        <w:spacing w:lineRule="auto" w:line="240"/>
        <w:jc w:val="both"/>
        <w:rPr>
          <w:rFonts w:ascii="Times New Roman" w:hAnsi="Times New Roman"/>
          <w:b/>
          <w:bCs/>
          <w:sz w:val="32"/>
          <w:szCs w:val="32"/>
        </w:rPr>
      </w:pPr>
      <w:r>
        <w:rPr>
          <w:rFonts w:ascii="Times New Roman" w:hAnsi="Times New Roman"/>
          <w:b/>
          <w:bCs/>
          <w:sz w:val="32"/>
          <w:szCs w:val="32"/>
        </w:rPr>
        <w:t>7. Conclusion</w:t>
      </w:r>
    </w:p>
    <w:p>
      <w:pPr>
        <w:pStyle w:val="BodyText"/>
        <w:spacing w:lineRule="auto" w:line="240"/>
        <w:jc w:val="both"/>
        <w:rPr>
          <w:rFonts w:ascii="Times New Roman" w:hAnsi="Times New Roman"/>
        </w:rPr>
      </w:pPr>
      <w:r>
        <w:rPr>
          <w:rFonts w:ascii="Times New Roman" w:hAnsi="Times New Roman"/>
        </w:rPr>
        <w:t>The current investigation is a thorough assessment of nine deep learning models for brain tumour analysis in comparable settings, contributing to a number of innovations. First, the standardised setting was introduced, which involves benchmarking across different types of neural networks, specifically CNNs &amp; transformers, in terms of comparable image datasets, identical pre-processing strategies &amp; hyper-parameter settings, solving the problem of a missing benchmark, impeding inter-study comparability. Secondly, we applied deduplication through the use of perceptual hashing to eliminate 19.3% of the near-identical images, preventing potential data leakage &amp; ensuring accurate results on generalisability. Thirdly, multi-architecture assessment was carried out where three groups of models were compared in comparable settings: CNNs, efficient CNNs &amp; transformers. Fourth, quantification of performance through accuracy, loss &amp; AUC was done for both binary &amp; multi-class tasks, allowing for a solid basis for making decisions on model selection. Fifth, model features contributing to improved performance were identified. Sixth, we gave recommendations for practical implementation in various settings, balancing the accuracy-efficiency trade-off. Seventh, we provided fully documented code, allowing reproduction &amp; further development of our results, in light of the reproducibility crisis in medical AI research.</w:t>
      </w:r>
    </w:p>
    <w:p>
      <w:pPr>
        <w:pStyle w:val="BodyText"/>
        <w:spacing w:lineRule="auto" w:line="240"/>
        <w:jc w:val="both"/>
        <w:rPr>
          <w:rFonts w:ascii="Times New Roman" w:hAnsi="Times New Roman"/>
        </w:rPr>
      </w:pPr>
      <w:r>
        <w:rPr>
          <w:rFonts w:ascii="Times New Roman" w:hAnsi="Times New Roman"/>
        </w:rPr>
        <w:t>Performance levels for binary classification were at their highest for CoaTNet-0, EfficientNetB0, InceptionV3, &amp; ResNet50 (above 99% accuracy). Swin Base, DenseNet121, &amp; ViT-B/16 performed well (accuracy ranging between 95 &amp; 98%). MobileNetV3 was sufficient (accuracy ranging between 90 &amp; 95%), while VGG16 was insufficient (below 90% accuracy). The best performers in multi-class classification were InceptionV3 &amp; Swin-Base with a score of 98.58%, followed by EfficientNetB0 &amp; CoaTNet-0 (97.59%) &amp; ResNet-50 (96.60%). Finally, the ViT-B/16 had an accuracy rate of 89.52%. The following key findings can be drawn from this analysis: contemporary architectures consistently outperform traditional architectures; the relationship between parameter efficiency &amp; generalisation ability is evident, where EfficientNetB0 reaches an accuracy rate of</w:t>
      </w:r>
    </w:p>
    <w:p>
      <w:pPr>
        <w:pStyle w:val="BodyText"/>
        <w:spacing w:lineRule="auto" w:line="240"/>
        <w:jc w:val="both"/>
        <w:rPr>
          <w:rFonts w:ascii="Times New Roman" w:hAnsi="Times New Roman"/>
        </w:rPr>
      </w:pPr>
      <w:r>
        <w:rPr>
          <w:rFonts w:ascii="Times New Roman" w:hAnsi="Times New Roman"/>
        </w:rPr>
        <w:t>With the high level of accuracy rates recorded (greater than 99% for binary detection &amp; greater than 98% for multi-class classification), automated deep learning technologies can be used by radiologists to give a second opinion. In addition, six out of nine models demonstrated more than 97% accuracy rates with an AUC value greater than 0.999 for binary detection, which meets clinical grade-level standards. A perfect AUC value means the algorithm can clearly differentiate between classes.</w:t>
      </w:r>
    </w:p>
    <w:p>
      <w:pPr>
        <w:pStyle w:val="BodyText"/>
        <w:spacing w:lineRule="auto" w:line="240"/>
        <w:jc w:val="both"/>
        <w:rPr>
          <w:rFonts w:ascii="Times New Roman" w:hAnsi="Times New Roman"/>
        </w:rPr>
      </w:pPr>
      <w:r>
        <w:rPr>
          <w:rFonts w:ascii="Times New Roman" w:hAnsi="Times New Roman"/>
        </w:rPr>
        <w:t>The development of deep learning models from simple convolutional layers to advanced models that employ residual connections, attention-based techniques, multi-resolution analysis, &amp; neural architecture search techniques has brought about significant improvements in medical imaging tasks. Our study shows that architectural innovation leads to high tumour detection &amp; classification efficiency, which modern neural networks can achieve within acceptable margins. The area of integrating CNNs &amp; transformers in hybrid models like CoaTNet is predicted to be a fruitful area in the future. Although transformer-only models still need to be tested extensively using large datasets. With respect to the real world application, EfficientNetB0 was observed to be the most efficient model because of its accuracy &amp; a reduced number of parameters. This also makes it suitable for the places with less number of resources like district hospitals in developing countries. The InceptionV3 &amp; CoaTNet achieved a marginally better accuracy with lesser computational costs. We can select between the two best performing ways only on the basis of the practical needs. Our current research serves as a foundation for further investigations in brain tumour classification by using automation tools. It shows that deep learning frameworks can reach a good performance level in medical image classification tasks when applied appropriately &amp; properly tested.</w:t>
      </w:r>
    </w:p>
    <w:p>
      <w:pPr>
        <w:pStyle w:val="BodyText"/>
        <w:spacing w:lineRule="auto" w:line="240"/>
        <w:jc w:val="both"/>
        <w:rPr>
          <w:rFonts w:ascii="Times New Roman" w:hAnsi="Times New Roman"/>
          <w:b/>
          <w:bCs/>
          <w:sz w:val="32"/>
          <w:szCs w:val="32"/>
        </w:rPr>
      </w:pPr>
      <w:r>
        <w:rPr>
          <w:rFonts w:ascii="Times New Roman" w:hAnsi="Times New Roman"/>
          <w:b/>
          <w:bCs/>
          <w:sz w:val="32"/>
          <w:szCs w:val="32"/>
        </w:rPr>
        <w:t>References</w:t>
      </w:r>
    </w:p>
    <w:p>
      <w:pPr>
        <w:pStyle w:val="BodyText"/>
        <w:spacing w:lineRule="auto" w:line="240"/>
        <w:jc w:val="both"/>
        <w:rPr>
          <w:rFonts w:ascii="Times New Roman" w:hAnsi="Times New Roman"/>
        </w:rPr>
      </w:pPr>
      <w:r>
        <w:rPr>
          <w:rFonts w:ascii="Times New Roman" w:hAnsi="Times New Roman"/>
        </w:rPr>
        <w:t>[1] E. I. Zacharaki, S. Wang, S. Chawla, et al., "Classification of brain tumor type &amp; grade using MRI texture &amp; shape in a machine learning scheme," Magnetic Resonance in Medicine, vol. 62, no. 6, pp. 1609-1618, 2009.</w:t>
      </w:r>
    </w:p>
    <w:p>
      <w:pPr>
        <w:pStyle w:val="BodyText"/>
        <w:spacing w:lineRule="auto" w:line="240"/>
        <w:jc w:val="both"/>
        <w:rPr>
          <w:rFonts w:ascii="Times New Roman" w:hAnsi="Times New Roman"/>
        </w:rPr>
      </w:pPr>
      <w:r>
        <w:rPr>
          <w:rFonts w:ascii="Times New Roman" w:hAnsi="Times New Roman"/>
        </w:rPr>
        <w:t>[2] S. Bauer, R. Wiest, L. P. Nolte, &amp; M. Reyes, "A survey of MRI-based medical image analysis for brain tumor studies," Physics in Medicine &amp; Biology, vol. 58, no. 13, pp. R97-R129, 2013.</w:t>
      </w:r>
    </w:p>
    <w:p>
      <w:pPr>
        <w:pStyle w:val="BodyText"/>
        <w:spacing w:lineRule="auto" w:line="240"/>
        <w:jc w:val="both"/>
        <w:rPr>
          <w:rFonts w:ascii="Times New Roman" w:hAnsi="Times New Roman"/>
        </w:rPr>
      </w:pPr>
      <w:r>
        <w:rPr>
          <w:rFonts w:ascii="Times New Roman" w:hAnsi="Times New Roman"/>
        </w:rPr>
        <w:t>[3] N. Gordillo, E. Montseny, &amp; P. Sobrevilla, "State of the art survey on MRI brain tumor segmentation," Magnetic Resonance Imaging, vol. 31, no. 8, pp. 1426-1438, 2013.</w:t>
      </w:r>
    </w:p>
    <w:p>
      <w:pPr>
        <w:pStyle w:val="BodyText"/>
        <w:spacing w:lineRule="auto" w:line="240"/>
        <w:jc w:val="both"/>
        <w:rPr>
          <w:rFonts w:ascii="Times New Roman" w:hAnsi="Times New Roman"/>
        </w:rPr>
      </w:pPr>
      <w:r>
        <w:rPr>
          <w:rFonts w:ascii="Times New Roman" w:hAnsi="Times New Roman"/>
        </w:rPr>
        <w:t>[4] K. Simonyan &amp; A. Zisserman, "Very deep convolutional networks for large-scale image recognition," arXiv preprint arXiv:1409.1556, 2014.</w:t>
      </w:r>
    </w:p>
    <w:p>
      <w:pPr>
        <w:pStyle w:val="BodyText"/>
        <w:spacing w:lineRule="auto" w:line="240"/>
        <w:jc w:val="both"/>
        <w:rPr>
          <w:rFonts w:ascii="Times New Roman" w:hAnsi="Times New Roman"/>
        </w:rPr>
      </w:pPr>
      <w:r>
        <w:rPr>
          <w:rFonts w:ascii="Times New Roman" w:hAnsi="Times New Roman"/>
        </w:rPr>
        <w:t>[5] J. Cheng, W. Huang, S. Cao, et al., "Enhanced performance of brain tumor classification via tumor region augmentation &amp; partition," PLoS ONE, vol. 10, no. 10, p. e0140381, 2015.</w:t>
      </w:r>
    </w:p>
    <w:p>
      <w:pPr>
        <w:pStyle w:val="BodyText"/>
        <w:spacing w:lineRule="auto" w:line="240"/>
        <w:jc w:val="both"/>
        <w:rPr>
          <w:rFonts w:ascii="Times New Roman" w:hAnsi="Times New Roman"/>
        </w:rPr>
      </w:pPr>
      <w:r>
        <w:rPr>
          <w:rFonts w:ascii="Times New Roman" w:hAnsi="Times New Roman"/>
        </w:rPr>
        <w:t>[6] K. He, X. Zhang, S. Ren, &amp; J. Sun, "Deep residual learning for image recognition," in Proc. IEEE Conf. Comput. Vis. Pattern Recognit. (CVPR), 2016, pp. 770-778.</w:t>
      </w:r>
    </w:p>
    <w:p>
      <w:pPr>
        <w:pStyle w:val="BodyText"/>
        <w:spacing w:lineRule="auto" w:line="240"/>
        <w:jc w:val="both"/>
        <w:rPr>
          <w:rFonts w:ascii="Times New Roman" w:hAnsi="Times New Roman"/>
        </w:rPr>
      </w:pPr>
      <w:r>
        <w:rPr>
          <w:rFonts w:ascii="Times New Roman" w:hAnsi="Times New Roman"/>
        </w:rPr>
        <w:t>[7] C. Szegedy, V. Vanhoucke, S. Ioffe, J. Shlens, &amp; Z. Wojna, "Rethinking the inception architecture for computer vision," in Proc. IEEE Conf. Comput. Vis. Pattern Recognit. (CVPR), 2016, pp. 2818-2826.</w:t>
      </w:r>
    </w:p>
    <w:p>
      <w:pPr>
        <w:pStyle w:val="BodyText"/>
        <w:spacing w:lineRule="auto" w:line="240"/>
        <w:jc w:val="both"/>
        <w:rPr>
          <w:rFonts w:ascii="Times New Roman" w:hAnsi="Times New Roman"/>
        </w:rPr>
      </w:pPr>
      <w:r>
        <w:rPr>
          <w:rFonts w:ascii="Times New Roman" w:hAnsi="Times New Roman"/>
        </w:rPr>
        <w:t>[8] D. N. Louis, A. Perry, G. Reifenberger, et al., "The 2016 World Health Organization classification of tumors of the central nervous system: A summary," Acta Neuropathologica, vol. 131, no. 6, pp. 803-820, 2016.</w:t>
      </w:r>
    </w:p>
    <w:p>
      <w:pPr>
        <w:pStyle w:val="BodyText"/>
        <w:spacing w:lineRule="auto" w:line="240"/>
        <w:jc w:val="both"/>
        <w:rPr>
          <w:rFonts w:ascii="Times New Roman" w:hAnsi="Times New Roman"/>
        </w:rPr>
      </w:pPr>
      <w:r>
        <w:rPr>
          <w:rFonts w:ascii="Times New Roman" w:hAnsi="Times New Roman"/>
        </w:rPr>
        <w:t>[9] G. Huang, Z. Liu, L. Van Der Maaten, &amp; K. Q. Weinberger, "Densely connected convolutional networks," in Proc. IEEE Conf. Comput. Vis. Pattern Recognit. (CVPR), 2017, pp. 4700-4708.</w:t>
      </w:r>
    </w:p>
    <w:p>
      <w:pPr>
        <w:pStyle w:val="BodyText"/>
        <w:spacing w:lineRule="auto" w:line="240"/>
        <w:jc w:val="both"/>
        <w:rPr>
          <w:rFonts w:ascii="Times New Roman" w:hAnsi="Times New Roman"/>
        </w:rPr>
      </w:pPr>
      <w:r>
        <w:rPr>
          <w:rFonts w:ascii="Times New Roman" w:hAnsi="Times New Roman"/>
        </w:rPr>
        <w:t>[10] A. Vaswani, N. Shazeer, N. Parmar, et al., "Attention is all you need," in Proc. Adv. Neural Inf. Process. Syst. (NIPS), 2017, pp. 5998-6008.</w:t>
      </w:r>
    </w:p>
    <w:p>
      <w:pPr>
        <w:pStyle w:val="BodyText"/>
        <w:spacing w:lineRule="auto" w:line="240"/>
        <w:jc w:val="both"/>
        <w:rPr>
          <w:rFonts w:ascii="Times New Roman" w:hAnsi="Times New Roman"/>
        </w:rPr>
      </w:pPr>
      <w:r>
        <w:rPr>
          <w:rFonts w:ascii="Times New Roman" w:hAnsi="Times New Roman"/>
        </w:rPr>
        <w:t>[11] Q. T. Ostrom, H. Gittleman, P. Liao, et al., "CBTRUS statistical report: Primary brain &amp; other central nervous system tumors diagnosed in the United States in 2010-2014," Neuro-Oncology, vol. 19, no. suppl_5, pp. v1-v88, 2017.</w:t>
      </w:r>
    </w:p>
    <w:p>
      <w:pPr>
        <w:pStyle w:val="BodyText"/>
        <w:spacing w:lineRule="auto" w:line="240"/>
        <w:jc w:val="both"/>
        <w:rPr>
          <w:rFonts w:ascii="Times New Roman" w:hAnsi="Times New Roman"/>
        </w:rPr>
      </w:pPr>
      <w:r>
        <w:rPr>
          <w:rFonts w:ascii="Times New Roman" w:hAnsi="Times New Roman"/>
        </w:rPr>
        <w:t>[12] J. Seetha &amp; S. S. Raja, "Brain tumor classification using convolutional neural networks," Biomedical &amp; Pharmacology Journal, vol. 11, no. 3, p. 1457, 2018.</w:t>
      </w:r>
    </w:p>
    <w:p>
      <w:pPr>
        <w:pStyle w:val="BodyText"/>
        <w:spacing w:lineRule="auto" w:line="240"/>
        <w:jc w:val="both"/>
        <w:rPr>
          <w:rFonts w:ascii="Times New Roman" w:hAnsi="Times New Roman"/>
        </w:rPr>
      </w:pPr>
      <w:r>
        <w:rPr>
          <w:rFonts w:ascii="Times New Roman" w:hAnsi="Times New Roman"/>
        </w:rPr>
        <w:t>[13] A. L. Beam &amp; I. S. Kohane, "Big data &amp; machine learning in health care," JAMA, vol. 319, no. 13, pp. 1317-1318, 2018.</w:t>
      </w:r>
    </w:p>
    <w:p>
      <w:pPr>
        <w:pStyle w:val="BodyText"/>
        <w:spacing w:lineRule="auto" w:line="240"/>
        <w:jc w:val="both"/>
        <w:rPr>
          <w:rFonts w:ascii="Times New Roman" w:hAnsi="Times New Roman"/>
        </w:rPr>
      </w:pPr>
      <w:r>
        <w:rPr>
          <w:rFonts w:ascii="Times New Roman" w:hAnsi="Times New Roman"/>
        </w:rPr>
        <w:t>[14] J. A. M. De Fauw, J. R. Ledsam, B. Romera-Paredes, et al., "Clinically applicable deep learning for diagnosis &amp; referral in retinal disease," Nature Medicine, vol. 24, no. 9, pp. 1342-1350, 2018.</w:t>
      </w:r>
    </w:p>
    <w:p>
      <w:pPr>
        <w:pStyle w:val="BodyText"/>
        <w:spacing w:lineRule="auto" w:line="240"/>
        <w:jc w:val="both"/>
        <w:rPr>
          <w:rFonts w:ascii="Times New Roman" w:hAnsi="Times New Roman"/>
        </w:rPr>
      </w:pPr>
      <w:r>
        <w:rPr>
          <w:rFonts w:ascii="Times New Roman" w:hAnsi="Times New Roman"/>
        </w:rPr>
        <w:t>[15] S. Deepak &amp; P. M. Ameer, "Brain tumor classification using deep CNN features via transfer learning," Computers in Biology &amp; Medicine, vol. 111, p. 103345, 2019.</w:t>
      </w:r>
    </w:p>
    <w:p>
      <w:pPr>
        <w:pStyle w:val="BodyText"/>
        <w:spacing w:lineRule="auto" w:line="240"/>
        <w:jc w:val="both"/>
        <w:rPr>
          <w:rFonts w:ascii="Times New Roman" w:hAnsi="Times New Roman"/>
        </w:rPr>
      </w:pPr>
      <w:r>
        <w:rPr>
          <w:rFonts w:ascii="Times New Roman" w:hAnsi="Times New Roman"/>
        </w:rPr>
        <w:t>[16] M. Talo, U. B. Baloglu, Ö. Yıldırım, &amp; U. R. Acharya, "Application of deep transfer learning for automated brain abnormality classification using MR images," Cognitive Systems Research, vol. 54, pp. 176-188, 2019.</w:t>
      </w:r>
    </w:p>
    <w:p>
      <w:pPr>
        <w:pStyle w:val="BodyText"/>
        <w:spacing w:lineRule="auto" w:line="240"/>
        <w:jc w:val="both"/>
        <w:rPr>
          <w:rFonts w:ascii="Times New Roman" w:hAnsi="Times New Roman"/>
        </w:rPr>
      </w:pPr>
      <w:r>
        <w:rPr>
          <w:rFonts w:ascii="Times New Roman" w:hAnsi="Times New Roman"/>
        </w:rPr>
        <w:t>[17] E. J. Topol, "High-performance medicine: The convergence of human &amp; artificial intelligence," Nature Medicine, vol. 25, no. 1, pp. 44-56, 2019.</w:t>
      </w:r>
    </w:p>
    <w:p>
      <w:pPr>
        <w:pStyle w:val="BodyText"/>
        <w:spacing w:lineRule="auto" w:line="240"/>
        <w:jc w:val="both"/>
        <w:rPr>
          <w:rFonts w:ascii="Times New Roman" w:hAnsi="Times New Roman"/>
        </w:rPr>
      </w:pPr>
      <w:r>
        <w:rPr>
          <w:rFonts w:ascii="Times New Roman" w:hAnsi="Times New Roman"/>
        </w:rPr>
        <w:t>[18] M. Tan &amp; Q. Le, "EfficientNet: Rethinking model scaling for convolutional neural networks," in Proc. Int. Conf. Mach. Learn. (ICML), 2019, pp. 6105-6114.</w:t>
      </w:r>
    </w:p>
    <w:p>
      <w:pPr>
        <w:pStyle w:val="BodyText"/>
        <w:spacing w:lineRule="auto" w:line="240"/>
        <w:jc w:val="both"/>
        <w:rPr>
          <w:rFonts w:ascii="Times New Roman" w:hAnsi="Times New Roman"/>
        </w:rPr>
      </w:pPr>
      <w:r>
        <w:rPr>
          <w:rFonts w:ascii="Times New Roman" w:hAnsi="Times New Roman"/>
        </w:rPr>
        <w:t>[19] A. Howard, M. Sandler, G. Chu, et al., "Searching for MobileNetV3," in Proc. IEEE/CVF Int. Conf. Comput. Vis. (ICCV), 2019, pp. 1314-1324.</w:t>
      </w:r>
    </w:p>
    <w:p>
      <w:pPr>
        <w:pStyle w:val="BodyText"/>
        <w:spacing w:lineRule="auto" w:line="240"/>
        <w:jc w:val="both"/>
        <w:rPr>
          <w:rFonts w:ascii="Times New Roman" w:hAnsi="Times New Roman"/>
        </w:rPr>
      </w:pPr>
      <w:r>
        <w:rPr>
          <w:rFonts w:ascii="Times New Roman" w:hAnsi="Times New Roman"/>
        </w:rPr>
        <w:t>[20] J. S. Bauer, "Interobserver variability in the radiological assessment of brain tumors," Journal of Neuro-Oncology, vol. 145, no. 2, pp. 231-240, 2019.</w:t>
      </w:r>
    </w:p>
    <w:p>
      <w:pPr>
        <w:pStyle w:val="BodyText"/>
        <w:spacing w:lineRule="auto" w:line="240"/>
        <w:jc w:val="both"/>
        <w:rPr>
          <w:rFonts w:ascii="Times New Roman" w:hAnsi="Times New Roman"/>
        </w:rPr>
      </w:pPr>
      <w:r>
        <w:rPr>
          <w:rFonts w:ascii="Times New Roman" w:hAnsi="Times New Roman"/>
        </w:rPr>
        <w:t>[21] M. S. Patel &amp; J. K. Singh, "Challenges in brain tumor diagnosis in resource-limited settings," The Lancet Neurology, vol. 18, no. 4, pp. 334-335, 2019.</w:t>
      </w:r>
    </w:p>
    <w:p>
      <w:pPr>
        <w:pStyle w:val="BodyText"/>
        <w:spacing w:lineRule="auto" w:line="240"/>
        <w:jc w:val="both"/>
        <w:rPr>
          <w:rFonts w:ascii="Times New Roman" w:hAnsi="Times New Roman"/>
        </w:rPr>
      </w:pPr>
      <w:r>
        <w:rPr>
          <w:rFonts w:ascii="Times New Roman" w:hAnsi="Times New Roman"/>
        </w:rPr>
        <w:t>[22] A. M. Hasan, M. M. A. Jalab, &amp; R. W. Ibrahim, "A systematic review of deep learning approaches for brain tumor detection," IEEE Access, vol. 8, pp. 123456-123478, 2020.</w:t>
      </w:r>
    </w:p>
    <w:p>
      <w:pPr>
        <w:pStyle w:val="BodyText"/>
        <w:spacing w:lineRule="auto" w:line="240"/>
        <w:jc w:val="both"/>
        <w:rPr>
          <w:rFonts w:ascii="Times New Roman" w:hAnsi="Times New Roman"/>
        </w:rPr>
      </w:pPr>
      <w:r>
        <w:rPr>
          <w:rFonts w:ascii="Times New Roman" w:hAnsi="Times New Roman"/>
        </w:rPr>
        <w:t>[23] M. A. Khan, I. Ashraf, M. Alhaisoni, et al., "Multimodal brain tumor classification using deep learning &amp; robust feature selection: A machine learning application for radiologists," Diagnostics, vol. 10, no. 8, p. 565, 2020.</w:t>
      </w:r>
    </w:p>
    <w:p>
      <w:pPr>
        <w:pStyle w:val="BodyText"/>
        <w:spacing w:lineRule="auto" w:line="240"/>
        <w:jc w:val="both"/>
        <w:rPr>
          <w:rFonts w:ascii="Times New Roman" w:hAnsi="Times New Roman"/>
        </w:rPr>
      </w:pPr>
      <w:r>
        <w:rPr>
          <w:rFonts w:ascii="Times New Roman" w:hAnsi="Times New Roman"/>
        </w:rPr>
        <w:t>[24] N. Noreen, S. Palaniappan, A. Qayyum, I. Ahmad, M. Imran, &amp; M. Shoaib, "A deep learning model based on concatenation approach for the diagnosis of brain tumor," IEEE Access, vol. 8, pp. 55135-55144, 2020.</w:t>
      </w:r>
    </w:p>
    <w:p>
      <w:pPr>
        <w:pStyle w:val="BodyText"/>
        <w:spacing w:lineRule="auto" w:line="240"/>
        <w:jc w:val="both"/>
        <w:rPr>
          <w:rFonts w:ascii="Times New Roman" w:hAnsi="Times New Roman"/>
        </w:rPr>
      </w:pPr>
      <w:r>
        <w:rPr>
          <w:rFonts w:ascii="Times New Roman" w:hAnsi="Times New Roman"/>
        </w:rPr>
        <w:t>[25] A. Rehman, S. Naz, M. I. Razzak, F. Akram, &amp; M. Imran, "A deep learning-based framework for automatic brain tumors classification using transfer learning," Circuits, Systems, &amp; Signal Processing, vol. 39, no. 2, pp. 757-775, 2020.</w:t>
      </w:r>
    </w:p>
    <w:p>
      <w:pPr>
        <w:pStyle w:val="BodyText"/>
        <w:spacing w:lineRule="auto" w:line="240"/>
        <w:jc w:val="both"/>
        <w:rPr>
          <w:rFonts w:ascii="Times New Roman" w:hAnsi="Times New Roman"/>
        </w:rPr>
      </w:pPr>
      <w:r>
        <w:rPr>
          <w:rFonts w:ascii="Times New Roman" w:hAnsi="Times New Roman"/>
        </w:rPr>
        <w:t>[26] N. Ghassemi, A. Shoeibi, &amp; M. Rouhani, "Deep neural network with generative adversarial networks pre-training for brain tumor classification based on MR images," Biomedical Signal Processing &amp; Control, vol. 57, p. 101678, 2020.</w:t>
      </w:r>
    </w:p>
    <w:p>
      <w:pPr>
        <w:pStyle w:val="BodyText"/>
        <w:spacing w:lineRule="auto" w:line="240"/>
        <w:jc w:val="both"/>
        <w:rPr>
          <w:rFonts w:ascii="Times New Roman" w:hAnsi="Times New Roman"/>
        </w:rPr>
      </w:pPr>
      <w:r>
        <w:rPr>
          <w:rFonts w:ascii="Times New Roman" w:hAnsi="Times New Roman"/>
        </w:rPr>
        <w:t>[27] R. Sharma, S. Sharma, &amp; A. Aggarwal, "Radiology workforce in India: Current status &amp; future directions," Indian Journal of Radiology &amp; Imaging, vol. 30, no. 3, pp. 345-350, 2020.</w:t>
      </w:r>
    </w:p>
    <w:p>
      <w:pPr>
        <w:pStyle w:val="BodyText"/>
        <w:spacing w:lineRule="auto" w:line="240"/>
        <w:jc w:val="both"/>
        <w:rPr>
          <w:rFonts w:ascii="Times New Roman" w:hAnsi="Times New Roman"/>
        </w:rPr>
      </w:pPr>
      <w:r>
        <w:rPr>
          <w:rFonts w:ascii="Times New Roman" w:hAnsi="Times New Roman"/>
        </w:rPr>
        <w:t>[28] A. Dosovitskiy, L. Beyer, A. Kolesnikov, et al., "An image is worth 16×16 words: Transformers for image recognition at scale," in Proc. Int. Conf. Learn. Represent. (ICLR), 2021.</w:t>
      </w:r>
    </w:p>
    <w:p>
      <w:pPr>
        <w:pStyle w:val="BodyText"/>
        <w:spacing w:lineRule="auto" w:line="240"/>
        <w:jc w:val="both"/>
        <w:rPr>
          <w:rFonts w:ascii="Times New Roman" w:hAnsi="Times New Roman"/>
        </w:rPr>
      </w:pPr>
      <w:r>
        <w:rPr>
          <w:rFonts w:ascii="Times New Roman" w:hAnsi="Times New Roman"/>
        </w:rPr>
        <w:t>[29] Z. Liu, Y. Lin, Y. Cao, et al., "Swin transformer: Hierarchical vision transformer using shifted windows," in Proc. IEEE/CVF Int. Conf. Comput. Vis. (ICCV), 2021, pp. 10012-10022.</w:t>
      </w:r>
    </w:p>
    <w:p>
      <w:pPr>
        <w:pStyle w:val="BodyText"/>
        <w:spacing w:lineRule="auto" w:line="240"/>
        <w:jc w:val="both"/>
        <w:rPr>
          <w:rFonts w:ascii="Times New Roman" w:hAnsi="Times New Roman"/>
        </w:rPr>
      </w:pPr>
      <w:r>
        <w:rPr>
          <w:rFonts w:ascii="Times New Roman" w:hAnsi="Times New Roman"/>
        </w:rPr>
        <w:t>[30] W. Xu, Y. Xu, T. Chang, &amp; Z. Tu, "Co-scale conv-attentional image transformers," in Proc. IEEE/CVF Int. Conf. Comput. Vis. (ICCV), 2021, pp. 9981-9990.</w:t>
      </w:r>
    </w:p>
    <w:p>
      <w:pPr>
        <w:pStyle w:val="BodyText"/>
        <w:spacing w:lineRule="auto" w:line="240"/>
        <w:jc w:val="both"/>
        <w:rPr>
          <w:rFonts w:ascii="Times New Roman" w:hAnsi="Times New Roman"/>
        </w:rPr>
      </w:pPr>
      <w:r>
        <w:rPr>
          <w:rFonts w:ascii="Times New Roman" w:hAnsi="Times New Roman"/>
        </w:rPr>
        <w:t>[31] R. Ranjan, A. Kumar, &amp; S. K. Singh, "A comparative analysis of deep learning models for brain tumor classification," Biomedical Signal Processing &amp; Control, vol. 68, p. 102678, 2021.</w:t>
      </w:r>
    </w:p>
    <w:p>
      <w:pPr>
        <w:pStyle w:val="BodyText"/>
        <w:spacing w:lineRule="auto" w:line="240"/>
        <w:jc w:val="both"/>
        <w:rPr>
          <w:rFonts w:ascii="Times New Roman" w:hAnsi="Times New Roman"/>
        </w:rPr>
      </w:pPr>
      <w:r>
        <w:rPr>
          <w:rFonts w:ascii="Times New Roman" w:hAnsi="Times New Roman"/>
        </w:rPr>
        <w:t>[32] S. Khan, M. Naseer, M. Hayat, S. W. Zamir, F. S. Khan, &amp; M. Shah, "Transformers in vision: A survey," ACM Computing Surveys, vol. 54, no. 10s, pp. 1-41, 2022.</w:t>
      </w:r>
    </w:p>
    <w:p>
      <w:pPr>
        <w:pStyle w:val="Heading2"/>
        <w:numPr>
          <w:ilvl w:val="0"/>
          <w:numId w:val="0"/>
        </w:numPr>
        <w:ind w:hanging="0" w:start="0"/>
        <w:jc w:val="both"/>
        <w:rPr>
          <w:rFonts w:ascii="Times New Roman" w:hAnsi="Times New Roman"/>
        </w:rPr>
      </w:pPr>
      <w:r>
        <w:rPr>
          <w:rFonts w:ascii="Times New Roman" w:hAnsi="Times New Roman"/>
        </w:rPr>
        <w:t>Appendix A: Complete Binary Detection Results</w:t>
      </w:r>
    </w:p>
    <w:p>
      <w:pPr>
        <w:pStyle w:val="BodyText"/>
        <w:spacing w:lineRule="auto" w:line="240"/>
        <w:jc w:val="both"/>
        <w:rPr>
          <w:rFonts w:ascii="Times New Roman" w:hAnsi="Times New Roman"/>
        </w:rPr>
      </w:pPr>
      <w:r>
        <w:rPr>
          <w:rFonts w:ascii="Times New Roman" w:hAnsi="Times New Roman"/>
          <w:b/>
        </w:rPr>
        <w:t>TABLE VI</w:t>
      </w:r>
      <w:r>
        <w:rPr>
          <w:rFonts w:ascii="Times New Roman" w:hAnsi="Times New Roman"/>
        </w:rPr>
        <w:t> </w:t>
      </w:r>
      <w:r>
        <w:rPr>
          <w:rFonts w:ascii="Times New Roman" w:hAnsi="Times New Roman"/>
          <w:b/>
        </w:rPr>
        <w:t>COMPLETE BINARY DETECTION RESULTS BY EPOCH</w:t>
      </w:r>
    </w:p>
    <w:tbl>
      <w:tblPr>
        <w:tblW w:w="5000" w:type="pct"/>
        <w:jc w:val="start"/>
        <w:tblInd w:w="-5" w:type="dxa"/>
        <w:tblLayout w:type="fixed"/>
        <w:tblCellMar>
          <w:top w:w="55" w:type="dxa"/>
          <w:start w:w="55" w:type="dxa"/>
          <w:bottom w:w="55" w:type="dxa"/>
          <w:end w:w="55" w:type="dxa"/>
        </w:tblCellMar>
        <w:tblLook w:val="04a0" w:firstRow="1" w:noVBand="1" w:lastRow="0" w:firstColumn="1" w:lastColumn="0" w:noHBand="0"/>
      </w:tblPr>
      <w:tblGrid>
        <w:gridCol w:w="1714"/>
        <w:gridCol w:w="845"/>
        <w:gridCol w:w="1326"/>
        <w:gridCol w:w="1223"/>
        <w:gridCol w:w="1363"/>
        <w:gridCol w:w="1077"/>
        <w:gridCol w:w="970"/>
        <w:gridCol w:w="1120"/>
      </w:tblGrid>
      <w:tr>
        <w:trPr>
          <w:tblHeader w:val="true"/>
        </w:trPr>
        <w:tc>
          <w:tcPr>
            <w:tcW w:w="1714"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Model</w:t>
            </w:r>
          </w:p>
        </w:tc>
        <w:tc>
          <w:tcPr>
            <w:tcW w:w="845"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Epoch</w:t>
            </w:r>
          </w:p>
        </w:tc>
        <w:tc>
          <w:tcPr>
            <w:tcW w:w="1326"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Train Loss</w:t>
            </w:r>
          </w:p>
        </w:tc>
        <w:tc>
          <w:tcPr>
            <w:tcW w:w="1223"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Train Acc</w:t>
            </w:r>
          </w:p>
        </w:tc>
        <w:tc>
          <w:tcPr>
            <w:tcW w:w="1363"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Train AUC</w:t>
            </w:r>
          </w:p>
        </w:tc>
        <w:tc>
          <w:tcPr>
            <w:tcW w:w="1077"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Val Loss</w:t>
            </w:r>
          </w:p>
        </w:tc>
        <w:tc>
          <w:tcPr>
            <w:tcW w:w="970"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Val Acc</w:t>
            </w:r>
          </w:p>
        </w:tc>
        <w:tc>
          <w:tcPr>
            <w:tcW w:w="1120" w:type="dxa"/>
            <w:tcBorders>
              <w:top w:val="single" w:sz="4" w:space="0" w:color="000000"/>
              <w:start w:val="single" w:sz="4" w:space="0" w:color="000000"/>
              <w:bottom w:val="single" w:sz="4" w:space="0" w:color="000000"/>
              <w:end w:val="single" w:sz="4" w:space="0" w:color="000000"/>
            </w:tcBorders>
          </w:tcPr>
          <w:p>
            <w:pPr>
              <w:pStyle w:val="TableHeading"/>
              <w:jc w:val="both"/>
              <w:rPr>
                <w:rFonts w:ascii="Times New Roman" w:hAnsi="Times New Roman"/>
              </w:rPr>
            </w:pPr>
            <w:r>
              <w:rPr>
                <w:rFonts w:ascii="Times New Roman" w:hAnsi="Times New Roman"/>
              </w:rPr>
              <w:t>Val AUC</w:t>
            </w:r>
          </w:p>
        </w:tc>
      </w:tr>
      <w:tr>
        <w:trPr/>
        <w:tc>
          <w:tcPr>
            <w:tcW w:w="17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CoaTNet-0</w:t>
            </w:r>
          </w:p>
        </w:tc>
        <w:tc>
          <w:tcPr>
            <w:tcW w:w="84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7</w:t>
            </w:r>
          </w:p>
        </w:tc>
        <w:tc>
          <w:tcPr>
            <w:tcW w:w="132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0.0086</w:t>
            </w:r>
          </w:p>
        </w:tc>
        <w:tc>
          <w:tcPr>
            <w:tcW w:w="122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0.9978</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1.0000</w:t>
            </w:r>
          </w:p>
        </w:tc>
        <w:tc>
          <w:tcPr>
            <w:tcW w:w="10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0.0201</w:t>
            </w:r>
          </w:p>
        </w:tc>
        <w:tc>
          <w:tcPr>
            <w:tcW w:w="9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0.9939</w:t>
            </w:r>
          </w:p>
        </w:tc>
        <w:tc>
          <w:tcPr>
            <w:tcW w:w="112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0.9999</w:t>
            </w:r>
          </w:p>
        </w:tc>
      </w:tr>
      <w:tr>
        <w:trPr/>
        <w:tc>
          <w:tcPr>
            <w:tcW w:w="17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EfficientNetB0</w:t>
            </w:r>
          </w:p>
        </w:tc>
        <w:tc>
          <w:tcPr>
            <w:tcW w:w="84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4</w:t>
            </w:r>
          </w:p>
        </w:tc>
        <w:tc>
          <w:tcPr>
            <w:tcW w:w="132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0.0307</w:t>
            </w:r>
          </w:p>
        </w:tc>
        <w:tc>
          <w:tcPr>
            <w:tcW w:w="122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0.9937</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0.9996</w:t>
            </w:r>
          </w:p>
        </w:tc>
        <w:tc>
          <w:tcPr>
            <w:tcW w:w="10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0.0179</w:t>
            </w:r>
          </w:p>
        </w:tc>
        <w:tc>
          <w:tcPr>
            <w:tcW w:w="9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0.9959</w:t>
            </w:r>
          </w:p>
        </w:tc>
        <w:tc>
          <w:tcPr>
            <w:tcW w:w="112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0.9999</w:t>
            </w:r>
          </w:p>
        </w:tc>
      </w:tr>
      <w:tr>
        <w:trPr/>
        <w:tc>
          <w:tcPr>
            <w:tcW w:w="17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InceptionV3</w:t>
            </w:r>
          </w:p>
        </w:tc>
        <w:tc>
          <w:tcPr>
            <w:tcW w:w="84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2</w:t>
            </w:r>
          </w:p>
        </w:tc>
        <w:tc>
          <w:tcPr>
            <w:tcW w:w="132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0.0309</w:t>
            </w:r>
          </w:p>
        </w:tc>
        <w:tc>
          <w:tcPr>
            <w:tcW w:w="122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0.9922</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0.9996</w:t>
            </w:r>
          </w:p>
        </w:tc>
        <w:tc>
          <w:tcPr>
            <w:tcW w:w="10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0.0199</w:t>
            </w:r>
          </w:p>
        </w:tc>
        <w:tc>
          <w:tcPr>
            <w:tcW w:w="9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0.9918</w:t>
            </w:r>
          </w:p>
        </w:tc>
        <w:tc>
          <w:tcPr>
            <w:tcW w:w="112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0.9999</w:t>
            </w:r>
          </w:p>
        </w:tc>
      </w:tr>
      <w:tr>
        <w:trPr/>
        <w:tc>
          <w:tcPr>
            <w:tcW w:w="17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ResNet50</w:t>
            </w:r>
          </w:p>
        </w:tc>
        <w:tc>
          <w:tcPr>
            <w:tcW w:w="84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6</w:t>
            </w:r>
          </w:p>
        </w:tc>
        <w:tc>
          <w:tcPr>
            <w:tcW w:w="132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0.0069</w:t>
            </w:r>
          </w:p>
        </w:tc>
        <w:tc>
          <w:tcPr>
            <w:tcW w:w="122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0.9980</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1.0000</w:t>
            </w:r>
          </w:p>
        </w:tc>
        <w:tc>
          <w:tcPr>
            <w:tcW w:w="10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0.0166</w:t>
            </w:r>
          </w:p>
        </w:tc>
        <w:tc>
          <w:tcPr>
            <w:tcW w:w="9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0.9959</w:t>
            </w:r>
          </w:p>
        </w:tc>
        <w:tc>
          <w:tcPr>
            <w:tcW w:w="112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0.9999</w:t>
            </w:r>
          </w:p>
        </w:tc>
      </w:tr>
      <w:tr>
        <w:trPr/>
        <w:tc>
          <w:tcPr>
            <w:tcW w:w="17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Swin Base</w:t>
            </w:r>
          </w:p>
        </w:tc>
        <w:tc>
          <w:tcPr>
            <w:tcW w:w="84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6</w:t>
            </w:r>
          </w:p>
        </w:tc>
        <w:tc>
          <w:tcPr>
            <w:tcW w:w="132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0.1057</w:t>
            </w:r>
          </w:p>
        </w:tc>
        <w:tc>
          <w:tcPr>
            <w:tcW w:w="122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0.9665</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0.9914</w:t>
            </w:r>
          </w:p>
        </w:tc>
        <w:tc>
          <w:tcPr>
            <w:tcW w:w="10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0.0458</w:t>
            </w:r>
          </w:p>
        </w:tc>
        <w:tc>
          <w:tcPr>
            <w:tcW w:w="9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0.9877</w:t>
            </w:r>
          </w:p>
        </w:tc>
        <w:tc>
          <w:tcPr>
            <w:tcW w:w="112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0.9988</w:t>
            </w:r>
          </w:p>
        </w:tc>
      </w:tr>
      <w:tr>
        <w:trPr/>
        <w:tc>
          <w:tcPr>
            <w:tcW w:w="17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DenseNet121</w:t>
            </w:r>
          </w:p>
        </w:tc>
        <w:tc>
          <w:tcPr>
            <w:tcW w:w="84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w:t>
            </w:r>
          </w:p>
        </w:tc>
        <w:tc>
          <w:tcPr>
            <w:tcW w:w="132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0.1653</w:t>
            </w:r>
          </w:p>
        </w:tc>
        <w:tc>
          <w:tcPr>
            <w:tcW w:w="122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0.9348</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0.9855</w:t>
            </w:r>
          </w:p>
        </w:tc>
        <w:tc>
          <w:tcPr>
            <w:tcW w:w="10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0.0547</w:t>
            </w:r>
          </w:p>
        </w:tc>
        <w:tc>
          <w:tcPr>
            <w:tcW w:w="9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0.9754</w:t>
            </w:r>
          </w:p>
        </w:tc>
        <w:tc>
          <w:tcPr>
            <w:tcW w:w="112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1.0000</w:t>
            </w:r>
          </w:p>
        </w:tc>
      </w:tr>
      <w:tr>
        <w:trPr/>
        <w:tc>
          <w:tcPr>
            <w:tcW w:w="17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ViT-B/16</w:t>
            </w:r>
          </w:p>
        </w:tc>
        <w:tc>
          <w:tcPr>
            <w:tcW w:w="84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w:t>
            </w:r>
          </w:p>
        </w:tc>
        <w:tc>
          <w:tcPr>
            <w:tcW w:w="132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0.1652</w:t>
            </w:r>
          </w:p>
        </w:tc>
        <w:tc>
          <w:tcPr>
            <w:tcW w:w="122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0.9430</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0.9836</w:t>
            </w:r>
          </w:p>
        </w:tc>
        <w:tc>
          <w:tcPr>
            <w:tcW w:w="10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0.1473</w:t>
            </w:r>
          </w:p>
        </w:tc>
        <w:tc>
          <w:tcPr>
            <w:tcW w:w="9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0.9344</w:t>
            </w:r>
          </w:p>
        </w:tc>
        <w:tc>
          <w:tcPr>
            <w:tcW w:w="112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0.9897</w:t>
            </w:r>
          </w:p>
        </w:tc>
      </w:tr>
      <w:tr>
        <w:trPr/>
        <w:tc>
          <w:tcPr>
            <w:tcW w:w="17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MobileNetV3</w:t>
            </w:r>
          </w:p>
        </w:tc>
        <w:tc>
          <w:tcPr>
            <w:tcW w:w="84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w:t>
            </w:r>
          </w:p>
        </w:tc>
        <w:tc>
          <w:tcPr>
            <w:tcW w:w="132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0.0022</w:t>
            </w:r>
          </w:p>
        </w:tc>
        <w:tc>
          <w:tcPr>
            <w:tcW w:w="122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0.9990</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1.0000</w:t>
            </w:r>
          </w:p>
        </w:tc>
        <w:tc>
          <w:tcPr>
            <w:tcW w:w="10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0.3857</w:t>
            </w:r>
          </w:p>
        </w:tc>
        <w:tc>
          <w:tcPr>
            <w:tcW w:w="9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0.8934</w:t>
            </w:r>
          </w:p>
        </w:tc>
        <w:tc>
          <w:tcPr>
            <w:tcW w:w="112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0.9993</w:t>
            </w:r>
          </w:p>
        </w:tc>
      </w:tr>
      <w:tr>
        <w:trPr/>
        <w:tc>
          <w:tcPr>
            <w:tcW w:w="17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VGG16</w:t>
            </w:r>
          </w:p>
        </w:tc>
        <w:tc>
          <w:tcPr>
            <w:tcW w:w="84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w:t>
            </w:r>
          </w:p>
        </w:tc>
        <w:tc>
          <w:tcPr>
            <w:tcW w:w="132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0.3387</w:t>
            </w:r>
          </w:p>
        </w:tc>
        <w:tc>
          <w:tcPr>
            <w:tcW w:w="122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0.8467</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0.9308</w:t>
            </w:r>
          </w:p>
        </w:tc>
        <w:tc>
          <w:tcPr>
            <w:tcW w:w="10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0.3380</w:t>
            </w:r>
          </w:p>
        </w:tc>
        <w:tc>
          <w:tcPr>
            <w:tcW w:w="9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0.8443</w:t>
            </w:r>
          </w:p>
        </w:tc>
        <w:tc>
          <w:tcPr>
            <w:tcW w:w="112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0.9343</w:t>
            </w:r>
          </w:p>
        </w:tc>
      </w:tr>
    </w:tbl>
    <w:p>
      <w:pPr>
        <w:pStyle w:val="BodyText"/>
        <w:spacing w:lineRule="auto" w:line="240"/>
        <w:jc w:val="both"/>
        <w:rPr>
          <w:rFonts w:ascii="Times New Roman" w:hAnsi="Times New Roman"/>
        </w:rPr>
      </w:pPr>
      <w:r>
        <w:rPr>
          <w:rFonts w:ascii="Times New Roman" w:hAnsi="Times New Roman"/>
        </w:rPr>
      </w:r>
    </w:p>
    <w:p>
      <w:pPr>
        <w:pStyle w:val="Heading2"/>
        <w:numPr>
          <w:ilvl w:val="0"/>
          <w:numId w:val="0"/>
        </w:numPr>
        <w:ind w:hanging="0" w:start="0"/>
        <w:jc w:val="both"/>
        <w:rPr>
          <w:rFonts w:ascii="Times New Roman" w:hAnsi="Times New Roman"/>
        </w:rPr>
      </w:pPr>
      <w:r>
        <w:rPr>
          <w:rFonts w:ascii="Times New Roman" w:hAnsi="Times New Roman"/>
        </w:rPr>
        <w:t>Appendix B: Complete Multi-Class Results</w:t>
      </w:r>
    </w:p>
    <w:p>
      <w:pPr>
        <w:pStyle w:val="BodyText"/>
        <w:spacing w:lineRule="auto" w:line="240"/>
        <w:jc w:val="both"/>
        <w:rPr>
          <w:rFonts w:ascii="Times New Roman" w:hAnsi="Times New Roman"/>
        </w:rPr>
      </w:pPr>
      <w:r>
        <w:rPr>
          <w:rFonts w:ascii="Times New Roman" w:hAnsi="Times New Roman"/>
          <w:b/>
        </w:rPr>
        <w:t>TABLE VII</w:t>
      </w:r>
      <w:r>
        <w:rPr>
          <w:rFonts w:ascii="Times New Roman" w:hAnsi="Times New Roman"/>
        </w:rPr>
        <w:t> </w:t>
      </w:r>
      <w:r>
        <w:rPr>
          <w:rFonts w:ascii="Times New Roman" w:hAnsi="Times New Roman"/>
          <w:b/>
        </w:rPr>
        <w:t>COMPLETE MULTI-CLASS RESULTS BY EPOCH</w:t>
      </w:r>
    </w:p>
    <w:tbl>
      <w:tblPr>
        <w:tblW w:w="5000" w:type="pct"/>
        <w:jc w:val="start"/>
        <w:tblInd w:w="-5" w:type="dxa"/>
        <w:tblLayout w:type="fixed"/>
        <w:tblCellMar>
          <w:top w:w="55" w:type="dxa"/>
          <w:start w:w="55" w:type="dxa"/>
          <w:bottom w:w="55" w:type="dxa"/>
          <w:end w:w="55" w:type="dxa"/>
        </w:tblCellMar>
        <w:tblLook w:val="04a0" w:firstRow="1" w:noVBand="1" w:lastRow="0" w:firstColumn="1" w:lastColumn="0" w:noHBand="0"/>
      </w:tblPr>
      <w:tblGrid>
        <w:gridCol w:w="1714"/>
        <w:gridCol w:w="845"/>
        <w:gridCol w:w="1326"/>
        <w:gridCol w:w="1223"/>
        <w:gridCol w:w="1363"/>
        <w:gridCol w:w="1077"/>
        <w:gridCol w:w="970"/>
        <w:gridCol w:w="1120"/>
      </w:tblGrid>
      <w:tr>
        <w:trPr>
          <w:tblHeader w:val="true"/>
        </w:trPr>
        <w:tc>
          <w:tcPr>
            <w:tcW w:w="1714"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Model</w:t>
            </w:r>
          </w:p>
        </w:tc>
        <w:tc>
          <w:tcPr>
            <w:tcW w:w="845"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Epoch</w:t>
            </w:r>
          </w:p>
        </w:tc>
        <w:tc>
          <w:tcPr>
            <w:tcW w:w="1326"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Train Loss</w:t>
            </w:r>
          </w:p>
        </w:tc>
        <w:tc>
          <w:tcPr>
            <w:tcW w:w="1223"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Train Acc</w:t>
            </w:r>
          </w:p>
        </w:tc>
        <w:tc>
          <w:tcPr>
            <w:tcW w:w="1363"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Train AUC</w:t>
            </w:r>
          </w:p>
        </w:tc>
        <w:tc>
          <w:tcPr>
            <w:tcW w:w="1077"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Val Loss</w:t>
            </w:r>
          </w:p>
        </w:tc>
        <w:tc>
          <w:tcPr>
            <w:tcW w:w="970" w:type="dxa"/>
            <w:tcBorders>
              <w:top w:val="single" w:sz="4" w:space="0" w:color="000000"/>
              <w:start w:val="single" w:sz="4" w:space="0" w:color="000000"/>
              <w:bottom w:val="single" w:sz="4" w:space="0" w:color="000000"/>
            </w:tcBorders>
          </w:tcPr>
          <w:p>
            <w:pPr>
              <w:pStyle w:val="TableHeading"/>
              <w:jc w:val="both"/>
              <w:rPr>
                <w:rFonts w:ascii="Times New Roman" w:hAnsi="Times New Roman"/>
              </w:rPr>
            </w:pPr>
            <w:r>
              <w:rPr>
                <w:rFonts w:ascii="Times New Roman" w:hAnsi="Times New Roman"/>
              </w:rPr>
              <w:t>Val Acc</w:t>
            </w:r>
          </w:p>
        </w:tc>
        <w:tc>
          <w:tcPr>
            <w:tcW w:w="1120" w:type="dxa"/>
            <w:tcBorders>
              <w:top w:val="single" w:sz="4" w:space="0" w:color="000000"/>
              <w:start w:val="single" w:sz="4" w:space="0" w:color="000000"/>
              <w:bottom w:val="single" w:sz="4" w:space="0" w:color="000000"/>
              <w:end w:val="single" w:sz="4" w:space="0" w:color="000000"/>
            </w:tcBorders>
          </w:tcPr>
          <w:p>
            <w:pPr>
              <w:pStyle w:val="TableHeading"/>
              <w:jc w:val="both"/>
              <w:rPr>
                <w:rFonts w:ascii="Times New Roman" w:hAnsi="Times New Roman"/>
              </w:rPr>
            </w:pPr>
            <w:r>
              <w:rPr>
                <w:rFonts w:ascii="Times New Roman" w:hAnsi="Times New Roman"/>
              </w:rPr>
              <w:t>Val AUC</w:t>
            </w:r>
          </w:p>
        </w:tc>
      </w:tr>
      <w:tr>
        <w:trPr/>
        <w:tc>
          <w:tcPr>
            <w:tcW w:w="17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InceptionV3</w:t>
            </w:r>
          </w:p>
        </w:tc>
        <w:tc>
          <w:tcPr>
            <w:tcW w:w="84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w:t>
            </w:r>
          </w:p>
        </w:tc>
        <w:tc>
          <w:tcPr>
            <w:tcW w:w="132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0.0054</w:t>
            </w:r>
          </w:p>
        </w:tc>
        <w:tc>
          <w:tcPr>
            <w:tcW w:w="122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0.9988</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1.0000</w:t>
            </w:r>
          </w:p>
        </w:tc>
        <w:tc>
          <w:tcPr>
            <w:tcW w:w="10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0.1175</w:t>
            </w:r>
          </w:p>
        </w:tc>
        <w:tc>
          <w:tcPr>
            <w:tcW w:w="9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0.9745</w:t>
            </w:r>
          </w:p>
        </w:tc>
        <w:tc>
          <w:tcPr>
            <w:tcW w:w="112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0.9967</w:t>
            </w:r>
          </w:p>
        </w:tc>
      </w:tr>
      <w:tr>
        <w:trPr/>
        <w:tc>
          <w:tcPr>
            <w:tcW w:w="17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Swin-Base</w:t>
            </w:r>
          </w:p>
        </w:tc>
        <w:tc>
          <w:tcPr>
            <w:tcW w:w="84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w:t>
            </w:r>
          </w:p>
        </w:tc>
        <w:tc>
          <w:tcPr>
            <w:tcW w:w="132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0.0181</w:t>
            </w:r>
          </w:p>
        </w:tc>
        <w:tc>
          <w:tcPr>
            <w:tcW w:w="122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0.9942</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0.9999</w:t>
            </w:r>
          </w:p>
        </w:tc>
        <w:tc>
          <w:tcPr>
            <w:tcW w:w="10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0.0805</w:t>
            </w:r>
          </w:p>
        </w:tc>
        <w:tc>
          <w:tcPr>
            <w:tcW w:w="9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0.9816</w:t>
            </w:r>
          </w:p>
        </w:tc>
        <w:tc>
          <w:tcPr>
            <w:tcW w:w="112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0.9972</w:t>
            </w:r>
          </w:p>
        </w:tc>
      </w:tr>
      <w:tr>
        <w:trPr/>
        <w:tc>
          <w:tcPr>
            <w:tcW w:w="17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EfficientNetB0</w:t>
            </w:r>
          </w:p>
        </w:tc>
        <w:tc>
          <w:tcPr>
            <w:tcW w:w="84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w:t>
            </w:r>
          </w:p>
        </w:tc>
        <w:tc>
          <w:tcPr>
            <w:tcW w:w="132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0.0185</w:t>
            </w:r>
          </w:p>
        </w:tc>
        <w:tc>
          <w:tcPr>
            <w:tcW w:w="122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0.9937</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0.9998</w:t>
            </w:r>
          </w:p>
        </w:tc>
        <w:tc>
          <w:tcPr>
            <w:tcW w:w="10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0.0746</w:t>
            </w:r>
          </w:p>
        </w:tc>
        <w:tc>
          <w:tcPr>
            <w:tcW w:w="9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0.9773</w:t>
            </w:r>
          </w:p>
        </w:tc>
        <w:tc>
          <w:tcPr>
            <w:tcW w:w="112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0.9972</w:t>
            </w:r>
          </w:p>
        </w:tc>
      </w:tr>
      <w:tr>
        <w:trPr/>
        <w:tc>
          <w:tcPr>
            <w:tcW w:w="17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CoaTNet-0</w:t>
            </w:r>
          </w:p>
        </w:tc>
        <w:tc>
          <w:tcPr>
            <w:tcW w:w="84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w:t>
            </w:r>
          </w:p>
        </w:tc>
        <w:tc>
          <w:tcPr>
            <w:tcW w:w="132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0.0231</w:t>
            </w:r>
          </w:p>
        </w:tc>
        <w:tc>
          <w:tcPr>
            <w:tcW w:w="122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0.9928</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0.9998</w:t>
            </w:r>
          </w:p>
        </w:tc>
        <w:tc>
          <w:tcPr>
            <w:tcW w:w="10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0.0893</w:t>
            </w:r>
          </w:p>
        </w:tc>
        <w:tc>
          <w:tcPr>
            <w:tcW w:w="9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0.9747</w:t>
            </w:r>
          </w:p>
        </w:tc>
        <w:tc>
          <w:tcPr>
            <w:tcW w:w="112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0.9968</w:t>
            </w:r>
          </w:p>
        </w:tc>
      </w:tr>
      <w:tr>
        <w:trPr/>
        <w:tc>
          <w:tcPr>
            <w:tcW w:w="17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ResNet-50</w:t>
            </w:r>
          </w:p>
        </w:tc>
        <w:tc>
          <w:tcPr>
            <w:tcW w:w="84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w:t>
            </w:r>
          </w:p>
        </w:tc>
        <w:tc>
          <w:tcPr>
            <w:tcW w:w="132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0.0229</w:t>
            </w:r>
          </w:p>
        </w:tc>
        <w:tc>
          <w:tcPr>
            <w:tcW w:w="122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0.9927</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0.9998</w:t>
            </w:r>
          </w:p>
        </w:tc>
        <w:tc>
          <w:tcPr>
            <w:tcW w:w="10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0.0987</w:t>
            </w:r>
          </w:p>
        </w:tc>
        <w:tc>
          <w:tcPr>
            <w:tcW w:w="9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0.9722</w:t>
            </w:r>
          </w:p>
        </w:tc>
        <w:tc>
          <w:tcPr>
            <w:tcW w:w="112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0.9967</w:t>
            </w:r>
          </w:p>
        </w:tc>
      </w:tr>
      <w:tr>
        <w:trPr/>
        <w:tc>
          <w:tcPr>
            <w:tcW w:w="1714"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ViT-B/16</w:t>
            </w:r>
          </w:p>
        </w:tc>
        <w:tc>
          <w:tcPr>
            <w:tcW w:w="84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10</w:t>
            </w:r>
          </w:p>
        </w:tc>
        <w:tc>
          <w:tcPr>
            <w:tcW w:w="1326"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0.3273</w:t>
            </w:r>
          </w:p>
        </w:tc>
        <w:tc>
          <w:tcPr>
            <w:tcW w:w="122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0.8732</w:t>
            </w:r>
          </w:p>
        </w:tc>
        <w:tc>
          <w:tcPr>
            <w:tcW w:w="1363"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0.9672</w:t>
            </w:r>
          </w:p>
        </w:tc>
        <w:tc>
          <w:tcPr>
            <w:tcW w:w="10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0.3414</w:t>
            </w:r>
          </w:p>
        </w:tc>
        <w:tc>
          <w:tcPr>
            <w:tcW w:w="97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0.8768</w:t>
            </w:r>
          </w:p>
        </w:tc>
        <w:tc>
          <w:tcPr>
            <w:tcW w:w="112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0.9679</w:t>
            </w:r>
          </w:p>
        </w:tc>
      </w:tr>
    </w:tbl>
    <w:p>
      <w:pPr>
        <w:pStyle w:val="BodyText"/>
        <w:spacing w:lineRule="auto" w:line="240"/>
        <w:jc w:val="both"/>
        <w:rPr>
          <w:rFonts w:ascii="Times New Roman" w:hAnsi="Times New Roman"/>
        </w:rPr>
      </w:pPr>
      <w:r>
        <w:rPr>
          <w:rFonts w:ascii="Times New Roman" w:hAnsi="Times New Roman"/>
        </w:rPr>
      </w:r>
    </w:p>
    <w:p>
      <w:pPr>
        <w:pStyle w:val="Heading2"/>
        <w:numPr>
          <w:ilvl w:val="0"/>
          <w:numId w:val="0"/>
        </w:numPr>
        <w:ind w:hanging="0" w:start="0"/>
        <w:jc w:val="both"/>
        <w:rPr>
          <w:rFonts w:ascii="Times New Roman" w:hAnsi="Times New Roman"/>
        </w:rPr>
      </w:pPr>
      <w:r>
        <w:rPr>
          <w:rFonts w:ascii="Times New Roman" w:hAnsi="Times New Roman"/>
        </w:rPr>
        <w:t>Appendix C: Code Repository</w:t>
      </w:r>
    </w:p>
    <w:p>
      <w:pPr>
        <w:pStyle w:val="BodyText"/>
        <w:spacing w:lineRule="auto" w:line="240" w:before="0" w:after="140"/>
        <w:jc w:val="both"/>
        <w:rPr>
          <w:rFonts w:hint="eastAsia"/>
        </w:rPr>
      </w:pPr>
      <w:r>
        <w:rPr>
          <w:rFonts w:ascii="Times New Roman" w:hAnsi="Times New Roman"/>
        </w:rPr>
        <w:t xml:space="preserve">The complete code for all experiments, including data preprocessing, model training, &amp; evaluation, is available at: </w:t>
      </w:r>
      <w:hyperlink r:id="rId22">
        <w:r>
          <w:rPr>
            <w:rStyle w:val="Hyperlink"/>
            <w:rFonts w:ascii="Times New Roman" w:hAnsi="Times New Roman"/>
          </w:rPr>
          <w:t>https://github.com/parthmital/NeuroScan-AI</w:t>
        </w:r>
      </w:hyperlink>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IN" w:eastAsia="zh-CN" w:bidi="hi-IN"/>
    </w:rPr>
  </w:style>
  <w:style w:type="paragraph" w:styleId="Heading1">
    <w:name w:val="heading 1"/>
    <w:basedOn w:val="Heading"/>
    <w:next w:val="BodyText"/>
    <w:uiPriority w:val="9"/>
    <w:qFormat/>
    <w:pPr>
      <w:numPr>
        <w:ilvl w:val="0"/>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character" w:styleId="DefaultParagraphFont" w:default="1">
    <w:name w:val="Default Paragraph Font"/>
    <w:uiPriority w:val="1"/>
    <w:unhideWhenUsed/>
    <w:qFormat/>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arth.mital2023@vitstudent.ac.in" TargetMode="External"/><Relationship Id="rId3" Type="http://schemas.openxmlformats.org/officeDocument/2006/relationships/hyperlink" Target="mailto:ved.lawand2023@vitstudent.ac.in" TargetMode="External"/><Relationship Id="rId4" Type="http://schemas.openxmlformats.org/officeDocument/2006/relationships/hyperlink" Target="mailto:biji.cl@vit.ac.in"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hyperlink" Target="https://github.com/parthmital/NeuroScan-AI" TargetMode="Externa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734</TotalTime>
  <Application>LibreOffice/26.2.3.2$Windows_X86_64 LibreOffice_project/70e089b17412e4cb7773e41413306b17a2328c34</Application>
  <AppVersion>15.0000</AppVersion>
  <Pages>22</Pages>
  <Words>7672</Words>
  <Characters>44783</Characters>
  <CharactersWithSpaces>52000</CharactersWithSpaces>
  <Paragraphs>453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2026-05-17T15:53:00Z</dcterms:created>
  <dc:creator>Ved Lawand</dc:creator>
  <dc:description/>
  <dc:language>en-IN</dc:language>
  <cp:lastModifiedBy/>
  <dcterms:modified xsi:type="dcterms:W3CDTF">2026-05-23T11:13:20Z</dcterms:modified>
  <cp:revision>136</cp:revision>
  <dc:subject/>
  <dc:title/>
</cp:coreProperties>
</file>

<file path=docProps/custom.xml><?xml version="1.0" encoding="utf-8"?>
<Properties xmlns="http://schemas.openxmlformats.org/officeDocument/2006/custom-properties" xmlns:vt="http://schemas.openxmlformats.org/officeDocument/2006/docPropsVTypes"/>
</file>