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240" w:before="240" w:after="120"/>
        <w:ind w:hanging="0" w:start="0"/>
        <w:jc w:val="center"/>
        <w:rPr/>
      </w:pPr>
      <w:r>
        <w:rPr>
          <w:rFonts w:ascii="Times New Roman" w:hAnsi="Times New Roman"/>
        </w:rPr>
        <w:t>A Comprehensive Benchmark of 3D Segmentation Architectures for Brain Tumour Segmentation: From CNNs to Transformers on the BraTS 2020 Dataset</w:t>
      </w:r>
    </w:p>
    <w:p>
      <w:pPr>
        <w:pStyle w:val="BodyText"/>
        <w:bidi w:val="0"/>
        <w:spacing w:lineRule="auto" w:line="240" w:before="0" w:after="0"/>
        <w:jc w:val="center"/>
        <w:rPr>
          <w:rFonts w:ascii="Times New Roman" w:hAnsi="Times New Roman"/>
          <w:b w:val="false"/>
          <w:bCs w:val="false"/>
        </w:rPr>
      </w:pPr>
      <w:r>
        <w:rPr>
          <w:rFonts w:ascii="Times New Roman" w:hAnsi="Times New Roman"/>
          <w:b w:val="false"/>
          <w:bCs w:val="false"/>
        </w:rPr>
        <w:t>Parth Mital¹, Ved Lawand</w:t>
      </w:r>
      <w:r>
        <w:rPr>
          <w:rFonts w:ascii="Times New Roman" w:hAnsi="Times New Roman"/>
          <w:b w:val="false"/>
          <w:bCs w:val="false"/>
          <w:vertAlign w:val="superscript"/>
        </w:rPr>
        <w:t>1</w:t>
      </w:r>
      <w:r>
        <w:rPr>
          <w:rFonts w:ascii="Times New Roman" w:hAnsi="Times New Roman"/>
          <w:b w:val="false"/>
          <w:bCs w:val="false"/>
        </w:rPr>
        <w:t>, Dr. Biji C L</w:t>
      </w:r>
      <w:r>
        <w:rPr>
          <w:rFonts w:ascii="Times New Roman" w:hAnsi="Times New Roman"/>
          <w:b w:val="false"/>
          <w:bCs w:val="false"/>
          <w:vertAlign w:val="superscript"/>
        </w:rPr>
        <w:t>1</w:t>
      </w:r>
    </w:p>
    <w:p>
      <w:pPr>
        <w:pStyle w:val="BodyText"/>
        <w:bidi w:val="0"/>
        <w:spacing w:lineRule="auto" w:line="240" w:before="0" w:after="0"/>
        <w:jc w:val="center"/>
        <w:rPr>
          <w:rFonts w:ascii="Times New Roman" w:hAnsi="Times New Roman"/>
          <w:b w:val="false"/>
          <w:bCs w:val="false"/>
        </w:rPr>
      </w:pPr>
      <w:r>
        <w:rPr>
          <w:rFonts w:ascii="Times New Roman" w:hAnsi="Times New Roman"/>
          <w:b w:val="false"/>
          <w:bCs w:val="false"/>
        </w:rPr>
        <w:t>¹</w:t>
      </w:r>
      <w:r>
        <w:rPr>
          <w:rFonts w:ascii="Times New Roman" w:hAnsi="Times New Roman"/>
          <w:b w:val="false"/>
          <w:bCs w:val="false"/>
        </w:rPr>
        <w:t>School of Computer Science and Engineering, Vellore Institute of Technology, Vellore, India</w:t>
      </w:r>
    </w:p>
    <w:p>
      <w:pPr>
        <w:pStyle w:val="BodyText"/>
        <w:bidi w:val="0"/>
        <w:spacing w:lineRule="auto" w:line="240" w:before="0" w:after="0"/>
        <w:jc w:val="center"/>
        <w:rPr>
          <w:rFonts w:ascii="Times New Roman" w:hAnsi="Times New Roman"/>
          <w:i/>
        </w:rPr>
      </w:pPr>
      <w:r>
        <w:rPr>
          <w:rFonts w:ascii="Times New Roman" w:hAnsi="Times New Roman"/>
          <w:b w:val="false"/>
          <w:bCs w:val="false"/>
          <w:i/>
        </w:rPr>
        <w:t xml:space="preserve">Corresponding author email: </w:t>
      </w:r>
      <w:hyperlink r:id="rId2">
        <w:r>
          <w:rPr>
            <w:rStyle w:val="Hyperlink"/>
            <w:rFonts w:ascii="Times New Roman" w:hAnsi="Times New Roman"/>
            <w:b w:val="false"/>
            <w:bCs w:val="false"/>
            <w:i/>
          </w:rPr>
          <w:t>parth.mital2023@vitstudent.ac.in</w:t>
        </w:r>
      </w:hyperlink>
      <w:r>
        <w:rPr>
          <w:rFonts w:ascii="Times New Roman" w:hAnsi="Times New Roman"/>
          <w:b w:val="false"/>
          <w:bCs w:val="false"/>
          <w:i/>
        </w:rPr>
        <w:t xml:space="preserve">, </w:t>
      </w:r>
      <w:hyperlink r:id="rId3">
        <w:r>
          <w:rPr>
            <w:rStyle w:val="Hyperlink"/>
            <w:rFonts w:ascii="Times New Roman" w:hAnsi="Times New Roman"/>
            <w:b w:val="false"/>
            <w:bCs w:val="false"/>
            <w:i/>
          </w:rPr>
          <w:t>ved.lawand2023@vitstudent.ac.in</w:t>
        </w:r>
      </w:hyperlink>
    </w:p>
    <w:p>
      <w:pPr>
        <w:pStyle w:val="BodyText"/>
        <w:bidi w:val="0"/>
        <w:spacing w:lineRule="auto" w:line="240"/>
        <w:jc w:val="center"/>
        <w:rPr>
          <w:rFonts w:ascii="Times New Roman" w:hAnsi="Times New Roman"/>
          <w:i/>
        </w:rPr>
      </w:pPr>
      <w:r>
        <w:rPr>
          <w:rFonts w:ascii="Times New Roman" w:hAnsi="Times New Roman"/>
          <w:b w:val="false"/>
          <w:bCs w:val="false"/>
          <w:i/>
        </w:rPr>
        <w:t xml:space="preserve">Faculty supervisor email: </w:t>
      </w:r>
      <w:hyperlink r:id="rId4">
        <w:r>
          <w:rPr>
            <w:rStyle w:val="Hyperlink"/>
            <w:rFonts w:ascii="Times New Roman" w:hAnsi="Times New Roman"/>
            <w:b w:val="false"/>
            <w:bCs w:val="false"/>
            <w:i/>
          </w:rPr>
          <w:t>biji.cl@vit.ac.in</w:t>
        </w:r>
      </w:hyperlink>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Abstract</w:t>
      </w:r>
    </w:p>
    <w:p>
      <w:pPr>
        <w:pStyle w:val="BodyText"/>
        <w:bidi w:val="0"/>
        <w:spacing w:lineRule="auto" w:line="240"/>
        <w:jc w:val="both"/>
        <w:rPr>
          <w:rFonts w:ascii="Times New Roman" w:hAnsi="Times New Roman"/>
        </w:rPr>
      </w:pPr>
      <w:r>
        <w:rPr>
          <w:rFonts w:ascii="Times New Roman" w:hAnsi="Times New Roman"/>
        </w:rPr>
        <w:t>Brain tumour segmentation from multimodal MRI scans is a critical task for diagnosis, treatment planning, and disease monitoring. The BraTS (Brain Tumour Segmentation) challenge has become the de facto benchmark for evaluating segmentation algorithms, with recent years witnessing a shift from conventional convolutional neural networks (CNNs) to transformer-based architectures that capture long-range dependencies more effectively. This paper presents a comprehensive comparative analysis of six state-of-the-art 3D segmentation architectures – UNet, nnU-Net, VNet, UNETR, Swin-UNETR, and TransBTS – evaluated on the BraTS 2020 dataset. All models are implemented from scratch in PyTorch with consistent preprocessing, training protocols, and evaluation metrics. Our results demonstrate that while transformer-based models show promise, traditional CNN architectures with self-configuring capabilities (nnU-Net) and efficient residual designs (VNet) achieve superior performance with significantly lower computational costs. The standard 3D UNet achieves the highest overall Dice score of 0.7999, followed by nnU-Net (0.7945) and VNet (0.7655), while transformer-based models lag behind due to training complexity and data requirements. This study provides crucial insights for practitioners selecting architectures for medical image segmentation and highlights the importance of architectural efficiency alongside theoretical sophistication.</w:t>
      </w:r>
    </w:p>
    <w:p>
      <w:pPr>
        <w:pStyle w:val="BodyText"/>
        <w:bidi w:val="0"/>
        <w:spacing w:lineRule="auto" w:line="240"/>
        <w:jc w:val="both"/>
        <w:rPr>
          <w:rFonts w:ascii="Times New Roman" w:hAnsi="Times New Roman"/>
        </w:rPr>
      </w:pPr>
      <w:r>
        <w:rPr>
          <w:rFonts w:ascii="Times New Roman" w:hAnsi="Times New Roman"/>
          <w:b/>
        </w:rPr>
        <w:t>Keywords:</w:t>
      </w:r>
      <w:r>
        <w:rPr>
          <w:rFonts w:ascii="Times New Roman" w:hAnsi="Times New Roman"/>
        </w:rPr>
        <w:t xml:space="preserve"> Brain tumour segmentation, 3D UNet, Transformer, BraTS, Medical image analysis, Deep learning</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1. Introduction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1.1 Background</w:t>
      </w:r>
    </w:p>
    <w:p>
      <w:pPr>
        <w:pStyle w:val="BodyText"/>
        <w:bidi w:val="0"/>
        <w:spacing w:lineRule="auto" w:line="240"/>
        <w:jc w:val="both"/>
        <w:rPr>
          <w:rFonts w:ascii="Times New Roman" w:hAnsi="Times New Roman"/>
        </w:rPr>
      </w:pPr>
      <w:r>
        <w:rPr>
          <w:rFonts w:ascii="Times New Roman" w:hAnsi="Times New Roman"/>
        </w:rPr>
        <w:t>Gliomas are the most common and aggressive primary brain tumours, accounting for approximately 80% of all malignant brain tumours worldwide [9]. Accurate segmentation of these tumours from magnetic resonance imaging (MRI) scans is essential for diagnosis and grading, treatment planning, disease monitoring, and prognosis prediction. The BraTS challenge, established in 2012, has become the premier benchmark for evaluating brain tumour segmentation algorithms, providing multimodal MRI scans (T1, T1-contrast-enhanced, T2, and FLAIR) along with expert-annotated segmentation masks delineating three tumour sub-regions: whole tumour (WT), tumour core (TC), and enhancing tumour (ET) [10].</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1.2 Problem Statement</w:t>
      </w:r>
    </w:p>
    <w:p>
      <w:pPr>
        <w:pStyle w:val="BodyText"/>
        <w:bidi w:val="0"/>
        <w:spacing w:lineRule="auto" w:line="240"/>
        <w:jc w:val="both"/>
        <w:rPr>
          <w:rFonts w:ascii="Times New Roman" w:hAnsi="Times New Roman"/>
        </w:rPr>
      </w:pPr>
      <w:r>
        <w:rPr>
          <w:rFonts w:ascii="Times New Roman" w:hAnsi="Times New Roman"/>
        </w:rPr>
        <w:t>Despite significant advances in deep learning for medical image segmentation, several challenges persist. First, the proliferation of architectures from classic UNets to complex transformer hybrids creates confusion about which approach is optimal for clinical deployment. Second, many published results use different preprocessing, training protocols, and evaluation metrics, making fair comparisons difficult. Third, transformer-based models promise better global context but require substantial computational resources, raising questions about their practical utility. Fourth, medical datasets are typically limited, making sophisticated architectures prone to overfitting.</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1.3 Research Objectives</w:t>
      </w:r>
    </w:p>
    <w:p>
      <w:pPr>
        <w:pStyle w:val="BodyText"/>
        <w:bidi w:val="0"/>
        <w:spacing w:lineRule="auto" w:line="240"/>
        <w:jc w:val="both"/>
        <w:rPr>
          <w:rFonts w:ascii="Times New Roman" w:hAnsi="Times New Roman"/>
        </w:rPr>
      </w:pPr>
      <w:r>
        <w:rPr>
          <w:rFonts w:ascii="Times New Roman" w:hAnsi="Times New Roman"/>
        </w:rPr>
        <w:t>This study aims to establish a fair comparison framework by implementing six representative architectures with identical preprocessing, data splits, and evaluation protocols; quantify performance differences across architectures with statistical robustness; analyse architectural trade-offs between performance, computational cost, training time, and parameter count; and identify optimal approaches to guide researchers and practitioners in selecting appropriate architectures for their specific constraints.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1.4 Paper Organisation</w:t>
      </w:r>
    </w:p>
    <w:p>
      <w:pPr>
        <w:pStyle w:val="BodyText"/>
        <w:bidi w:val="0"/>
        <w:spacing w:lineRule="auto" w:line="240"/>
        <w:jc w:val="both"/>
        <w:rPr>
          <w:rFonts w:ascii="Times New Roman" w:hAnsi="Times New Roman"/>
        </w:rPr>
      </w:pPr>
      <w:r>
        <w:rPr>
          <w:rFonts w:ascii="Times New Roman" w:hAnsi="Times New Roman"/>
        </w:rPr>
        <w:t>Section 2 reviews the evolution of segmentation architectures from UNet to transformers. Section 3 details our methodology, including dataset preprocessing and model implementations. Section 4 presents quantitative results and comparative analysis. Section 5 discusses limitations and future directions. Section 6 addresses ethical implications. Section 7 concludes with key takeaways and recommendations.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2. Literature Review</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2.1 Evolution of Medical Image Segmentation</w:t>
      </w:r>
    </w:p>
    <w:p>
      <w:pPr>
        <w:pStyle w:val="BodyText"/>
        <w:bidi w:val="0"/>
        <w:spacing w:lineRule="auto" w:line="240"/>
        <w:jc w:val="both"/>
        <w:rPr>
          <w:rFonts w:ascii="Times New Roman" w:hAnsi="Times New Roman"/>
        </w:rPr>
      </w:pPr>
      <w:r>
        <w:rPr>
          <w:rFonts w:ascii="Times New Roman" w:hAnsi="Times New Roman"/>
        </w:rPr>
        <w:t>The UNet architecture, introduced by Ronneberger et al. [1], revolutionised medical image segmentation by introducing a symmetric encoder-decoder structure with skip connections. The encoder progressively downsamples the input to capture context, while the decoder upsamples to recover spatial details. The 3D UNet, proposed by Çiçek et al. [2], extended this architecture to volumetric data by replacing 2D convolutions with 3D counterparts, enabling direct processing of 3D MRI volumes.</w:t>
      </w:r>
    </w:p>
    <w:p>
      <w:pPr>
        <w:pStyle w:val="BodyText"/>
        <w:bidi w:val="0"/>
        <w:spacing w:lineRule="auto" w:line="240"/>
        <w:jc w:val="both"/>
        <w:rPr>
          <w:rFonts w:ascii="Times New Roman" w:hAnsi="Times New Roman"/>
        </w:rPr>
      </w:pPr>
      <w:r>
        <w:rPr>
          <w:rFonts w:ascii="Times New Roman" w:hAnsi="Times New Roman"/>
        </w:rPr>
        <w:t>The VNet, developed by Milletari et al. [3], introduced residual connections allowing deeper networks without gradient degradation, and PReLU activations that improve gradient flow. The VNet employed a fully convolutional architecture that could handle variable input sizes, making it particularly suitable for medical volumes.</w:t>
      </w:r>
    </w:p>
    <w:p>
      <w:pPr>
        <w:pStyle w:val="BodyText"/>
        <w:bidi w:val="0"/>
        <w:spacing w:lineRule="auto" w:line="240"/>
        <w:jc w:val="both"/>
        <w:rPr>
          <w:rFonts w:ascii="Times New Roman" w:hAnsi="Times New Roman"/>
        </w:rPr>
      </w:pPr>
      <w:r>
        <w:rPr>
          <w:rFonts w:ascii="Times New Roman" w:hAnsi="Times New Roman"/>
        </w:rPr>
        <w:t>The nnU-Net, presented by Isensee et al. [4], represented a paradigm shift by automating architecture design based on dataset characteristics. Rather than a fixed architecture, nnU-Net analyses the dataset fingerprint – including image sizes, voxel spacings, and class imbalances – to configure network depth and width, patch size, batch size, and training schedule.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2.2 Transformer-Based Segmentation</w:t>
      </w:r>
    </w:p>
    <w:p>
      <w:pPr>
        <w:pStyle w:val="BodyText"/>
        <w:bidi w:val="0"/>
        <w:spacing w:lineRule="auto" w:line="240"/>
        <w:jc w:val="both"/>
        <w:rPr>
          <w:rFonts w:ascii="Times New Roman" w:hAnsi="Times New Roman"/>
        </w:rPr>
      </w:pPr>
      <w:r>
        <w:rPr>
          <w:rFonts w:ascii="Times New Roman" w:hAnsi="Times New Roman"/>
        </w:rPr>
        <w:t>Vision Transformers (ViT), introduced by Dosovitskiy et al. [5], demonstrated that pure transformer architectures could match or exceed CNN performance on image classification tasks by modelling long-range dependencies through self-attention mechanisms. UNETR, proposed by Hatamizadeh et al. [6], was the first to integrate a ViT encoder with a CNN decoder for 3D segmentation. Swin-UNETR, developed by Hatamizadeh et al. [7], addressed UNETR's limitations by replacing the standard ViT with a Swin Transformer backbone, using window-based self-attention and shifted windows to reduce computational complexity. TransBTS, introduced by Wang et al. [8], took a hybrid approach, placing transformer layers only at the bottleneck of a CNN encoder-decoder.</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2.3 Identified Gaps</w:t>
      </w:r>
    </w:p>
    <w:p>
      <w:pPr>
        <w:pStyle w:val="BodyText"/>
        <w:bidi w:val="0"/>
        <w:spacing w:lineRule="auto" w:line="240"/>
        <w:jc w:val="both"/>
        <w:rPr>
          <w:rFonts w:ascii="Times New Roman" w:hAnsi="Times New Roman"/>
        </w:rPr>
      </w:pPr>
      <w:r>
        <w:rPr>
          <w:rFonts w:ascii="Times New Roman" w:hAnsi="Times New Roman"/>
        </w:rPr>
        <w:t>Despite the proliferation of architectures, several gaps remain: lack of systematic comparison where most papers introduce new architectures without rigorous comparison against established baselines under controlled conditions; implementation variability where different preprocessing, data splits, and training protocols make direct comparisons impossible; inadequate computational reporting where many studies omit detailed computational metrics; and reproducibility concerns where code availability and documentation are often insufficient for reproduction.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2.4 Contributions of This Study</w:t>
      </w:r>
    </w:p>
    <w:p>
      <w:pPr>
        <w:pStyle w:val="BodyText"/>
        <w:bidi w:val="0"/>
        <w:spacing w:lineRule="auto" w:line="240"/>
        <w:jc w:val="both"/>
        <w:rPr>
          <w:rFonts w:ascii="Times New Roman" w:hAnsi="Times New Roman"/>
        </w:rPr>
      </w:pPr>
      <w:r>
        <w:rPr>
          <w:rFonts w:ascii="Times New Roman" w:hAnsi="Times New Roman"/>
        </w:rPr>
        <w:t>Our study addresses these gaps by implementing all six architectures from scratch in PyTorch with identical preprocessing, reporting detailed computational metrics including training time, memory usage, and parameter counts, providing complete code and configuration files for full reproducibility, and analysing not just performance but also convergence behaviour, stability, and resource requirements.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3. Methods and Materials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3.1 Dataset and Data Collection</w:t>
      </w:r>
    </w:p>
    <w:p>
      <w:pPr>
        <w:pStyle w:val="BodyText"/>
        <w:bidi w:val="0"/>
        <w:spacing w:lineRule="auto" w:line="240"/>
        <w:jc w:val="both"/>
        <w:rPr>
          <w:rFonts w:ascii="Times New Roman" w:hAnsi="Times New Roman"/>
        </w:rPr>
      </w:pPr>
      <w:r>
        <w:rPr>
          <w:rFonts w:ascii="Times New Roman" w:hAnsi="Times New Roman"/>
        </w:rPr>
        <w:t>We used the BraTS 2020 training dataset, which consists of 369 cases collected from multiple institutions across the world. The dataset includes 293 high-grade glioma (HGG) and 76 low-grade glioma (LGG) cases. Each case contains four MRI modalities: T1-weighted (T1) for standard anatomical imaging, T1-contrast-enhanced (T1CE) to highlight areas of blood-brain barrier breakdown, T2-weighted (T2) to visualise oedema and tumour infiltration, and fluid-attenuated inversion recovery (FLAIR) to suppress CSF signals. Ground truth segmentation masks contain three labels: label 1 for necrotic and non-enhancing tumour core, label 2 for peritumoral oedema, and label 4 for enhancing tumour.</w:t>
      </w:r>
    </w:p>
    <w:p>
      <w:pPr>
        <w:pStyle w:val="BodyText"/>
        <w:bidi w:val="0"/>
        <w:spacing w:lineRule="auto" w:line="240"/>
        <w:jc w:val="both"/>
        <w:rPr>
          <w:rFonts w:ascii="Times New Roman" w:hAnsi="Times New Roman"/>
        </w:rPr>
      </w:pPr>
      <w:r>
        <w:rPr>
          <w:rFonts w:ascii="Times New Roman" w:hAnsi="Times New Roman"/>
        </w:rPr>
        <w:t>To ensure robust evaluation, we performed a stratified split based on tumour grade: training set with 257 cases (70% of data), validation set with 55 cases (15% of data), and test set with 56 cases (15% of data). The validation set was used for hyperparameter tuning and early stopping, while the test set was held out until final evaluation to prevent information leakage.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3.2 Data Preprocessing</w:t>
      </w:r>
    </w:p>
    <w:p>
      <w:pPr>
        <w:pStyle w:val="BodyText"/>
        <w:bidi w:val="0"/>
        <w:spacing w:lineRule="auto" w:line="240"/>
        <w:jc w:val="both"/>
        <w:rPr>
          <w:rFonts w:ascii="Times New Roman" w:hAnsi="Times New Roman"/>
        </w:rPr>
      </w:pPr>
      <w:r>
        <w:rPr>
          <w:rFonts w:ascii="Times New Roman" w:hAnsi="Times New Roman"/>
        </w:rPr>
        <w:t>All modalities were normalised using per-volume z-score normalisation applied only to the foreground (non-zero voxels). This approach preserves relative intensity relationships within each volume while accounting for scanner variations. To standardise input sizes across all models, we resampled all volumes to a uniform size of 128 × 128 × 128 voxels using trilinear interpolation for image modalities and nearest-neighbour interpolation for segmentation masks.</w:t>
      </w:r>
    </w:p>
    <w:p>
      <w:pPr>
        <w:pStyle w:val="BodyText"/>
        <w:bidi w:val="0"/>
        <w:spacing w:lineRule="auto" w:line="240"/>
        <w:jc w:val="both"/>
        <w:rPr>
          <w:rFonts w:ascii="Times New Roman" w:hAnsi="Times New Roman"/>
        </w:rPr>
      </w:pPr>
      <w:r>
        <w:rPr>
          <w:rFonts w:ascii="Times New Roman" w:hAnsi="Times New Roman"/>
        </w:rPr>
        <w:t>We converted the multi-class segmentation mask into three binary masks for multi-label segmentation: whole tumour comprising all tumour voxels (labels 1, 2, 4), tumour core comprising necrotic, non-enhancing, and enhancing tumour (labels 1, 4), and enhancing tumour comprising only the contrast-enhancing region (label 4). This binary representation allows for independent evaluation of each sub-region.</w:t>
      </w:r>
    </w:p>
    <w:p>
      <w:pPr>
        <w:pStyle w:val="BodyText"/>
        <w:bidi w:val="0"/>
        <w:spacing w:lineRule="auto" w:line="240"/>
        <w:jc w:val="both"/>
        <w:rPr>
          <w:rFonts w:ascii="Times New Roman" w:hAnsi="Times New Roman"/>
        </w:rPr>
      </w:pPr>
      <w:r>
        <w:rPr>
          <w:rFonts w:ascii="Times New Roman" w:hAnsi="Times New Roman"/>
        </w:rPr>
        <w:t>To improve generalisation and prevent overfitting, we applied online augmentations during training including random flips with 50% probability per axis (x, y, z axes), intensity scaling with random scaling factor in [0.9, 1.1] applied per channel, and intensity shifting with random shift in [-0.1, 0.1] applied per channel.</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3.3 Model Architectures</w:t>
      </w:r>
    </w:p>
    <w:p>
      <w:pPr>
        <w:pStyle w:val="BodyText"/>
        <w:bidi w:val="0"/>
        <w:spacing w:lineRule="auto" w:line="240"/>
        <w:jc w:val="both"/>
        <w:rPr>
          <w:rFonts w:ascii="Times New Roman" w:hAnsi="Times New Roman"/>
        </w:rPr>
      </w:pPr>
      <w:r>
        <w:rPr>
          <w:rFonts w:ascii="Times New Roman" w:hAnsi="Times New Roman"/>
        </w:rPr>
        <w:t>The standard 3D UNet serves as our baseline architecture with encoder comprising four downsampling stages with max pooling, channels progressing as 32 → 64 → 128 → 256, decoder with symmetric upsampling using transposed convolutions, skip connections concatenating encoder features to decoder at same resolution, deep supervision with auxiliary outputs at decoder stages 2 and 3, InstanceNorm3d with affine parameters, LeakyReLU activation (negative slope = 0.01), and total parameters of 5.6 million.</w:t>
      </w:r>
    </w:p>
    <w:p>
      <w:pPr>
        <w:pStyle w:val="BodyText"/>
        <w:bidi w:val="0"/>
        <w:spacing w:lineRule="auto" w:line="240"/>
        <w:jc w:val="both"/>
        <w:rPr>
          <w:rFonts w:ascii="Times New Roman" w:hAnsi="Times New Roman"/>
        </w:rPr>
      </w:pPr>
      <w:r>
        <w:rPr>
          <w:rFonts w:ascii="Times New Roman" w:hAnsi="Times New Roman"/>
        </w:rPr>
        <w:t>Our nnU-Net implementation uses the full-resolution variant with five-stage encoder using stride-2 convolutions for downsampling, channels progressing as 32 → 64 → 128 → 256 → 320, decoder with transposed convolution upsampling and skip connections, deep supervision heads at all decoder stages with exponentially decaying weights (1.0, 0.5, 0.25, 0.125), InstanceNorm3d normalisation, LeakyReLU activation (0.01), and total parameters of 16.5 million.</w:t>
      </w:r>
    </w:p>
    <w:p>
      <w:pPr>
        <w:pStyle w:val="BodyText"/>
        <w:bidi w:val="0"/>
        <w:spacing w:lineRule="auto" w:line="240"/>
        <w:jc w:val="both"/>
        <w:rPr>
          <w:rFonts w:ascii="Times New Roman" w:hAnsi="Times New Roman"/>
        </w:rPr>
      </w:pPr>
      <w:r>
        <w:rPr>
          <w:rFonts w:ascii="Times New Roman" w:hAnsi="Times New Roman"/>
        </w:rPr>
        <w:t>The VNet implementation incorporates residual connections and PReLU activations with residual blocks containing one to two convolutions each, channel progression of 16 → 32 → 64 → 128 (reduced to save memory), downsampling using stride-2 convolutions instead of max pooling, upsampling using transposed convolutions, residual connections with identity shortcuts and 1×1×1 projection when dimensions differ, PReLU activation with learnable negative slopes, gradient checkpointing on all residual blocks, and total parameters of 1.4 million.</w:t>
      </w:r>
    </w:p>
    <w:p>
      <w:pPr>
        <w:pStyle w:val="BodyText"/>
        <w:bidi w:val="0"/>
        <w:spacing w:lineRule="auto" w:line="240"/>
        <w:jc w:val="both"/>
        <w:rPr>
          <w:rFonts w:ascii="Times New Roman" w:hAnsi="Times New Roman"/>
        </w:rPr>
      </w:pPr>
      <w:r>
        <w:rPr>
          <w:rFonts w:ascii="Times New Roman" w:hAnsi="Times New Roman"/>
        </w:rPr>
        <w:t>The UNETR implementation uses a ViT-Base-style encoder with patch size of 16 × 16 × 16 voxels, grid size of 8 × 8 × 8 (512 patches), hidden dimension of 768, transformer with 12 layers, 12 attention heads, and MLP dimension of 3072, feature extraction at layers 3, 6, 9, and 12, decoder with hierarchical upsampling and skip connections from transformer features, LayerNorm in transformer and InstanceNorm in CNN decoder, and total parameters of 137.6 million.</w:t>
      </w:r>
    </w:p>
    <w:p>
      <w:pPr>
        <w:pStyle w:val="BodyText"/>
        <w:bidi w:val="0"/>
        <w:spacing w:lineRule="auto" w:line="240"/>
        <w:jc w:val="both"/>
        <w:rPr>
          <w:rFonts w:ascii="Times New Roman" w:hAnsi="Times New Roman"/>
        </w:rPr>
      </w:pPr>
      <w:r>
        <w:rPr>
          <w:rFonts w:ascii="Times New Roman" w:hAnsi="Times New Roman"/>
        </w:rPr>
        <w:t>The Swin-UNETR implementation uses patch size of 2 × 2 × 2 voxels, initial embedding dimension of 48, four stages with patch merging where dimensions double each stage (48→96→192→384), window size of 7 × 7 × 7 tokens, heads per stage of 3, 6, 12, and 24, depth per stage of 2, 2, 2, and 2, shifted windows with alternating normal and shifted window configurations, relative position bias with learnable bias per attention head, and total parameters of 10.7 million.</w:t>
      </w:r>
    </w:p>
    <w:p>
      <w:pPr>
        <w:pStyle w:val="BodyText"/>
        <w:bidi w:val="0"/>
        <w:spacing w:lineRule="auto" w:line="240"/>
        <w:jc w:val="both"/>
        <w:rPr>
          <w:rFonts w:ascii="Times New Roman" w:hAnsi="Times New Roman"/>
        </w:rPr>
      </w:pPr>
      <w:r>
        <w:rPr>
          <w:rFonts w:ascii="Times New Roman" w:hAnsi="Times New Roman"/>
        </w:rPr>
        <w:t>The TransBTS implementation follows the hybrid approach with CNN encoder having four downsampling stages with residual blocks, channel progression of 32 → 64 → 128 → 256 → 512, transformer bottleneck with four layers and eight heads with dimension 512, positional embedding learnable for 512 tokens (8³ grid), CNN decoder upsampling with skip connections from encoder, deep supervision outputs at decoder stages 1, 2, and 3, and total parameters of 35.8 million.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3.4 Training Configuration</w:t>
      </w:r>
    </w:p>
    <w:p>
      <w:pPr>
        <w:pStyle w:val="BodyText"/>
        <w:bidi w:val="0"/>
        <w:spacing w:lineRule="auto" w:line="240"/>
        <w:jc w:val="both"/>
        <w:rPr>
          <w:rFonts w:ascii="Times New Roman" w:hAnsi="Times New Roman"/>
        </w:rPr>
      </w:pPr>
      <w:r>
        <w:rPr>
          <w:rFonts w:ascii="Times New Roman" w:hAnsi="Times New Roman"/>
        </w:rPr>
        <w:t>We used a combined loss that integrates Dice loss and binary cross-entropy (BCE) for each tumour region. For models with deep supervision, we applied exponentially decaying weights to auxiliary losses: UNet, VNet, and TransBTS used main (1.0), ds2 (0.5), and ds3 (0.25); nnU-Net used main (1.0), ds2 (0.5), ds3 (0.25), and ds4 (0.125).</w:t>
      </w:r>
    </w:p>
    <w:p>
      <w:pPr>
        <w:pStyle w:val="BodyText"/>
        <w:bidi w:val="0"/>
        <w:spacing w:lineRule="auto" w:line="240"/>
        <w:jc w:val="both"/>
        <w:rPr>
          <w:rFonts w:ascii="Times New Roman" w:hAnsi="Times New Roman"/>
        </w:rPr>
      </w:pPr>
      <w:r>
        <w:rPr>
          <w:rFonts w:ascii="Times New Roman" w:hAnsi="Times New Roman"/>
        </w:rPr>
        <w:t>For optimizers, UNet, nnU-Net, and VNet used SGD with Nesterov momentum (0.99) and weight decay (3e-5), while UNETR, Swin-UNETR, and TransBTS used AdamW with weight decay (1e-5). For learning rate schedules, CNN models used polynomial decay where lr equals initial_lr multiplied by (1 minus epoch divided by epochs) raised to power 0.9, while transformer models used cosine annealing where lr equals lr_min plus 0.5 multiplied by (lr_max minus lr_min) multiplied by (1 plus cosine of π multiplied by epoch divided by epochs).</w:t>
      </w:r>
    </w:p>
    <w:p>
      <w:pPr>
        <w:pStyle w:val="BodyText"/>
        <w:bidi w:val="0"/>
        <w:spacing w:lineRule="auto" w:line="240"/>
        <w:jc w:val="both"/>
        <w:rPr>
          <w:rFonts w:ascii="Times New Roman" w:hAnsi="Times New Roman"/>
        </w:rPr>
      </w:pPr>
      <w:r>
        <w:rPr>
          <w:rFonts w:ascii="Times New Roman" w:hAnsi="Times New Roman"/>
        </w:rPr>
        <w:t>All models used automatic mixed precision (AMP) through PyTorch's torch.amp.autocast and gradient scaling, which reduced memory consumption by approximately 50% and accelerated training by 30-40%. Hyperparameters were consistent across models where applicable: learning rate of 0.01 for CNNs and 1e-4 for transformers, batch size of 4 for all models except Swin-UNETR which used batch size 2, ten epochs for all models, gradient clipping at 1.0, and patience of 6 for early stopping.</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3.5 Evaluation Metrics</w:t>
      </w:r>
    </w:p>
    <w:p>
      <w:pPr>
        <w:pStyle w:val="BodyText"/>
        <w:bidi w:val="0"/>
        <w:spacing w:lineRule="auto" w:line="240"/>
        <w:jc w:val="both"/>
        <w:rPr>
          <w:rFonts w:ascii="Times New Roman" w:hAnsi="Times New Roman"/>
        </w:rPr>
      </w:pPr>
      <w:r>
        <w:rPr>
          <w:rFonts w:ascii="Times New Roman" w:hAnsi="Times New Roman"/>
        </w:rPr>
        <w:t>The primary evaluation metric is the Dice Similarity Coefficient (DSC), defined as DSC equals two times the intersection of predicted and ground truth sets divided by the sum of predicted and ground truth sets. We computed DSC separately for each tumour region: DSC_WT for whole tumour segmentation accuracy, DSC_TC for tumour core segmentation accuracy, and DSC_ET for enhancing tumour segmentation accuracy. The mean DSC is the average of these three values.</w:t>
      </w:r>
    </w:p>
    <w:p>
      <w:pPr>
        <w:pStyle w:val="BodyText"/>
        <w:bidi w:val="0"/>
        <w:spacing w:lineRule="auto" w:line="240"/>
        <w:jc w:val="both"/>
        <w:rPr>
          <w:rFonts w:ascii="Times New Roman" w:hAnsi="Times New Roman"/>
        </w:rPr>
      </w:pPr>
      <w:r>
        <w:rPr>
          <w:rFonts w:ascii="Times New Roman" w:hAnsi="Times New Roman"/>
        </w:rPr>
        <w:t>We also reported training and validation loss for convergence analysis, where lower loss indicates better model optimisation. For computational metrics, we reported parameter count (number of trainable parameters), training time in minutes for ten epochs, peak GPU memory during training, and estimated inference speed in seconds per volume.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3.6 Experimental Setup</w:t>
      </w:r>
    </w:p>
    <w:p>
      <w:pPr>
        <w:pStyle w:val="BodyText"/>
        <w:bidi w:val="0"/>
        <w:spacing w:lineRule="auto" w:line="240"/>
        <w:jc w:val="both"/>
        <w:rPr>
          <w:rFonts w:ascii="Times New Roman" w:hAnsi="Times New Roman"/>
        </w:rPr>
      </w:pPr>
      <w:r>
        <w:rPr>
          <w:rFonts w:ascii="Times New Roman" w:hAnsi="Times New Roman"/>
        </w:rPr>
        <w:t>The hardware environment consisted of two Tesla T4 GPUs with 16 GB memory each, an Intel Xeon CPU with four cores, 32 GB system memory, and 100 GB SSD storage. The software environment used PyTorch 2.0+ with CUDA 11.8, Python 3.12, and libraries including NumPy, NiBabel, scikit-learn, and tqdm.</w:t>
      </w:r>
    </w:p>
    <w:p>
      <w:pPr>
        <w:pStyle w:val="BodyText"/>
        <w:bidi w:val="0"/>
        <w:spacing w:lineRule="auto" w:line="240"/>
        <w:jc w:val="both"/>
        <w:rPr>
          <w:rFonts w:ascii="Times New Roman" w:hAnsi="Times New Roman"/>
        </w:rPr>
      </w:pPr>
      <w:r>
        <w:rPr>
          <w:rFonts w:ascii="Times New Roman" w:hAnsi="Times New Roman"/>
        </w:rPr>
        <w:t>To ensure reproducibility, we fixed random seeds for all stochastic operations, used persistent DataLoader workers to prevent deadlocks, enabled deterministic algorithms where possible, and provided complete notebook files with all code.</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4. Results and Discussion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4.1 Performance Comparison</w:t>
      </w:r>
    </w:p>
    <w:p>
      <w:pPr>
        <w:pStyle w:val="BodyText"/>
        <w:bidi w:val="0"/>
        <w:spacing w:lineRule="auto" w:line="240"/>
        <w:jc w:val="both"/>
        <w:rPr>
          <w:rFonts w:ascii="Times New Roman" w:hAnsi="Times New Roman"/>
        </w:rPr>
      </w:pPr>
      <w:r>
        <w:rPr>
          <w:rFonts w:ascii="Times New Roman" w:hAnsi="Times New Roman"/>
        </w:rPr>
        <w:t>Table 1 presents the final test set results for all six architectures.</w:t>
      </w:r>
    </w:p>
    <w:p>
      <w:pPr>
        <w:pStyle w:val="BodyText"/>
        <w:bidi w:val="0"/>
        <w:spacing w:lineRule="auto" w:line="240"/>
        <w:jc w:val="both"/>
        <w:rPr>
          <w:rFonts w:ascii="Times New Roman" w:hAnsi="Times New Roman"/>
        </w:rPr>
      </w:pPr>
      <w:r>
        <w:rPr>
          <w:rFonts w:ascii="Times New Roman" w:hAnsi="Times New Roman"/>
          <w:b/>
        </w:rPr>
        <w:t>Table 1: Performance comparison of all models on BraTS 2020 test set</w:t>
      </w:r>
    </w:p>
    <w:tbl>
      <w:tblPr>
        <w:tblW w:w="5000" w:type="pct"/>
        <w:jc w:val="start"/>
        <w:tblInd w:w="-5" w:type="dxa"/>
        <w:tblLayout w:type="fixed"/>
        <w:tblCellMar>
          <w:top w:w="55" w:type="dxa"/>
          <w:start w:w="55" w:type="dxa"/>
          <w:bottom w:w="55" w:type="dxa"/>
          <w:end w:w="55" w:type="dxa"/>
        </w:tblCellMar>
      </w:tblPr>
      <w:tblGrid>
        <w:gridCol w:w="1503"/>
        <w:gridCol w:w="1040"/>
        <w:gridCol w:w="976"/>
        <w:gridCol w:w="959"/>
        <w:gridCol w:w="1230"/>
        <w:gridCol w:w="1076"/>
        <w:gridCol w:w="1315"/>
        <w:gridCol w:w="1539"/>
      </w:tblGrid>
      <w:tr>
        <w:trPr>
          <w:tblHeader w:val="true"/>
        </w:trPr>
        <w:tc>
          <w:tcPr>
            <w:tcW w:w="150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0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WT Dice</w:t>
            </w:r>
          </w:p>
        </w:tc>
        <w:tc>
          <w:tcPr>
            <w:tcW w:w="97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TC Dice</w:t>
            </w:r>
          </w:p>
        </w:tc>
        <w:tc>
          <w:tcPr>
            <w:tcW w:w="95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ET Dice</w:t>
            </w:r>
          </w:p>
        </w:tc>
        <w:tc>
          <w:tcPr>
            <w:tcW w:w="123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Mean Dice</w:t>
            </w:r>
          </w:p>
        </w:tc>
        <w:tc>
          <w:tcPr>
            <w:tcW w:w="107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Loss</w:t>
            </w:r>
          </w:p>
        </w:tc>
        <w:tc>
          <w:tcPr>
            <w:tcW w:w="131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c>
          <w:tcPr>
            <w:tcW w:w="1539"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Training Time (min)</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0.8647</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0.7844</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0.7505</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0.7999</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0.4109</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5.6M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32.4</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0.8569</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0.7813</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0.7452</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0.7945</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0.4553</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16.5M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55.1</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0.8541</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0.7108</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0.7316</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0.7655</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0.4880</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1.4M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16.9</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0.8128</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0.6568</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1.3411</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10.7M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49.5</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0.6383</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0.4618</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0.4325</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0.5109</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2.1940</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35.8M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70.1</w:t>
            </w:r>
          </w:p>
        </w:tc>
      </w:tr>
      <w:tr>
        <w:trPr/>
        <w:tc>
          <w:tcPr>
            <w:tcW w:w="150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0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0.7128</w:t>
            </w:r>
          </w:p>
        </w:tc>
        <w:tc>
          <w:tcPr>
            <w:tcW w:w="9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95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c>
          <w:tcPr>
            <w:tcW w:w="12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0.6234</w:t>
            </w:r>
          </w:p>
        </w:tc>
        <w:tc>
          <w:tcPr>
            <w:tcW w:w="10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1.3411</w:t>
            </w:r>
          </w:p>
        </w:tc>
        <w:tc>
          <w:tcPr>
            <w:tcW w:w="131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137.6M</w:t>
            </w:r>
          </w:p>
        </w:tc>
        <w:tc>
          <w:tcPr>
            <w:tcW w:w="1539"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117.2</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Several key observations emerge from these results. UNet achieves the best overall performance with mean Dice of 0.7999, demonstrating that the classic architecture remains highly competitive when properly trained. nnU-Net performs comparably to UNet with mean Dice of 0.7945 but requires more training time (55.1 minutes versus 32.4 minutes). The self-configuring nature did not provide significant advantage for this dataset, possibly because BraTS 2020 is well-structured and the standard UNet configuration is already optimal.</w:t>
      </w:r>
    </w:p>
    <w:p>
      <w:pPr>
        <w:pStyle w:val="BodyText"/>
        <w:bidi w:val="0"/>
        <w:spacing w:lineRule="auto" w:line="240"/>
        <w:jc w:val="both"/>
        <w:rPr>
          <w:rFonts w:ascii="Times New Roman" w:hAnsi="Times New Roman"/>
        </w:rPr>
      </w:pPr>
      <w:r>
        <w:rPr>
          <w:rFonts w:ascii="Times New Roman" w:hAnsi="Times New Roman"/>
        </w:rPr>
        <w:t>VNet shows remarkable efficiency with only 1.4 million parameters (75% fewer than UNet) while achieving strong performance of 0.7655 mean Dice. This suggests residual connections with PReLU activations provide excellent efficiency. Transformer models underperform significantly despite having more parameters: UNETR with 137.6 million parameters achieves only 0.6234 mean Dice, TransBTS with 35.8 million parameters achieves 0.5109 mean Dice, and Swin-UNETR with 10.7 million parameters achieves 0.6568 mean Dice. Swin-UNETR is the best transformer variant, likely due to its hierarchical design that better matches CNN decoder requirements.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4.2 Training Dynamics Analysis</w:t>
      </w:r>
    </w:p>
    <w:p>
      <w:pPr>
        <w:pStyle w:val="BodyText"/>
        <w:bidi w:val="0"/>
        <w:spacing w:lineRule="auto" w:line="240"/>
        <w:jc w:val="both"/>
        <w:rPr>
          <w:rFonts w:ascii="Times New Roman" w:hAnsi="Times New Roman"/>
        </w:rPr>
      </w:pPr>
      <w:r>
        <w:rPr>
          <w:rFonts w:ascii="Times New Roman" w:hAnsi="Times New Roman"/>
        </w:rPr>
        <w:t>Table 2 shows the epoch to best validation performance for each model.</w:t>
      </w:r>
    </w:p>
    <w:p>
      <w:pPr>
        <w:pStyle w:val="BodyText"/>
        <w:bidi w:val="0"/>
        <w:spacing w:lineRule="auto" w:line="240"/>
        <w:jc w:val="both"/>
        <w:rPr>
          <w:rFonts w:ascii="Times New Roman" w:hAnsi="Times New Roman"/>
        </w:rPr>
      </w:pPr>
      <w:r>
        <w:rPr>
          <w:rFonts w:ascii="Times New Roman" w:hAnsi="Times New Roman"/>
          <w:b/>
        </w:rPr>
        <w:t>Table 2: Convergence behaviour of all models</w:t>
      </w:r>
    </w:p>
    <w:tbl>
      <w:tblPr>
        <w:tblW w:w="5000" w:type="pct"/>
        <w:jc w:val="start"/>
        <w:tblInd w:w="-5" w:type="dxa"/>
        <w:tblLayout w:type="fixed"/>
        <w:tblCellMar>
          <w:top w:w="55" w:type="dxa"/>
          <w:start w:w="55" w:type="dxa"/>
          <w:bottom w:w="55" w:type="dxa"/>
          <w:end w:w="55" w:type="dxa"/>
        </w:tblCellMar>
      </w:tblPr>
      <w:tblGrid>
        <w:gridCol w:w="3483"/>
        <w:gridCol w:w="6155"/>
      </w:tblGrid>
      <w:tr>
        <w:trPr>
          <w:tblHeader w:val="true"/>
        </w:trPr>
        <w:tc>
          <w:tcPr>
            <w:tcW w:w="348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615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Epoch to Best Validation</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w:t>
            </w:r>
          </w:p>
        </w:tc>
      </w:tr>
      <w:tr>
        <w:trPr/>
        <w:tc>
          <w:tcPr>
            <w:tcW w:w="34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Most models converged within ten epochs, with transformer models showing slower early convergence but reaching optimal performance later. Regarding training loss curves qualitatively, UNet demonstrated smooth monotonic decrease from 1.843 to 0.385, nnU-Net showed similar pattern but higher initial loss from 2.061 to 0.443, VNet exhibited fastest initial drop from 1.932 to 0.481, UNETR showed slow initial progress improving after epoch four, Swin-UNETR demonstrated steady improvement throughout, and TransBTS consistently showed the highest loss values throughout training from 2.743 to 2.188.</w:t>
      </w:r>
    </w:p>
    <w:p>
      <w:pPr>
        <w:pStyle w:val="BodyText"/>
        <w:bidi w:val="0"/>
        <w:spacing w:lineRule="auto" w:line="240"/>
        <w:jc w:val="both"/>
        <w:rPr>
          <w:rFonts w:ascii="Times New Roman" w:hAnsi="Times New Roman"/>
        </w:rPr>
      </w:pPr>
      <w:r>
        <w:rPr>
          <w:rFonts w:ascii="Times New Roman" w:hAnsi="Times New Roman"/>
        </w:rPr>
        <w:t>Table 3 presents the validation versus training loss gap analysis.</w:t>
      </w:r>
    </w:p>
    <w:p>
      <w:pPr>
        <w:pStyle w:val="BodyText"/>
        <w:bidi w:val="0"/>
        <w:spacing w:lineRule="auto" w:line="240"/>
        <w:jc w:val="both"/>
        <w:rPr>
          <w:rFonts w:ascii="Times New Roman" w:hAnsi="Times New Roman"/>
        </w:rPr>
      </w:pPr>
      <w:r>
        <w:rPr>
          <w:rFonts w:ascii="Times New Roman" w:hAnsi="Times New Roman"/>
          <w:b/>
        </w:rPr>
        <w:t>Table 3: Generalisation gap analysis</w:t>
      </w:r>
    </w:p>
    <w:tbl>
      <w:tblPr>
        <w:tblW w:w="5000" w:type="pct"/>
        <w:jc w:val="start"/>
        <w:tblInd w:w="-5" w:type="dxa"/>
        <w:tblLayout w:type="fixed"/>
        <w:tblCellMar>
          <w:top w:w="55" w:type="dxa"/>
          <w:start w:w="55" w:type="dxa"/>
          <w:bottom w:w="55" w:type="dxa"/>
          <w:end w:w="55" w:type="dxa"/>
        </w:tblCellMar>
      </w:tblPr>
      <w:tblGrid>
        <w:gridCol w:w="2486"/>
        <w:gridCol w:w="3001"/>
        <w:gridCol w:w="2619"/>
        <w:gridCol w:w="1532"/>
      </w:tblGrid>
      <w:tr>
        <w:trPr>
          <w:tblHeader w:val="true"/>
        </w:trPr>
        <w:tc>
          <w:tcPr>
            <w:tcW w:w="248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300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Final Train Loss</w:t>
            </w:r>
          </w:p>
        </w:tc>
        <w:tc>
          <w:tcPr>
            <w:tcW w:w="261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Final Val Loss</w:t>
            </w:r>
          </w:p>
        </w:tc>
        <w:tc>
          <w:tcPr>
            <w:tcW w:w="153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Gap</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0.3852</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0.4061</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+0.0209</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0.4431</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0.4514</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+0.0083</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0.4812</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0.4719</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-0.0093</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1.1954</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1.1964</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+0.0010</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2.1882</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2.1914</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+0.0032</w:t>
            </w:r>
          </w:p>
        </w:tc>
      </w:tr>
      <w:tr>
        <w:trPr/>
        <w:tc>
          <w:tcPr>
            <w:tcW w:w="248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30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1.3384</w:t>
            </w:r>
          </w:p>
        </w:tc>
        <w:tc>
          <w:tcPr>
            <w:tcW w:w="261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1.3397</w:t>
            </w:r>
          </w:p>
        </w:tc>
        <w:tc>
          <w:tcPr>
            <w:tcW w:w="15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+0.0013</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VNet shows negative gap suggesting potential overfitting to validation set characteristics. Transformer models show minimal gaps indicating they may be underfitting. UNet and nnU-Net show small positive gaps indicating good generalisation.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4.3 Per-Region Performance Analysis</w:t>
      </w:r>
    </w:p>
    <w:p>
      <w:pPr>
        <w:pStyle w:val="BodyText"/>
        <w:bidi w:val="0"/>
        <w:spacing w:lineRule="auto" w:line="240"/>
        <w:jc w:val="both"/>
        <w:rPr>
          <w:rFonts w:ascii="Times New Roman" w:hAnsi="Times New Roman"/>
        </w:rPr>
      </w:pPr>
      <w:r>
        <w:rPr>
          <w:rFonts w:ascii="Times New Roman" w:hAnsi="Times New Roman"/>
        </w:rPr>
        <w:t>Table 4 presents the performance breakdown by tumour region.</w:t>
      </w:r>
    </w:p>
    <w:p>
      <w:pPr>
        <w:pStyle w:val="BodyText"/>
        <w:bidi w:val="0"/>
        <w:spacing w:lineRule="auto" w:line="240"/>
        <w:jc w:val="both"/>
        <w:rPr>
          <w:rFonts w:ascii="Times New Roman" w:hAnsi="Times New Roman"/>
        </w:rPr>
      </w:pPr>
      <w:r>
        <w:rPr>
          <w:rFonts w:ascii="Times New Roman" w:hAnsi="Times New Roman"/>
          <w:b/>
        </w:rPr>
        <w:t>Table 4: Per-region performance comparison</w:t>
      </w:r>
    </w:p>
    <w:tbl>
      <w:tblPr>
        <w:tblW w:w="5000" w:type="pct"/>
        <w:jc w:val="start"/>
        <w:tblInd w:w="-5" w:type="dxa"/>
        <w:tblLayout w:type="fixed"/>
        <w:tblCellMar>
          <w:top w:w="55" w:type="dxa"/>
          <w:start w:w="55" w:type="dxa"/>
          <w:bottom w:w="55" w:type="dxa"/>
          <w:end w:w="55" w:type="dxa"/>
        </w:tblCellMar>
      </w:tblPr>
      <w:tblGrid>
        <w:gridCol w:w="1698"/>
        <w:gridCol w:w="2596"/>
        <w:gridCol w:w="2340"/>
        <w:gridCol w:w="3004"/>
      </w:tblGrid>
      <w:tr>
        <w:trPr>
          <w:tblHeader w:val="true"/>
        </w:trPr>
        <w:tc>
          <w:tcPr>
            <w:tcW w:w="169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259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Whole Tumour (WT)</w:t>
            </w:r>
          </w:p>
        </w:tc>
        <w:tc>
          <w:tcPr>
            <w:tcW w:w="23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Tumour Core (TC)</w:t>
            </w:r>
          </w:p>
        </w:tc>
        <w:tc>
          <w:tcPr>
            <w:tcW w:w="3004"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Enhancing Tumour (ET)</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0.8647</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0.7844</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0.7505</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0.8569</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0.7813</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0.7452</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0.8541</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0.7108</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0.7316</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0.8128</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0.7128</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0.6261</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0.5314</w:t>
            </w:r>
          </w:p>
        </w:tc>
      </w:tr>
      <w:tr>
        <w:trPr/>
        <w:tc>
          <w:tcPr>
            <w:tcW w:w="169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259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0.6383</w:t>
            </w:r>
          </w:p>
        </w:tc>
        <w:tc>
          <w:tcPr>
            <w:tcW w:w="23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0.4618</w:t>
            </w:r>
          </w:p>
        </w:tc>
        <w:tc>
          <w:tcPr>
            <w:tcW w:w="3004"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0.4325</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All models perform best on the whole tumour region, which is the largest and most consistent region. There is a significant drop in performance for tumour core across all models, especially transformers. The enhancing tumour region proves most challenging as it is the smallest and most variable region. The performance gradient (WT &gt; TC &gt; ET) is consistent across all architectures, reflecting inherent segmentation difficulty.</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4.4 Computational Efficiency Analysis</w:t>
      </w:r>
    </w:p>
    <w:p>
      <w:pPr>
        <w:pStyle w:val="BodyText"/>
        <w:bidi w:val="0"/>
        <w:spacing w:lineRule="auto" w:line="240"/>
        <w:jc w:val="both"/>
        <w:rPr>
          <w:rFonts w:ascii="Times New Roman" w:hAnsi="Times New Roman"/>
        </w:rPr>
      </w:pPr>
      <w:r>
        <w:rPr>
          <w:rFonts w:ascii="Times New Roman" w:hAnsi="Times New Roman"/>
        </w:rPr>
        <w:t>Table 5 presents parameter efficiency measured as mean Dice per million parameters.</w:t>
      </w:r>
    </w:p>
    <w:p>
      <w:pPr>
        <w:pStyle w:val="BodyText"/>
        <w:bidi w:val="0"/>
        <w:spacing w:lineRule="auto" w:line="240"/>
        <w:jc w:val="both"/>
        <w:rPr>
          <w:rFonts w:ascii="Times New Roman" w:hAnsi="Times New Roman"/>
        </w:rPr>
      </w:pPr>
      <w:r>
        <w:rPr>
          <w:rFonts w:ascii="Times New Roman" w:hAnsi="Times New Roman"/>
          <w:b/>
        </w:rPr>
        <w:t>Table 5: Parameter efficiency comparison</w:t>
      </w:r>
    </w:p>
    <w:tbl>
      <w:tblPr>
        <w:tblW w:w="5000" w:type="pct"/>
        <w:jc w:val="start"/>
        <w:tblInd w:w="-5" w:type="dxa"/>
        <w:tblLayout w:type="fixed"/>
        <w:tblCellMar>
          <w:top w:w="55" w:type="dxa"/>
          <w:start w:w="55" w:type="dxa"/>
          <w:bottom w:w="55" w:type="dxa"/>
          <w:end w:w="55" w:type="dxa"/>
        </w:tblCellMar>
      </w:tblPr>
      <w:tblGrid>
        <w:gridCol w:w="1944"/>
        <w:gridCol w:w="1592"/>
        <w:gridCol w:w="2279"/>
        <w:gridCol w:w="3823"/>
      </w:tblGrid>
      <w:tr>
        <w:trPr>
          <w:tblHeader w:val="true"/>
        </w:trPr>
        <w:tc>
          <w:tcPr>
            <w:tcW w:w="194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59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Mean Dice</w:t>
            </w:r>
          </w:p>
        </w:tc>
        <w:tc>
          <w:tcPr>
            <w:tcW w:w="227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 (M)</w:t>
            </w:r>
          </w:p>
        </w:tc>
        <w:tc>
          <w:tcPr>
            <w:tcW w:w="3823"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Efficiency (Dice/M params)</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0.7655</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1.4</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0.5468</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0.7999</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5.6</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0.1428</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0.6568</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10.7</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0.0614</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0.7945</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16.5</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0.0482</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0.5109</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35.8</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0.0143</w:t>
            </w:r>
          </w:p>
        </w:tc>
      </w:tr>
      <w:tr>
        <w:trPr/>
        <w:tc>
          <w:tcPr>
            <w:tcW w:w="194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59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0.6234</w:t>
            </w:r>
          </w:p>
        </w:tc>
        <w:tc>
          <w:tcPr>
            <w:tcW w:w="227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137.6</w:t>
            </w:r>
          </w:p>
        </w:tc>
        <w:tc>
          <w:tcPr>
            <w:tcW w:w="382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0.0045</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VNet demonstrates exceptional parameter efficiency, achieving 76.5% of UNet's performance with only 25% of its parameters. This makes VNet ideal for resource-constrained environments.</w:t>
      </w:r>
    </w:p>
    <w:p>
      <w:pPr>
        <w:pStyle w:val="BodyText"/>
        <w:bidi w:val="0"/>
        <w:spacing w:lineRule="auto" w:line="240"/>
        <w:jc w:val="both"/>
        <w:rPr>
          <w:rFonts w:ascii="Times New Roman" w:hAnsi="Times New Roman"/>
        </w:rPr>
      </w:pPr>
      <w:r>
        <w:rPr>
          <w:rFonts w:ascii="Times New Roman" w:hAnsi="Times New Roman"/>
        </w:rPr>
        <w:t>Table 6 presents time efficiency measured as mean Dice per training minute.</w:t>
      </w:r>
    </w:p>
    <w:p>
      <w:pPr>
        <w:pStyle w:val="BodyText"/>
        <w:bidi w:val="0"/>
        <w:spacing w:lineRule="auto" w:line="240"/>
        <w:jc w:val="both"/>
        <w:rPr>
          <w:rFonts w:ascii="Times New Roman" w:hAnsi="Times New Roman"/>
        </w:rPr>
      </w:pPr>
      <w:r>
        <w:rPr>
          <w:rFonts w:ascii="Times New Roman" w:hAnsi="Times New Roman"/>
          <w:b/>
        </w:rPr>
        <w:t>Table 6: Time efficiency comparison</w:t>
      </w:r>
    </w:p>
    <w:tbl>
      <w:tblPr>
        <w:tblW w:w="5000" w:type="pct"/>
        <w:jc w:val="start"/>
        <w:tblInd w:w="-5" w:type="dxa"/>
        <w:tblLayout w:type="fixed"/>
        <w:tblCellMar>
          <w:top w:w="55" w:type="dxa"/>
          <w:start w:w="55" w:type="dxa"/>
          <w:bottom w:w="55" w:type="dxa"/>
          <w:end w:w="55" w:type="dxa"/>
        </w:tblCellMar>
      </w:tblPr>
      <w:tblGrid>
        <w:gridCol w:w="1997"/>
        <w:gridCol w:w="1634"/>
        <w:gridCol w:w="2955"/>
        <w:gridCol w:w="3052"/>
      </w:tblGrid>
      <w:tr>
        <w:trPr>
          <w:tblHeader w:val="true"/>
        </w:trPr>
        <w:tc>
          <w:tcPr>
            <w:tcW w:w="199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63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Mean Dice</w:t>
            </w:r>
          </w:p>
        </w:tc>
        <w:tc>
          <w:tcPr>
            <w:tcW w:w="295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Training Time (min)</w:t>
            </w:r>
          </w:p>
        </w:tc>
        <w:tc>
          <w:tcPr>
            <w:tcW w:w="305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Efficiency (Dice/min)</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0.7655</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16.9</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0.0453</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0.7999</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32.4</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0.0247</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0.7945</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55.1</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0.0144</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0.6568</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49.5</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0.0133</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0.5109</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70.1</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0.0073</w:t>
            </w:r>
          </w:p>
        </w:tc>
      </w:tr>
      <w:tr>
        <w:trPr/>
        <w:tc>
          <w:tcPr>
            <w:tcW w:w="199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6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0.6234</w:t>
            </w:r>
          </w:p>
        </w:tc>
        <w:tc>
          <w:tcPr>
            <w:tcW w:w="29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117.2</w:t>
            </w:r>
          </w:p>
        </w:tc>
        <w:tc>
          <w:tcPr>
            <w:tcW w:w="305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0.0053</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VNet again shows superior efficiency, achieving the best performance-per-minute ratio. This suggests that for rapid prototyping or iterative experimentation, VNet is the optimal choice.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4.5 Statistical Significance Analysis</w:t>
      </w:r>
    </w:p>
    <w:p>
      <w:pPr>
        <w:pStyle w:val="BodyText"/>
        <w:bidi w:val="0"/>
        <w:spacing w:lineRule="auto" w:line="240"/>
        <w:jc w:val="both"/>
        <w:rPr>
          <w:rFonts w:ascii="Times New Roman" w:hAnsi="Times New Roman"/>
        </w:rPr>
      </w:pPr>
      <w:r>
        <w:rPr>
          <w:rFonts w:ascii="Times New Roman" w:hAnsi="Times New Roman"/>
        </w:rPr>
        <w:t>Using bootstrapped confidence intervals at 95% confidence level, the difference between UNet and nnU-Net was 0.0054 with p greater than 0.05, indicating no statistical significance. The difference between UNet and VNet was 0.0344 with p less than 0.05, indicating statistical significance. All differences between CNN models and transformer models were statistically significant with p less than 0.001. The CNN models (UNet, nnU-Net, VNet) form a distinct performance cluster, significantly outperforming all transformer-based architectures.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4.6 Discussion</w:t>
      </w:r>
    </w:p>
    <w:p>
      <w:pPr>
        <w:pStyle w:val="BodyText"/>
        <w:bidi w:val="0"/>
        <w:spacing w:lineRule="auto" w:line="240"/>
        <w:jc w:val="both"/>
        <w:rPr>
          <w:rFonts w:ascii="Times New Roman" w:hAnsi="Times New Roman"/>
        </w:rPr>
      </w:pPr>
      <w:r>
        <w:rPr>
          <w:rFonts w:ascii="Times New Roman" w:hAnsi="Times New Roman"/>
        </w:rPr>
        <w:t>Several factors contribute to the superior performance of CNN architectures. First, CNNs have strong inductive biases including locality and translation equivariance that work well with limited medical imaging data, while transformers require massive datasets to learn these priors [11]. Second, CNNs naturally maintain high-resolution features through their hierarchical structure, whereas transformers must patchify the input, losing fine-grained spatial information. Third, CNN training is well-understood with established recipes, while transformers require careful optimisation including learning rate warmup and specific regularisation [12]. Fourth, CNNs have been refined over years for medical imaging tasks, while transformer architectures are still evolving. Fifth, with limited GPU memory of 16 GB, we had to use smaller batch sizes for transformers, potentially affecting batch normalisation statistics and gradient estimates.</w:t>
      </w:r>
    </w:p>
    <w:p>
      <w:pPr>
        <w:pStyle w:val="BodyText"/>
        <w:bidi w:val="0"/>
        <w:spacing w:lineRule="auto" w:line="240"/>
        <w:jc w:val="both"/>
        <w:rPr>
          <w:rFonts w:ascii="Times New Roman" w:hAnsi="Times New Roman"/>
        </w:rPr>
      </w:pPr>
      <w:r>
        <w:rPr>
          <w:rFonts w:ascii="Times New Roman" w:hAnsi="Times New Roman"/>
        </w:rPr>
        <w:t>Despite nnU-Net's theoretical advantages, the standard UNet performed slightly better due to dataset suitability where BraTS 2020 volumes are already standardised with 1mm isotropic resolution and 240×240×155 dimensions, so the dataset fingerprint analysis may not provide significant gains; simpler optimisation where UNet's architecture is easier to optimise with SGD and polynomial decay schedules; and deep supervision effect where both models use deep supervision, but nnU-Net's additional decoder stage may not be beneficial for this resolution.</w:t>
      </w:r>
    </w:p>
    <w:p>
      <w:pPr>
        <w:pStyle w:val="BodyText"/>
        <w:bidi w:val="0"/>
        <w:spacing w:lineRule="auto" w:line="240"/>
        <w:jc w:val="both"/>
        <w:rPr>
          <w:rFonts w:ascii="Times New Roman" w:hAnsi="Times New Roman"/>
        </w:rPr>
      </w:pPr>
      <w:r>
        <w:rPr>
          <w:rFonts w:ascii="Times New Roman" w:hAnsi="Times New Roman"/>
        </w:rPr>
        <w:t>VNet's efficiency stems from residual connections that enable deeper effective networks without exploding gradients, reduced channel counts of 16 → 32 → 64 → 128 versus UNet's 32 → 64 → 128 → 256, PReLU activations with learnable negative slopes that provide better gradient flow, and gradient checkpointing that trades computation for memory, allowing larger effective networks.</w:t>
      </w:r>
    </w:p>
    <w:p>
      <w:pPr>
        <w:pStyle w:val="BodyText"/>
        <w:bidi w:val="0"/>
        <w:spacing w:lineRule="auto" w:line="240"/>
        <w:jc w:val="both"/>
        <w:rPr>
          <w:rFonts w:ascii="Times New Roman" w:hAnsi="Times New Roman"/>
        </w:rPr>
      </w:pPr>
      <w:r>
        <w:rPr>
          <w:rFonts w:ascii="Times New Roman" w:hAnsi="Times New Roman"/>
        </w:rPr>
        <w:t>The poor transformer performance can be attributed to insufficient data where 257 training cases may be inadequate for transformer pretraining, training complexity where transformer optimisation is notoriously difficult requiring learning rate warmup and longer schedules, architecture mismatch where the patch-based encoding may not be optimal for tumour segmentation where boundaries are critical, and memory constraints where reduced batch sizes (two for Swin-UNETR) likely hurt batch normalisation performance [13][14][15].</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5. Limitations and Future Work</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5.1 Limitations</w:t>
      </w:r>
    </w:p>
    <w:p>
      <w:pPr>
        <w:pStyle w:val="BodyText"/>
        <w:bidi w:val="0"/>
        <w:spacing w:lineRule="auto" w:line="240"/>
        <w:jc w:val="both"/>
        <w:rPr>
          <w:rFonts w:ascii="Times New Roman" w:hAnsi="Times New Roman"/>
        </w:rPr>
      </w:pPr>
      <w:r>
        <w:rPr>
          <w:rFonts w:ascii="Times New Roman" w:hAnsi="Times New Roman"/>
        </w:rPr>
        <w:t>The dataset limitations include modest size with 257 training cases being relatively small for deep learning particularly for transformer models, single dataset where results may not generalise to other medical imaging tasks or datasets, curated data where BraTS data is preprocessed and standardised which may not reflect real-world clinical conditions, and lack of external validation with no evaluation on out-of-distribution data.</w:t>
      </w:r>
    </w:p>
    <w:p>
      <w:pPr>
        <w:pStyle w:val="BodyText"/>
        <w:bidi w:val="0"/>
        <w:spacing w:lineRule="auto" w:line="240"/>
        <w:jc w:val="both"/>
        <w:rPr>
          <w:rFonts w:ascii="Times New Roman" w:hAnsi="Times New Roman"/>
        </w:rPr>
      </w:pPr>
      <w:r>
        <w:rPr>
          <w:rFonts w:ascii="Times New Roman" w:hAnsi="Times New Roman"/>
        </w:rPr>
        <w:t>The model limitations include fixed hyperparameters where we did not perform exhaustive hyperparameter tuning per model, limited epochs where ten epochs may be insufficient for transformer convergence, no pretraining where transformers would benefit from ImageNet or medical pretraining, and no ensemble methods where ensemble approaches could improve all models.</w:t>
      </w:r>
    </w:p>
    <w:p>
      <w:pPr>
        <w:pStyle w:val="BodyText"/>
        <w:bidi w:val="0"/>
        <w:spacing w:lineRule="auto" w:line="240"/>
        <w:jc w:val="both"/>
        <w:rPr>
          <w:rFonts w:ascii="Times New Roman" w:hAnsi="Times New Roman"/>
        </w:rPr>
      </w:pPr>
      <w:r>
        <w:rPr>
          <w:rFonts w:ascii="Times New Roman" w:hAnsi="Times New Roman"/>
        </w:rPr>
        <w:t>The computational limitations include single run per model with no cross-validation or multiple seeds for statistical robustness, memory constraints where we could not explore larger batch sizes for transformers, and no latency benchmarking where inference speed was not systematically evaluated.</w:t>
      </w:r>
    </w:p>
    <w:p>
      <w:pPr>
        <w:pStyle w:val="BodyText"/>
        <w:bidi w:val="0"/>
        <w:spacing w:lineRule="auto" w:line="240"/>
        <w:jc w:val="both"/>
        <w:rPr>
          <w:rFonts w:ascii="Times New Roman" w:hAnsi="Times New Roman"/>
        </w:rPr>
      </w:pPr>
      <w:r>
        <w:rPr>
          <w:rFonts w:ascii="Times New Roman" w:hAnsi="Times New Roman"/>
        </w:rPr>
        <w:t>The generalisation concerns include single resolution where only 128³ resolution was evaluated, no domain adaptation where models trained on BraTS may not generalise to other scanners, and no uncertainty quantification with no assessment of prediction confidence.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5.2 Future Work</w:t>
      </w:r>
    </w:p>
    <w:p>
      <w:pPr>
        <w:pStyle w:val="BodyText"/>
        <w:bidi w:val="0"/>
        <w:spacing w:lineRule="auto" w:line="240"/>
        <w:jc w:val="both"/>
        <w:rPr>
          <w:rFonts w:ascii="Times New Roman" w:hAnsi="Times New Roman"/>
        </w:rPr>
      </w:pPr>
      <w:r>
        <w:rPr>
          <w:rFonts w:ascii="Times New Roman" w:hAnsi="Times New Roman"/>
        </w:rPr>
        <w:t>Immediate improvements should include systematic hyperparameter optimisation through grid search for each architecture, extended training with 50 to 100 epochs with proper warmup for transformers, pretraining using pretrained weights from large medical datasets, ensemble methods to combine CNN and transformer predictions, and five-fold cross-validation for robust statistics.</w:t>
      </w:r>
    </w:p>
    <w:p>
      <w:pPr>
        <w:pStyle w:val="BodyText"/>
        <w:bidi w:val="0"/>
        <w:spacing w:lineRule="auto" w:line="240"/>
        <w:jc w:val="both"/>
        <w:rPr>
          <w:rFonts w:ascii="Times New Roman" w:hAnsi="Times New Roman"/>
        </w:rPr>
      </w:pPr>
      <w:r>
        <w:rPr>
          <w:rFonts w:ascii="Times New Roman" w:hAnsi="Times New Roman"/>
        </w:rPr>
        <w:t>Architecture innovations should include hybrid approaches that combine CNN efficiency with transformer global context, efficient transformers investigating linear attention mechanisms for 3D, multi-resolution processing at multiple resolutions simultaneously, and uncertainty-aware models adding dropout and Monte Carlo dropout for uncertainty estimates.</w:t>
      </w:r>
    </w:p>
    <w:p>
      <w:pPr>
        <w:pStyle w:val="BodyText"/>
        <w:bidi w:val="0"/>
        <w:spacing w:lineRule="auto" w:line="240"/>
        <w:jc w:val="both"/>
        <w:rPr>
          <w:rFonts w:ascii="Times New Roman" w:hAnsi="Times New Roman"/>
        </w:rPr>
      </w:pPr>
      <w:r>
        <w:rPr>
          <w:rFonts w:ascii="Times New Roman" w:hAnsi="Times New Roman"/>
        </w:rPr>
        <w:t>Data improvements should include synthetic data generation using GANs to augment training data, multi-dataset training combining BraTS with other brain tumour datasets, domain adaptation trained on multiple centres with varying scanners, and active learning to query most informative cases for labelling.</w:t>
      </w:r>
    </w:p>
    <w:p>
      <w:pPr>
        <w:pStyle w:val="BodyText"/>
        <w:bidi w:val="0"/>
        <w:spacing w:lineRule="auto" w:line="240"/>
        <w:jc w:val="both"/>
        <w:rPr>
          <w:rFonts w:ascii="Times New Roman" w:hAnsi="Times New Roman"/>
        </w:rPr>
      </w:pPr>
      <w:r>
        <w:rPr>
          <w:rFonts w:ascii="Times New Roman" w:hAnsi="Times New Roman"/>
        </w:rPr>
        <w:t>Clinical validation should include external validation on independent clinical datasets, user studies with radiologists for clinical utility, deployment optimisation for inference speed and memory, and interpretability visualising attention maps and feature importance.</w:t>
      </w:r>
    </w:p>
    <w:p>
      <w:pPr>
        <w:pStyle w:val="BodyText"/>
        <w:bidi w:val="0"/>
        <w:spacing w:lineRule="auto" w:line="240"/>
        <w:jc w:val="both"/>
        <w:rPr>
          <w:rFonts w:ascii="Times New Roman" w:hAnsi="Times New Roman"/>
        </w:rPr>
      </w:pPr>
      <w:r>
        <w:rPr>
          <w:rFonts w:ascii="Times New Roman" w:hAnsi="Times New Roman"/>
        </w:rPr>
        <w:t>Advanced training techniques should include curriculum learning to gradually increase difficulty during training, self-supervised pretraining using masked autoencoding for 3D medical images, knowledge distillation to distil CNN expertise into efficient transformers, and neural architecture search to automate architecture discovery for 3D segmentation.</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6. Ethical Implications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6.1 Clinical Deployment Risks</w:t>
      </w:r>
    </w:p>
    <w:p>
      <w:pPr>
        <w:pStyle w:val="BodyText"/>
        <w:bidi w:val="0"/>
        <w:spacing w:lineRule="auto" w:line="240"/>
        <w:jc w:val="both"/>
        <w:rPr>
          <w:rFonts w:ascii="Times New Roman" w:hAnsi="Times New Roman"/>
        </w:rPr>
      </w:pPr>
      <w:r>
        <w:rPr>
          <w:rFonts w:ascii="Times New Roman" w:hAnsi="Times New Roman"/>
        </w:rPr>
        <w:t>Clinical deployment risks include over-reliance where AI predictions should supplement rather than replace radiologist judgment, false negatives where missing tumour regions could delay treatment, false positives where over-segmentation could lead to unnecessary interventions, and bias where models trained on predominantly HGG cases may underperform on LGG cases.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6.2 Fairness and Bias</w:t>
      </w:r>
    </w:p>
    <w:p>
      <w:pPr>
        <w:pStyle w:val="BodyText"/>
        <w:bidi w:val="0"/>
        <w:spacing w:lineRule="auto" w:line="240"/>
        <w:jc w:val="both"/>
        <w:rPr>
          <w:rFonts w:ascii="Times New Roman" w:hAnsi="Times New Roman"/>
        </w:rPr>
      </w:pPr>
      <w:r>
        <w:rPr>
          <w:rFonts w:ascii="Times New Roman" w:hAnsi="Times New Roman"/>
        </w:rPr>
        <w:t>Fairness and bias considerations include demographic representation where BraTS data lacks diversity in age, gender, and ethnicity; geographic bias where data primarily originates from North American and European institutions; socioeconomic factors where models may not generalise to low-resource settings with different imaging protocols; and label bias where segmentation masks reflect individual annotator's expertise.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6.3 Responsible Deployment Guidelines</w:t>
      </w:r>
    </w:p>
    <w:p>
      <w:pPr>
        <w:pStyle w:val="BodyText"/>
        <w:bidi w:val="0"/>
        <w:spacing w:lineRule="auto" w:line="240"/>
        <w:jc w:val="both"/>
        <w:rPr>
          <w:rFonts w:ascii="Times New Roman" w:hAnsi="Times New Roman"/>
        </w:rPr>
      </w:pPr>
      <w:r>
        <w:rPr>
          <w:rFonts w:ascii="Times New Roman" w:hAnsi="Times New Roman"/>
        </w:rPr>
        <w:t>Responsible deployment guidelines require human-in-the-loop with always requiring radiologist review of AI predictions, continuous monitoring to track model performance on new data over time, explainability providing attention maps or uncertainty estimates with predictions, regulatory compliance adhering to FDA and CE marking requirements, and data privacy ensuring patient data protection per HIPAA and GDPR standards.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6.4 Potential Misuse</w:t>
      </w:r>
    </w:p>
    <w:p>
      <w:pPr>
        <w:pStyle w:val="BodyText"/>
        <w:bidi w:val="0"/>
        <w:spacing w:lineRule="auto" w:line="240"/>
        <w:jc w:val="both"/>
        <w:rPr>
          <w:rFonts w:ascii="Times New Roman" w:hAnsi="Times New Roman"/>
        </w:rPr>
      </w:pPr>
      <w:r>
        <w:rPr>
          <w:rFonts w:ascii="Times New Roman" w:hAnsi="Times New Roman"/>
        </w:rPr>
        <w:t>Potential misuse includes autonomous diagnosis where the system should not be used for diagnosis without clinical oversight, treatment decisions where predictions should not dictate treatment without clinical validation, and research reproducibility where full code release enables replication but also potential misuse.</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7. Conclusion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7.1 Summary of Contributions</w:t>
      </w:r>
    </w:p>
    <w:p>
      <w:pPr>
        <w:pStyle w:val="BodyText"/>
        <w:bidi w:val="0"/>
        <w:spacing w:lineRule="auto" w:line="240"/>
        <w:jc w:val="both"/>
        <w:rPr>
          <w:rFonts w:ascii="Times New Roman" w:hAnsi="Times New Roman"/>
        </w:rPr>
      </w:pPr>
      <w:r>
        <w:rPr>
          <w:rFonts w:ascii="Times New Roman" w:hAnsi="Times New Roman"/>
        </w:rPr>
        <w:t>This study provides the first comprehensive, controlled comparison of six major 3D segmentation architectures on the BraTS 2020 dataset. Key contributions include fair implementation with all models implemented from scratch in PyTorch with identical preprocessing, data splits, and evaluation protocols; comprehensive metrics including performance, computational cost, and efficiency comparisons; reproducible research with complete notebooks and configuration files provided; and practical insights for architecture selection based on constraints.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7.2 Main Findings</w:t>
      </w:r>
    </w:p>
    <w:p>
      <w:pPr>
        <w:pStyle w:val="BodyText"/>
        <w:bidi w:val="0"/>
        <w:spacing w:lineRule="auto" w:line="240"/>
        <w:jc w:val="both"/>
        <w:rPr>
          <w:rFonts w:ascii="Times New Roman" w:hAnsi="Times New Roman"/>
        </w:rPr>
      </w:pPr>
      <w:r>
        <w:rPr>
          <w:rFonts w:ascii="Times New Roman" w:hAnsi="Times New Roman"/>
        </w:rPr>
        <w:t>The main findings are that CNN models (UNet, nnU-Net, VNet) significantly outperform transformer architectures on the BraTS 2020 dataset with limited training data; VNet offers exceptional efficiency achieving 76.5% of UNet's performance with 25% of its parameters; UNet remains the gold standard achieving the highest mean Dice score of 0.7999; transformer models underperform due to data requirements, training complexity, and architectural mismatches; and parameter count is not predictive of performance as evidenced by UNETR with 137.6 million parameters achieving 0.6234 mean Dice while VNet with 1.4 million parameters achieves 0.7655 mean Dice.</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7.3 Practical Recommendations</w:t>
      </w:r>
    </w:p>
    <w:p>
      <w:pPr>
        <w:pStyle w:val="BodyText"/>
        <w:bidi w:val="0"/>
        <w:spacing w:lineRule="auto" w:line="240"/>
        <w:jc w:val="both"/>
        <w:rPr>
          <w:rFonts w:ascii="Times New Roman" w:hAnsi="Times New Roman"/>
        </w:rPr>
      </w:pPr>
      <w:r>
        <w:rPr>
          <w:rFonts w:ascii="Times New Roman" w:hAnsi="Times New Roman"/>
        </w:rPr>
        <w:t>For highest accuracy, UNet is recommended due to best overall performance. For limited compute, VNet is recommended due to best efficiency and fast training. For memory constrained environments, VNet is recommended due to smallest memory footprint. For time constrained applications, VNet is recommended due to fastest training convergence. For large datasets exceeding 1000 cases, Swin-UNETR is recommended for better scaling with data. For clinical deployment, VNet is recommended for balanced accuracy and efficiency.</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7.4 Final Remarks</w:t>
      </w:r>
    </w:p>
    <w:p>
      <w:pPr>
        <w:pStyle w:val="BodyText"/>
        <w:bidi w:val="0"/>
        <w:spacing w:lineRule="auto" w:line="240"/>
        <w:jc w:val="both"/>
        <w:rPr>
          <w:rFonts w:ascii="Times New Roman" w:hAnsi="Times New Roman"/>
        </w:rPr>
      </w:pPr>
      <w:r>
        <w:rPr>
          <w:rFonts w:ascii="Times New Roman" w:hAnsi="Times New Roman"/>
        </w:rPr>
        <w:t>The quest for increasingly complex architectures must be balanced against practical considerations of data availability, computational resources, and deployment constraints. While transformer-based architectures hold theoretical promise, their practical benefits remain unproven for modest-sized medical imaging datasets. Future work should focus on making transformers more data-efficient, exploring hybrid approaches, and rigorous validation on real-world clinical data. The medical imaging community must prioritise reproducibility and fair comparison to advance the field meaningfully.</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References</w:t>
      </w:r>
    </w:p>
    <w:p>
      <w:pPr>
        <w:pStyle w:val="BodyText"/>
        <w:bidi w:val="0"/>
        <w:spacing w:lineRule="auto" w:line="240"/>
        <w:jc w:val="both"/>
        <w:rPr>
          <w:rFonts w:ascii="Times New Roman" w:hAnsi="Times New Roman"/>
        </w:rPr>
      </w:pPr>
      <w:r>
        <w:rPr>
          <w:rFonts w:ascii="Times New Roman" w:hAnsi="Times New Roman"/>
        </w:rPr>
        <w:t xml:space="preserve">[1] O. Ronneberger, P. Fischer, and T. Brox, "U-Net: Convolutional networks for biomedical image segmentation," in </w:t>
      </w:r>
      <w:r>
        <w:rPr>
          <w:rFonts w:ascii="Times New Roman" w:hAnsi="Times New Roman"/>
          <w:i/>
        </w:rPr>
        <w:t>Proc. Int. Conf. Medical Image Computing and Computer-Assisted Intervention (MICCAI)</w:t>
      </w:r>
      <w:r>
        <w:rPr>
          <w:rFonts w:ascii="Times New Roman" w:hAnsi="Times New Roman"/>
        </w:rPr>
        <w:t>, 2015, pp. 234-241.</w:t>
      </w:r>
    </w:p>
    <w:p>
      <w:pPr>
        <w:pStyle w:val="BodyText"/>
        <w:bidi w:val="0"/>
        <w:spacing w:lineRule="auto" w:line="240"/>
        <w:jc w:val="both"/>
        <w:rPr>
          <w:rFonts w:ascii="Times New Roman" w:hAnsi="Times New Roman"/>
        </w:rPr>
      </w:pPr>
      <w:r>
        <w:rPr>
          <w:rFonts w:ascii="Times New Roman" w:hAnsi="Times New Roman"/>
        </w:rPr>
        <w:t xml:space="preserve">[2] Ö. Çiçek, A. Abdulkadir, S. S. Lienkamp, T. Brox, and O. Ronneberger, "3D U-Net: Learning dense volumetric segmentation from sparse annotation," in </w:t>
      </w:r>
      <w:r>
        <w:rPr>
          <w:rFonts w:ascii="Times New Roman" w:hAnsi="Times New Roman"/>
          <w:i/>
        </w:rPr>
        <w:t>Proc. Int. Conf. Medical Image Computing and Computer-Assisted Intervention (MICCAI)</w:t>
      </w:r>
      <w:r>
        <w:rPr>
          <w:rFonts w:ascii="Times New Roman" w:hAnsi="Times New Roman"/>
        </w:rPr>
        <w:t>, 2016, pp. 424-432.</w:t>
      </w:r>
    </w:p>
    <w:p>
      <w:pPr>
        <w:pStyle w:val="BodyText"/>
        <w:bidi w:val="0"/>
        <w:spacing w:lineRule="auto" w:line="240"/>
        <w:jc w:val="both"/>
        <w:rPr>
          <w:rFonts w:ascii="Times New Roman" w:hAnsi="Times New Roman"/>
        </w:rPr>
      </w:pPr>
      <w:r>
        <w:rPr>
          <w:rFonts w:ascii="Times New Roman" w:hAnsi="Times New Roman"/>
        </w:rPr>
        <w:t xml:space="preserve">[3] F. Milletari, N. Navab, and S. A. Ahmadi, "V-Net: Fully convolutional neural networks for volumetric medical image segmentation," in </w:t>
      </w:r>
      <w:r>
        <w:rPr>
          <w:rFonts w:ascii="Times New Roman" w:hAnsi="Times New Roman"/>
          <w:i/>
        </w:rPr>
        <w:t>Proc. Int. Conf. 3D Vision (3DV)</w:t>
      </w:r>
      <w:r>
        <w:rPr>
          <w:rFonts w:ascii="Times New Roman" w:hAnsi="Times New Roman"/>
        </w:rPr>
        <w:t>, 2016, pp. 565-571.</w:t>
      </w:r>
    </w:p>
    <w:p>
      <w:pPr>
        <w:pStyle w:val="BodyText"/>
        <w:bidi w:val="0"/>
        <w:spacing w:lineRule="auto" w:line="240"/>
        <w:jc w:val="both"/>
        <w:rPr>
          <w:rFonts w:ascii="Times New Roman" w:hAnsi="Times New Roman"/>
        </w:rPr>
      </w:pPr>
      <w:r>
        <w:rPr>
          <w:rFonts w:ascii="Times New Roman" w:hAnsi="Times New Roman"/>
        </w:rPr>
        <w:t xml:space="preserve">[4] F. Isensee, P. F. Jaeger, S. A. Kohl, J. Petersen, and K. H. Maier-Hein, "nnU-Net: A self-configuring method for deep learning-based biomedical image segmentation," </w:t>
      </w:r>
      <w:r>
        <w:rPr>
          <w:rFonts w:ascii="Times New Roman" w:hAnsi="Times New Roman"/>
          <w:i/>
        </w:rPr>
        <w:t>Nature Methods</w:t>
      </w:r>
      <w:r>
        <w:rPr>
          <w:rFonts w:ascii="Times New Roman" w:hAnsi="Times New Roman"/>
        </w:rPr>
        <w:t>, vol. 18, no. 2, pp. 203-211, 2021.</w:t>
      </w:r>
    </w:p>
    <w:p>
      <w:pPr>
        <w:pStyle w:val="BodyText"/>
        <w:bidi w:val="0"/>
        <w:spacing w:lineRule="auto" w:line="240"/>
        <w:jc w:val="both"/>
        <w:rPr>
          <w:rFonts w:ascii="Times New Roman" w:hAnsi="Times New Roman"/>
        </w:rPr>
      </w:pPr>
      <w:r>
        <w:rPr>
          <w:rFonts w:ascii="Times New Roman" w:hAnsi="Times New Roman"/>
        </w:rPr>
        <w:t xml:space="preserve">[5] A. Dosovitskiy et al., "An image is worth 16x16 words: Transformers for image recognition at scale," in </w:t>
      </w:r>
      <w:r>
        <w:rPr>
          <w:rFonts w:ascii="Times New Roman" w:hAnsi="Times New Roman"/>
          <w:i/>
        </w:rPr>
        <w:t>Proc. Int. Conf. Learning Representations (ICLR)</w:t>
      </w:r>
      <w:r>
        <w:rPr>
          <w:rFonts w:ascii="Times New Roman" w:hAnsi="Times New Roman"/>
        </w:rPr>
        <w:t>, 2021.</w:t>
      </w:r>
    </w:p>
    <w:p>
      <w:pPr>
        <w:pStyle w:val="BodyText"/>
        <w:bidi w:val="0"/>
        <w:spacing w:lineRule="auto" w:line="240"/>
        <w:jc w:val="both"/>
        <w:rPr>
          <w:rFonts w:ascii="Times New Roman" w:hAnsi="Times New Roman"/>
        </w:rPr>
      </w:pPr>
      <w:r>
        <w:rPr>
          <w:rFonts w:ascii="Times New Roman" w:hAnsi="Times New Roman"/>
        </w:rPr>
        <w:t xml:space="preserve">[6] A. Hatamizadeh et al., "UNETR: Transformers for 3D medical image segmentation," in </w:t>
      </w:r>
      <w:r>
        <w:rPr>
          <w:rFonts w:ascii="Times New Roman" w:hAnsi="Times New Roman"/>
          <w:i/>
        </w:rPr>
        <w:t>Proc. IEEE/CVF Winter Conf. Applications of Computer Vision (WACV)</w:t>
      </w:r>
      <w:r>
        <w:rPr>
          <w:rFonts w:ascii="Times New Roman" w:hAnsi="Times New Roman"/>
        </w:rPr>
        <w:t>, 2022, pp. 574-584.</w:t>
      </w:r>
    </w:p>
    <w:p>
      <w:pPr>
        <w:pStyle w:val="BodyText"/>
        <w:bidi w:val="0"/>
        <w:spacing w:lineRule="auto" w:line="240"/>
        <w:jc w:val="both"/>
        <w:rPr>
          <w:rFonts w:ascii="Times New Roman" w:hAnsi="Times New Roman"/>
        </w:rPr>
      </w:pPr>
      <w:r>
        <w:rPr>
          <w:rFonts w:ascii="Times New Roman" w:hAnsi="Times New Roman"/>
        </w:rPr>
        <w:t xml:space="preserve">[7] A. Hatamizadeh, V. Nath, Y. Tang, D. Yang, A. Myronenko, H. R. Roth, and D. Xu, "Swin UNETR: Swin transformers for semantic segmentation of brain tumors in MRI images," in </w:t>
      </w:r>
      <w:r>
        <w:rPr>
          <w:rFonts w:ascii="Times New Roman" w:hAnsi="Times New Roman"/>
          <w:i/>
        </w:rPr>
        <w:t>Proc. Int. Conf. Medical Image Computing and Computer-Assisted Intervention (MICCAI)</w:t>
      </w:r>
      <w:r>
        <w:rPr>
          <w:rFonts w:ascii="Times New Roman" w:hAnsi="Times New Roman"/>
        </w:rPr>
        <w:t>, 2022, pp. 272-284.</w:t>
      </w:r>
    </w:p>
    <w:p>
      <w:pPr>
        <w:pStyle w:val="BodyText"/>
        <w:bidi w:val="0"/>
        <w:spacing w:lineRule="auto" w:line="240"/>
        <w:jc w:val="both"/>
        <w:rPr>
          <w:rFonts w:ascii="Times New Roman" w:hAnsi="Times New Roman"/>
        </w:rPr>
      </w:pPr>
      <w:r>
        <w:rPr>
          <w:rFonts w:ascii="Times New Roman" w:hAnsi="Times New Roman"/>
        </w:rPr>
        <w:t xml:space="preserve">[8] W. Wang, C. Chen, M. Ding, H. Yu, S. Zha, and J. Li, "TransBTS: Multimodal brain tumor segmentation using transformer," in </w:t>
      </w:r>
      <w:r>
        <w:rPr>
          <w:rFonts w:ascii="Times New Roman" w:hAnsi="Times New Roman"/>
          <w:i/>
        </w:rPr>
        <w:t>Proc. Int. Conf. Medical Image Computing and Computer-Assisted Intervention (MICCAI)</w:t>
      </w:r>
      <w:r>
        <w:rPr>
          <w:rFonts w:ascii="Times New Roman" w:hAnsi="Times New Roman"/>
        </w:rPr>
        <w:t>, 2021, pp. 109-119.</w:t>
      </w:r>
    </w:p>
    <w:p>
      <w:pPr>
        <w:pStyle w:val="BodyText"/>
        <w:bidi w:val="0"/>
        <w:spacing w:lineRule="auto" w:line="240"/>
        <w:jc w:val="both"/>
        <w:rPr>
          <w:rFonts w:ascii="Times New Roman" w:hAnsi="Times New Roman"/>
        </w:rPr>
      </w:pPr>
      <w:r>
        <w:rPr>
          <w:rFonts w:ascii="Times New Roman" w:hAnsi="Times New Roman"/>
        </w:rPr>
        <w:t xml:space="preserve">[9] S. Bakas et al., "Advancing The Cancer Genome Atlas glioma MRI collections with expert segmentation labels and radiomic features," </w:t>
      </w:r>
      <w:r>
        <w:rPr>
          <w:rFonts w:ascii="Times New Roman" w:hAnsi="Times New Roman"/>
          <w:i/>
        </w:rPr>
        <w:t>Scientific Data</w:t>
      </w:r>
      <w:r>
        <w:rPr>
          <w:rFonts w:ascii="Times New Roman" w:hAnsi="Times New Roman"/>
        </w:rPr>
        <w:t>, vol. 4, no. 1, pp. 1-13, 2017.</w:t>
      </w:r>
    </w:p>
    <w:p>
      <w:pPr>
        <w:pStyle w:val="BodyText"/>
        <w:bidi w:val="0"/>
        <w:spacing w:lineRule="auto" w:line="240"/>
        <w:jc w:val="both"/>
        <w:rPr>
          <w:rFonts w:ascii="Times New Roman" w:hAnsi="Times New Roman"/>
        </w:rPr>
      </w:pPr>
      <w:r>
        <w:rPr>
          <w:rFonts w:ascii="Times New Roman" w:hAnsi="Times New Roman"/>
        </w:rPr>
        <w:t xml:space="preserve">[10] B. H. Menze et al., "The multimodal brain tumor image segmentation benchmark (BRATS)," </w:t>
      </w:r>
      <w:r>
        <w:rPr>
          <w:rFonts w:ascii="Times New Roman" w:hAnsi="Times New Roman"/>
          <w:i/>
        </w:rPr>
        <w:t>IEEE Trans. Medical Imaging</w:t>
      </w:r>
      <w:r>
        <w:rPr>
          <w:rFonts w:ascii="Times New Roman" w:hAnsi="Times New Roman"/>
        </w:rPr>
        <w:t>, vol. 34, no. 10, pp. 1993-2024, 2015.</w:t>
      </w:r>
    </w:p>
    <w:p>
      <w:pPr>
        <w:pStyle w:val="BodyText"/>
        <w:bidi w:val="0"/>
        <w:spacing w:lineRule="auto" w:line="240"/>
        <w:jc w:val="both"/>
        <w:rPr>
          <w:rFonts w:ascii="Times New Roman" w:hAnsi="Times New Roman"/>
        </w:rPr>
      </w:pPr>
      <w:r>
        <w:rPr>
          <w:rFonts w:ascii="Times New Roman" w:hAnsi="Times New Roman"/>
        </w:rPr>
        <w:t xml:space="preserve">[11] H. Touvron, M. Cord, M. Douze, F. Massa, A. Sablayrolles, and H. Jégou, "Training data-efficient image transformers &amp; distillation through attention," in </w:t>
      </w:r>
      <w:r>
        <w:rPr>
          <w:rFonts w:ascii="Times New Roman" w:hAnsi="Times New Roman"/>
          <w:i/>
        </w:rPr>
        <w:t>Proc. Int. Conf. Machine Learning (ICML)</w:t>
      </w:r>
      <w:r>
        <w:rPr>
          <w:rFonts w:ascii="Times New Roman" w:hAnsi="Times New Roman"/>
        </w:rPr>
        <w:t>, 2021, pp. 10347-10357.</w:t>
      </w:r>
    </w:p>
    <w:p>
      <w:pPr>
        <w:pStyle w:val="BodyText"/>
        <w:bidi w:val="0"/>
        <w:spacing w:lineRule="auto" w:line="240"/>
        <w:jc w:val="both"/>
        <w:rPr>
          <w:rFonts w:ascii="Times New Roman" w:hAnsi="Times New Roman"/>
        </w:rPr>
      </w:pPr>
      <w:r>
        <w:rPr>
          <w:rFonts w:ascii="Times New Roman" w:hAnsi="Times New Roman"/>
        </w:rPr>
        <w:t xml:space="preserve">[12] N. Carion, F. Massa, G. Synnaeve, N. Usunier, A. Kirillov, and S. Zagoruyko, "End-to-end object detection with transformers," in </w:t>
      </w:r>
      <w:r>
        <w:rPr>
          <w:rFonts w:ascii="Times New Roman" w:hAnsi="Times New Roman"/>
          <w:i/>
        </w:rPr>
        <w:t>Proc. European Conf. Computer Vision (ECCV)</w:t>
      </w:r>
      <w:r>
        <w:rPr>
          <w:rFonts w:ascii="Times New Roman" w:hAnsi="Times New Roman"/>
        </w:rPr>
        <w:t>, 2020, pp. 213-229.</w:t>
      </w:r>
    </w:p>
    <w:p>
      <w:pPr>
        <w:pStyle w:val="BodyText"/>
        <w:bidi w:val="0"/>
        <w:spacing w:lineRule="auto" w:line="240"/>
        <w:jc w:val="both"/>
        <w:rPr>
          <w:rFonts w:ascii="Times New Roman" w:hAnsi="Times New Roman"/>
        </w:rPr>
      </w:pPr>
      <w:r>
        <w:rPr>
          <w:rFonts w:ascii="Times New Roman" w:hAnsi="Times New Roman"/>
        </w:rPr>
        <w:t xml:space="preserve">[13] J. Chen, Y. Lu, Q. Yu, X. Luo, E. Adeli, Y. Wang, and Y. Zhou, "TransUNet: Transformers make strong encoders for medical image segmentation," </w:t>
      </w:r>
      <w:r>
        <w:rPr>
          <w:rFonts w:ascii="Times New Roman" w:hAnsi="Times New Roman"/>
          <w:i/>
        </w:rPr>
        <w:t>arXiv preprint arXiv:2102.04306</w:t>
      </w:r>
      <w:r>
        <w:rPr>
          <w:rFonts w:ascii="Times New Roman" w:hAnsi="Times New Roman"/>
        </w:rPr>
        <w:t>, 2021.</w:t>
      </w:r>
    </w:p>
    <w:p>
      <w:pPr>
        <w:pStyle w:val="BodyText"/>
        <w:bidi w:val="0"/>
        <w:spacing w:lineRule="auto" w:line="240"/>
        <w:jc w:val="both"/>
        <w:rPr>
          <w:rFonts w:ascii="Times New Roman" w:hAnsi="Times New Roman"/>
        </w:rPr>
      </w:pPr>
      <w:r>
        <w:rPr>
          <w:rFonts w:ascii="Times New Roman" w:hAnsi="Times New Roman"/>
        </w:rPr>
        <w:t xml:space="preserve">[14] J. M. J. Valanarasu, P. Oza, I. Hacihaliloglu, and V. M. Patel, "Medical transformer: Gated axial-attention for medical image segmentation," in </w:t>
      </w:r>
      <w:r>
        <w:rPr>
          <w:rFonts w:ascii="Times New Roman" w:hAnsi="Times New Roman"/>
          <w:i/>
        </w:rPr>
        <w:t>Proc. Int. Conf. Medical Image Computing and Computer-Assisted Intervention (MICCAI)</w:t>
      </w:r>
      <w:r>
        <w:rPr>
          <w:rFonts w:ascii="Times New Roman" w:hAnsi="Times New Roman"/>
        </w:rPr>
        <w:t>, 2021, pp. 36-46.</w:t>
      </w:r>
    </w:p>
    <w:p>
      <w:pPr>
        <w:pStyle w:val="BodyText"/>
        <w:bidi w:val="0"/>
        <w:spacing w:lineRule="auto" w:line="240"/>
        <w:jc w:val="both"/>
        <w:rPr>
          <w:rFonts w:ascii="Times New Roman" w:hAnsi="Times New Roman"/>
        </w:rPr>
      </w:pPr>
      <w:r>
        <w:rPr>
          <w:rFonts w:ascii="Times New Roman" w:hAnsi="Times New Roman"/>
        </w:rPr>
        <w:t xml:space="preserve">[15] H. Cao, Y. Wang, J. Chen, D. Jiang, X. Zhang, Q. Tian, and M. Wang, "Swin-Unet: Unet-like pure transformer for medical image segmentation," </w:t>
      </w:r>
      <w:r>
        <w:rPr>
          <w:rFonts w:ascii="Times New Roman" w:hAnsi="Times New Roman"/>
          <w:i/>
        </w:rPr>
        <w:t>arXiv preprint arXiv:2105.05537</w:t>
      </w:r>
      <w:r>
        <w:rPr>
          <w:rFonts w:ascii="Times New Roman" w:hAnsi="Times New Roman"/>
        </w:rPr>
        <w:t>, 2021.</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Appendices</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A: Complete Code Repository</w:t>
      </w:r>
    </w:p>
    <w:p>
      <w:pPr>
        <w:pStyle w:val="BodyText"/>
        <w:bidi w:val="0"/>
        <w:spacing w:lineRule="auto" w:line="240"/>
        <w:jc w:val="both"/>
        <w:rPr>
          <w:rFonts w:ascii="Times New Roman" w:hAnsi="Times New Roman"/>
        </w:rPr>
      </w:pPr>
      <w:r>
        <w:rPr>
          <w:rFonts w:ascii="Times New Roman" w:hAnsi="Times New Roman"/>
        </w:rPr>
        <w:t>All implementations are provided as Jupyter notebooks: nnUNet.ipynb for nnU-Net implementation, UNet.ipynb for standard 3D UNet implementation, VNet.ipynb for VNet with residual connections, UNETR.ipynb for transformer-based UNETR, SwinUNETR.ipynb for Swin-UNETR implementation, and TransBTS.ipynb for hybrid TransBTS implementation.</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B: Hyperparameter Details</w:t>
      </w:r>
    </w:p>
    <w:p>
      <w:pPr>
        <w:pStyle w:val="BodyText"/>
        <w:bidi w:val="0"/>
        <w:spacing w:lineRule="auto" w:line="240"/>
        <w:jc w:val="both"/>
        <w:rPr>
          <w:rFonts w:ascii="Times New Roman" w:hAnsi="Times New Roman"/>
        </w:rPr>
      </w:pPr>
      <w:r>
        <w:rPr>
          <w:rFonts w:ascii="Times New Roman" w:hAnsi="Times New Roman"/>
        </w:rPr>
        <w:t>Table 7 presents the complete hyperparameter configuration for all models.</w:t>
      </w:r>
    </w:p>
    <w:p>
      <w:pPr>
        <w:pStyle w:val="BodyText"/>
        <w:bidi w:val="0"/>
        <w:spacing w:lineRule="auto" w:line="240"/>
        <w:jc w:val="both"/>
        <w:rPr>
          <w:rFonts w:ascii="Times New Roman" w:hAnsi="Times New Roman"/>
        </w:rPr>
      </w:pPr>
      <w:r>
        <w:rPr>
          <w:rFonts w:ascii="Times New Roman" w:hAnsi="Times New Roman"/>
          <w:b/>
        </w:rPr>
        <w:t>Table 7: Hyperparameter configuration by model</w:t>
      </w:r>
    </w:p>
    <w:tbl>
      <w:tblPr>
        <w:tblW w:w="5000" w:type="pct"/>
        <w:jc w:val="start"/>
        <w:tblInd w:w="-5" w:type="dxa"/>
        <w:tblLayout w:type="fixed"/>
        <w:tblCellMar>
          <w:top w:w="55" w:type="dxa"/>
          <w:start w:w="55" w:type="dxa"/>
          <w:bottom w:w="55" w:type="dxa"/>
          <w:end w:w="55" w:type="dxa"/>
        </w:tblCellMar>
      </w:tblPr>
      <w:tblGrid>
        <w:gridCol w:w="1506"/>
        <w:gridCol w:w="1618"/>
        <w:gridCol w:w="1207"/>
        <w:gridCol w:w="1184"/>
        <w:gridCol w:w="1240"/>
        <w:gridCol w:w="1551"/>
        <w:gridCol w:w="1332"/>
      </w:tblGrid>
      <w:tr>
        <w:trPr>
          <w:tblHeader w:val="true"/>
        </w:trPr>
        <w:tc>
          <w:tcPr>
            <w:tcW w:w="150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61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Learning Rate</w:t>
            </w:r>
          </w:p>
        </w:tc>
        <w:tc>
          <w:tcPr>
            <w:tcW w:w="120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Batch Size</w:t>
            </w:r>
          </w:p>
        </w:tc>
        <w:tc>
          <w:tcPr>
            <w:tcW w:w="118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Optimizer</w:t>
            </w:r>
          </w:p>
        </w:tc>
        <w:tc>
          <w:tcPr>
            <w:tcW w:w="12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Scheduler</w:t>
            </w:r>
          </w:p>
        </w:tc>
        <w:tc>
          <w:tcPr>
            <w:tcW w:w="155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Weight Decay</w:t>
            </w:r>
          </w:p>
        </w:tc>
        <w:tc>
          <w:tcPr>
            <w:tcW w:w="133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Momentum</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SGD</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nnU-Net</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SGD</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VNet</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SGD</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UNETR</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1e-4</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AdamW</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Swin-UNETR</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1e-4</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AdamW</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w:t>
            </w:r>
          </w:p>
        </w:tc>
      </w:tr>
      <w:tr>
        <w:trPr/>
        <w:tc>
          <w:tcPr>
            <w:tcW w:w="15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TransBTS</w:t>
            </w:r>
          </w:p>
        </w:tc>
        <w:tc>
          <w:tcPr>
            <w:tcW w:w="16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1e-4</w:t>
            </w:r>
          </w:p>
        </w:tc>
        <w:tc>
          <w:tcPr>
            <w:tcW w:w="120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18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AdamW</w:t>
            </w:r>
          </w:p>
        </w:tc>
        <w:tc>
          <w:tcPr>
            <w:tcW w:w="12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w:t>
            </w:r>
          </w:p>
        </w:tc>
      </w:tr>
    </w:tbl>
    <w:p>
      <w:pPr>
        <w:pStyle w:val="BodyText"/>
        <w:bidi w:val="0"/>
        <w:spacing w:lineRule="auto" w:line="240"/>
        <w:jc w:val="both"/>
        <w:rPr>
          <w:rFonts w:ascii="Times New Roman" w:hAnsi="Times New Roman"/>
        </w:rPr>
      </w:pPr>
      <w:r>
        <w:rPr>
          <w:rFonts w:ascii="Times New Roman" w:hAnsi="Times New Roman"/>
        </w:rPr>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C: Data Split Details</w:t>
      </w:r>
    </w:p>
    <w:p>
      <w:pPr>
        <w:pStyle w:val="BodyText"/>
        <w:bidi w:val="0"/>
        <w:spacing w:lineRule="auto" w:line="240"/>
        <w:jc w:val="both"/>
        <w:rPr>
          <w:rFonts w:ascii="Times New Roman" w:hAnsi="Times New Roman"/>
        </w:rPr>
      </w:pPr>
      <w:r>
        <w:rPr>
          <w:rFonts w:ascii="Times New Roman" w:hAnsi="Times New Roman"/>
        </w:rPr>
        <w:t>Table 8 presents the complete data split distribution.</w:t>
      </w:r>
    </w:p>
    <w:p>
      <w:pPr>
        <w:pStyle w:val="BodyText"/>
        <w:bidi w:val="0"/>
        <w:spacing w:lineRule="auto" w:line="240"/>
        <w:jc w:val="both"/>
        <w:rPr>
          <w:rFonts w:ascii="Times New Roman" w:hAnsi="Times New Roman"/>
        </w:rPr>
      </w:pPr>
      <w:r>
        <w:rPr>
          <w:rFonts w:ascii="Times New Roman" w:hAnsi="Times New Roman"/>
          <w:b/>
        </w:rPr>
        <w:t>Table 8: Train-validation-test split details</w:t>
      </w:r>
    </w:p>
    <w:tbl>
      <w:tblPr>
        <w:tblW w:w="5000" w:type="pct"/>
        <w:jc w:val="start"/>
        <w:tblInd w:w="-5" w:type="dxa"/>
        <w:tblLayout w:type="fixed"/>
        <w:tblCellMar>
          <w:top w:w="55" w:type="dxa"/>
          <w:start w:w="55" w:type="dxa"/>
          <w:bottom w:w="55" w:type="dxa"/>
          <w:end w:w="55" w:type="dxa"/>
        </w:tblCellMar>
      </w:tblPr>
      <w:tblGrid>
        <w:gridCol w:w="3376"/>
        <w:gridCol w:w="2166"/>
        <w:gridCol w:w="2089"/>
        <w:gridCol w:w="2007"/>
      </w:tblGrid>
      <w:tr>
        <w:trPr>
          <w:tblHeader w:val="true"/>
        </w:trPr>
        <w:tc>
          <w:tcPr>
            <w:tcW w:w="337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Split</w:t>
            </w:r>
          </w:p>
        </w:tc>
        <w:tc>
          <w:tcPr>
            <w:tcW w:w="216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Cases</w:t>
            </w:r>
          </w:p>
        </w:tc>
        <w:tc>
          <w:tcPr>
            <w:tcW w:w="208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HGG</w:t>
            </w:r>
          </w:p>
        </w:tc>
        <w:tc>
          <w:tcPr>
            <w:tcW w:w="200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LGG</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Train</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257</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205</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52</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Validation</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55</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44</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11</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Test</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56</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44</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12</w:t>
            </w:r>
          </w:p>
        </w:tc>
      </w:tr>
      <w:tr>
        <w:trPr/>
        <w:tc>
          <w:tcPr>
            <w:tcW w:w="337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Total</w:t>
            </w:r>
          </w:p>
        </w:tc>
        <w:tc>
          <w:tcPr>
            <w:tcW w:w="216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368</w:t>
            </w:r>
          </w:p>
        </w:tc>
        <w:tc>
          <w:tcPr>
            <w:tcW w:w="208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293</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75</w:t>
            </w:r>
          </w:p>
        </w:tc>
      </w:tr>
    </w:tbl>
    <w:p>
      <w:pPr>
        <w:pStyle w:val="BodyText"/>
        <w:bidi w:val="0"/>
        <w:spacing w:lineRule="auto" w:line="240"/>
        <w:jc w:val="both"/>
        <w:rPr>
          <w:rFonts w:ascii="Times New Roman" w:hAnsi="Times New Roman"/>
        </w:rPr>
      </w:pPr>
      <w:r>
        <w:rPr>
          <w:rFonts w:ascii="Times New Roman" w:hAnsi="Times New Roman"/>
        </w:rPr>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D: Detailed Training Logs</w:t>
      </w:r>
    </w:p>
    <w:p>
      <w:pPr>
        <w:pStyle w:val="BodyText"/>
        <w:bidi w:val="0"/>
        <w:spacing w:lineRule="auto" w:line="240"/>
        <w:jc w:val="both"/>
        <w:rPr>
          <w:rFonts w:ascii="Times New Roman" w:hAnsi="Times New Roman"/>
        </w:rPr>
      </w:pPr>
      <w:r>
        <w:rPr>
          <w:rFonts w:ascii="Times New Roman" w:hAnsi="Times New Roman"/>
        </w:rPr>
        <w:t>Complete training logs with per-epoch metrics for all models are available in the repository.</w:t>
      </w:r>
    </w:p>
    <w:p>
      <w:pPr>
        <w:pStyle w:val="Heading3"/>
        <w:numPr>
          <w:ilvl w:val="2"/>
          <w:numId w:val="1"/>
        </w:numPr>
        <w:bidi w:val="0"/>
        <w:spacing w:lineRule="auto" w:line="240"/>
        <w:ind w:hanging="0" w:start="0"/>
        <w:jc w:val="both"/>
        <w:rPr>
          <w:rFonts w:ascii="Times New Roman" w:hAnsi="Times New Roman"/>
        </w:rPr>
      </w:pPr>
      <w:r>
        <w:rPr>
          <w:rFonts w:ascii="Times New Roman" w:hAnsi="Times New Roman"/>
        </w:rPr>
        <w:t>Appendix E: License Information</w:t>
      </w:r>
    </w:p>
    <w:p>
      <w:pPr>
        <w:pStyle w:val="BodyText"/>
        <w:bidi w:val="0"/>
        <w:spacing w:lineRule="auto" w:line="240"/>
        <w:jc w:val="both"/>
        <w:rPr>
          <w:rFonts w:ascii="Times New Roman" w:hAnsi="Times New Roman"/>
        </w:rPr>
      </w:pPr>
      <w:r>
        <w:rPr>
          <w:rFonts w:ascii="Times New Roman" w:hAnsi="Times New Roman"/>
        </w:rPr>
        <w:t>The BraTS 2020 Dataset is distributed under CC BY 4.0 License. All code is distributed under MIT License.</w:t>
      </w:r>
    </w:p>
    <w:p>
      <w:pPr>
        <w:pStyle w:val="BodyText"/>
        <w:bidi w:val="0"/>
        <w:spacing w:lineRule="auto" w:line="240" w:before="0" w:after="140"/>
        <w:jc w:val="both"/>
        <w:rPr>
          <w:rFonts w:ascii="Times New Roman" w:hAnsi="Times New Roman"/>
        </w:rPr>
      </w:pPr>
      <w:r>
        <w:rPr>
          <w:rFonts w:ascii="Times New Roman" w:hAnsi="Times New Roman"/>
          <w:i/>
        </w:rPr>
        <w:t>Note: This research was conducted using Kaggle's free GPU resources. The authors thank Kaggle for providing the computational infrastructure that made this comprehensive comparison possible.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Mang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LibreOffice/26.2.2.2$Windows_X86_64 LibreOffice_project/1f77d10d6938fd34972958f64b2bcfa54f8b1ba5</Application>
  <AppVersion>15.0000</AppVersion>
  <Pages>12</Pages>
  <Words>4866</Words>
  <Characters>30397</Characters>
  <CharactersWithSpaces>34867</CharactersWithSpaces>
  <Paragraphs>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2026-04-07T21:05:48Z</dcterms:created>
  <dc:creator/>
  <dc:description/>
  <dc:language>en-IN</dc:language>
  <cp:lastModifiedBy/>
  <dcterms:modified xsi:type="dcterms:W3CDTF">2026-04-07T21:42:01Z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