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lineRule="auto" w:line="240" w:before="240" w:after="120"/>
        <w:ind w:hanging="0" w:start="0"/>
        <w:jc w:val="center"/>
        <w:rPr/>
      </w:pPr>
      <w:r>
        <w:rPr>
          <w:rFonts w:ascii="Times New Roman" w:hAnsi="Times New Roman"/>
        </w:rPr>
        <w:t>A Comprehensive Benchmark of 3D Segmentation Architectures for Brain Tumour Segmentation: From CNNs to Transformers on the BraTS 2020 Dataset</w:t>
      </w:r>
    </w:p>
    <w:p>
      <w:pPr>
        <w:pStyle w:val="BodyText"/>
        <w:bidi w:val="0"/>
        <w:spacing w:lineRule="auto" w:line="240" w:before="0" w:after="0"/>
        <w:jc w:val="center"/>
        <w:rPr/>
      </w:pPr>
      <w:r>
        <w:rPr>
          <w:rFonts w:ascii="Times New Roman" w:hAnsi="Times New Roman"/>
          <w:b w:val="false"/>
          <w:bCs w:val="false"/>
        </w:rPr>
        <w:t>Parth Mital¹, Ved Lawand</w:t>
      </w:r>
      <w:r>
        <w:rPr>
          <w:rFonts w:ascii="Times New Roman" w:hAnsi="Times New Roman"/>
          <w:b w:val="false"/>
          <w:bCs w:val="false"/>
          <w:vertAlign w:val="superscript"/>
        </w:rPr>
        <w:t>1</w:t>
      </w:r>
      <w:r>
        <w:rPr>
          <w:rFonts w:ascii="Times New Roman" w:hAnsi="Times New Roman"/>
          <w:b w:val="false"/>
          <w:bCs w:val="false"/>
        </w:rPr>
        <w:t>, Dr. Biji C L</w:t>
      </w:r>
      <w:r>
        <w:rPr>
          <w:rFonts w:ascii="Times New Roman" w:hAnsi="Times New Roman"/>
          <w:b w:val="false"/>
          <w:bCs w:val="false"/>
          <w:vertAlign w:val="superscript"/>
        </w:rPr>
        <w:t>1</w:t>
      </w:r>
    </w:p>
    <w:p>
      <w:pPr>
        <w:pStyle w:val="BodyText"/>
        <w:bidi w:val="0"/>
        <w:spacing w:lineRule="auto" w:line="240" w:before="0" w:after="0"/>
        <w:jc w:val="center"/>
        <w:rPr/>
      </w:pPr>
      <w:r>
        <w:rPr>
          <w:rFonts w:ascii="Times New Roman" w:hAnsi="Times New Roman"/>
          <w:b w:val="false"/>
          <w:bCs w:val="false"/>
        </w:rPr>
        <w:t>¹</w:t>
      </w:r>
      <w:r>
        <w:rPr>
          <w:rFonts w:ascii="Times New Roman" w:hAnsi="Times New Roman"/>
          <w:b w:val="false"/>
          <w:bCs w:val="false"/>
        </w:rPr>
        <w:t>School of Computer Science and Engineering, Vellore Institute of Technology, Vellore, India</w:t>
      </w:r>
    </w:p>
    <w:p>
      <w:pPr>
        <w:pStyle w:val="BodyText"/>
        <w:bidi w:val="0"/>
        <w:spacing w:lineRule="auto" w:line="240" w:before="0" w:after="0"/>
        <w:jc w:val="center"/>
        <w:rPr/>
      </w:pPr>
      <w:r>
        <w:rPr>
          <w:rFonts w:ascii="Times New Roman" w:hAnsi="Times New Roman"/>
          <w:b w:val="false"/>
          <w:bCs w:val="false"/>
          <w:i/>
        </w:rPr>
        <w:t xml:space="preserve">Corresponding author email: </w:t>
      </w:r>
      <w:hyperlink r:id="rId2">
        <w:r>
          <w:rPr>
            <w:rStyle w:val="Hyperlink"/>
            <w:rFonts w:ascii="Times New Roman" w:hAnsi="Times New Roman"/>
            <w:b w:val="false"/>
            <w:bCs w:val="false"/>
            <w:i/>
          </w:rPr>
          <w:t>parth.mital2023@vitstudent.ac.in</w:t>
        </w:r>
      </w:hyperlink>
      <w:r>
        <w:rPr>
          <w:rFonts w:ascii="Times New Roman" w:hAnsi="Times New Roman"/>
          <w:b w:val="false"/>
          <w:bCs w:val="false"/>
          <w:i/>
        </w:rPr>
        <w:t xml:space="preserve">, </w:t>
      </w:r>
      <w:hyperlink r:id="rId3">
        <w:r>
          <w:rPr>
            <w:rStyle w:val="Hyperlink"/>
            <w:rFonts w:ascii="Times New Roman" w:hAnsi="Times New Roman"/>
            <w:b w:val="false"/>
            <w:bCs w:val="false"/>
            <w:i/>
          </w:rPr>
          <w:t>ved.lawand2023@vitstudent.ac.in</w:t>
        </w:r>
      </w:hyperlink>
    </w:p>
    <w:p>
      <w:pPr>
        <w:pStyle w:val="BodyText"/>
        <w:bidi w:val="0"/>
        <w:spacing w:lineRule="auto" w:line="240"/>
        <w:jc w:val="center"/>
        <w:rPr/>
      </w:pPr>
      <w:r>
        <w:rPr>
          <w:rFonts w:ascii="Times New Roman" w:hAnsi="Times New Roman"/>
          <w:b w:val="false"/>
          <w:bCs w:val="false"/>
          <w:i/>
        </w:rPr>
        <w:t xml:space="preserve">Faculty supervisor email: </w:t>
      </w:r>
      <w:hyperlink r:id="rId4">
        <w:r>
          <w:rPr>
            <w:rStyle w:val="Hyperlink"/>
            <w:rFonts w:ascii="Times New Roman" w:hAnsi="Times New Roman"/>
            <w:b w:val="false"/>
            <w:bCs w:val="false"/>
            <w:i/>
          </w:rPr>
          <w:t>biji.cl@vit.ac.in</w:t>
        </w:r>
      </w:hyperlink>
    </w:p>
    <w:p>
      <w:pPr>
        <w:pStyle w:val="Heading2"/>
        <w:numPr>
          <w:ilvl w:val="0"/>
          <w:numId w:val="0"/>
        </w:numPr>
        <w:bidi w:val="0"/>
        <w:spacing w:lineRule="auto" w:line="240"/>
        <w:ind w:hanging="0" w:start="0"/>
        <w:jc w:val="both"/>
        <w:rPr/>
      </w:pPr>
      <w:r>
        <w:rPr>
          <w:rFonts w:ascii="Times New Roman" w:hAnsi="Times New Roman"/>
        </w:rPr>
        <w:t>Abstract</w:t>
      </w:r>
    </w:p>
    <w:p>
      <w:pPr>
        <w:pStyle w:val="BodyText"/>
        <w:bidi w:val="0"/>
        <w:spacing w:lineRule="auto" w:line="240"/>
        <w:jc w:val="both"/>
        <w:rPr/>
      </w:pPr>
      <w:r>
        <w:rPr>
          <w:rFonts w:ascii="Times New Roman" w:hAnsi="Times New Roman"/>
        </w:rPr>
        <w:t>Brain tumour segmentation from multimodal MRI scans is a critical task for diagnosis, treatment planning, and disease monitoring. The BraTS (Brain Tumour Segmentation) challenge has become the de facto benchmark for evaluating segmentation algorithms, with recent years witnessing a shift from conventional convolutional neural networks (CNNs) to transformer-based architectures that capture long-range dependencies more effectively. This paper presents a comprehensive comparative analysis of six state-of-the-art 3D segmentation architectures – UNet, nnU-Net, VNet, UNETR, Swin-UNETR, and TransBTS – evaluated on the BraTS 2020 dataset. All models are implemented from scratch in PyTorch with consistent preprocessing, training protocols, and evaluation metrics. Our results demonstrate that while transformer-based models show promise, traditional CNN architectures with self-configuring capabilities (nnU-Net) and efficient residual designs (VNet) achieve superior performance with significantly lower computational costs. The standard 3D UNet achieves the highest overall Dice score of 0.7999, followed by nnU-Net (0.7945) and VNet (0.7655), while transformer-based models lag behind due to training complexity and data requirements. This study provides crucial insights for practitioners selecting architectures for medical image segmentation and highlights the importance of architectural efficiency alongside theoretical sophistication.</w:t>
      </w:r>
    </w:p>
    <w:p>
      <w:pPr>
        <w:pStyle w:val="BodyText"/>
        <w:bidi w:val="0"/>
        <w:spacing w:lineRule="auto" w:line="240"/>
        <w:jc w:val="both"/>
        <w:rPr/>
      </w:pPr>
      <w:r>
        <w:rPr>
          <w:rFonts w:ascii="Times New Roman" w:hAnsi="Times New Roman"/>
          <w:b/>
        </w:rPr>
        <w:t>Keywords:</w:t>
      </w:r>
      <w:r>
        <w:rPr>
          <w:rFonts w:ascii="Times New Roman" w:hAnsi="Times New Roman"/>
        </w:rPr>
        <w:t xml:space="preserve"> Brain tumour segmentation, 3D UNet, Transformer, BraTS, Medical image analysis, Deep learning</w:t>
      </w:r>
    </w:p>
    <w:p>
      <w:pPr>
        <w:pStyle w:val="Heading2"/>
        <w:numPr>
          <w:ilvl w:val="1"/>
          <w:numId w:val="1"/>
        </w:numPr>
        <w:spacing w:lineRule="auto" w:line="240"/>
        <w:ind w:hanging="0" w:start="0"/>
        <w:jc w:val="both"/>
        <w:rPr/>
      </w:pPr>
      <w:r>
        <w:rPr>
          <w:rFonts w:ascii="Times New Roman" w:hAnsi="Times New Roman"/>
        </w:rPr>
        <w:t>1. Introduction</w:t>
      </w:r>
    </w:p>
    <w:p>
      <w:pPr>
        <w:pStyle w:val="Heading3"/>
        <w:numPr>
          <w:ilvl w:val="2"/>
          <w:numId w:val="1"/>
        </w:numPr>
        <w:spacing w:lineRule="auto" w:line="240"/>
        <w:ind w:hanging="0" w:start="0"/>
        <w:jc w:val="both"/>
        <w:rPr/>
      </w:pPr>
      <w:r>
        <w:rPr>
          <w:rFonts w:ascii="Times New Roman" w:hAnsi="Times New Roman"/>
        </w:rPr>
        <w:t>1.1 Background</w:t>
      </w:r>
    </w:p>
    <w:p>
      <w:pPr>
        <w:pStyle w:val="BodyText"/>
        <w:spacing w:lineRule="auto" w:line="240"/>
        <w:jc w:val="both"/>
        <w:rPr/>
      </w:pPr>
      <w:r>
        <w:rPr>
          <w:rFonts w:ascii="Times New Roman" w:hAnsi="Times New Roman"/>
        </w:rPr>
        <w:t>Gliomas are the most common and aggressive primary brain tumours, accounting for approximately 80% of all malignant brain tumours worldwide [9]. These tumours arise from glial cells and are classified into low-grade gliomas (LGG) and high-grade gliomas (HGG), with the latter being more invasive and associated with poorer patient outcomes. Accurate segmentation of these tumours from magnetic resonance imaging (MRI) scans is essential for several clinical tasks including diagnosis and grading, treatment planning, disease monitoring, and prognosis prediction. The BraTS challenge, established in 2012, has become the premier benchmark for evaluating brain tumour segmentation algorithms. It provides multimodal MRI scans consisting of four complementary sequences: T1-weighted (T1), T1-contrast-enhanced (T1CE), T2-weighted (T2), and fluid-attenuated inversion recovery (FLAIR). Alongside these scans, the dataset includes expert-annotated segmentation masks delineating three tumour sub-regions: whole tumour (WT), tumour core (TC), and enhancing tumour (ET) [10].</w:t>
      </w:r>
    </w:p>
    <w:p>
      <w:pPr>
        <w:pStyle w:val="BodyText"/>
        <w:spacing w:lineRule="auto" w:line="240"/>
        <w:jc w:val="both"/>
        <w:rPr/>
      </w:pPr>
      <w:r>
        <w:rPr>
          <w:rFonts w:ascii="Times New Roman" w:hAnsi="Times New Roman"/>
        </w:rPr>
        <w:t>The clinical significance of automated segmentation cannot be overstated. Manual delineation of brain tumours is time-consuming, requires specialised expertise, and suffers from inter-rater variability. Deep learning based segmentation methods have demonstrated the potential to automate this process, thereby reducing radiologist workload and providing consistent, reproducible results. However, the rapid proliferation of architectural innovations from convolutional neural networks to transformer based models has created a fragmented landscape where practitioners struggle to identify the most suitable approach for their specific clinical or research settings.</w:t>
      </w:r>
    </w:p>
    <w:p>
      <w:pPr>
        <w:pStyle w:val="Heading3"/>
        <w:numPr>
          <w:ilvl w:val="2"/>
          <w:numId w:val="1"/>
        </w:numPr>
        <w:spacing w:lineRule="auto" w:line="240"/>
        <w:ind w:hanging="0" w:start="0"/>
        <w:jc w:val="both"/>
        <w:rPr/>
      </w:pPr>
      <w:r>
        <w:rPr>
          <w:rFonts w:ascii="Times New Roman" w:hAnsi="Times New Roman"/>
        </w:rPr>
        <w:t>1.2 Problem Statement</w:t>
      </w:r>
    </w:p>
    <w:p>
      <w:pPr>
        <w:pStyle w:val="BodyText"/>
        <w:spacing w:lineRule="auto" w:line="240"/>
        <w:jc w:val="both"/>
        <w:rPr/>
      </w:pPr>
      <w:r>
        <w:rPr>
          <w:rFonts w:ascii="Times New Roman" w:hAnsi="Times New Roman"/>
        </w:rPr>
        <w:t>Despite significant advances in deep learning for medical image segmentation, several persistent challenges remain unaddressed in the existing literature. First, the proliferation of architectures from classic UNets to complex transformer hybrids creates confusion about which approach is optimal for clinical deployment. Researchers often introduce novel architectures without rigorous comparison against established baselines under controlled conditions, leading to inflated claims and unreliable benchmarks.</w:t>
      </w:r>
    </w:p>
    <w:p>
      <w:pPr>
        <w:pStyle w:val="BodyText"/>
        <w:spacing w:lineRule="auto" w:line="240"/>
        <w:jc w:val="both"/>
        <w:rPr/>
      </w:pPr>
      <w:r>
        <w:rPr>
          <w:rFonts w:ascii="Times New Roman" w:hAnsi="Times New Roman"/>
        </w:rPr>
        <w:t>Second, many published results use different preprocessing pipelines, training protocols, data splits, and evaluation metrics, making fair comparisons across studies difficult or impossible. A model that performs well under one set of conditions may fail under another, yet such nuances are rarely discussed. Third, transformer based models promise better global context modelling through self-attention mechanisms, but they require substantial computational resources, larger datasets, and careful hyperparameter tuning. This raises serious questions about their practical utility in resource-constrained clinical environments.</w:t>
      </w:r>
    </w:p>
    <w:p>
      <w:pPr>
        <w:pStyle w:val="BodyText"/>
        <w:spacing w:lineRule="auto" w:line="240"/>
        <w:jc w:val="both"/>
        <w:rPr/>
      </w:pPr>
      <w:r>
        <w:rPr>
          <w:rFonts w:ascii="Times New Roman" w:hAnsi="Times New Roman"/>
        </w:rPr>
        <w:t>Fourth, medical datasets are typically limited in size due to privacy concerns, annotation costs, and disease rarity. Sophisticated architectures with millions or billions of parameters are prone to overfitting when trained on such modest datasets, yet this trade-off is rarely quantified in comparative studies. Fifth, most existing comparisons focus exclusively on final performance metrics such as Dice scores while ignoring computational efficiency, training stability, convergence speed, and memory footprint. These practical considerations are often decisive factors in real-world deployment decisions.</w:t>
      </w:r>
    </w:p>
    <w:p>
      <w:pPr>
        <w:pStyle w:val="Heading3"/>
        <w:numPr>
          <w:ilvl w:val="2"/>
          <w:numId w:val="1"/>
        </w:numPr>
        <w:spacing w:lineRule="auto" w:line="240"/>
        <w:ind w:hanging="0" w:start="0"/>
        <w:jc w:val="both"/>
        <w:rPr/>
      </w:pPr>
      <w:r>
        <w:rPr>
          <w:rFonts w:ascii="Times New Roman" w:hAnsi="Times New Roman"/>
        </w:rPr>
        <w:t>1.3 Research Objectives</w:t>
      </w:r>
    </w:p>
    <w:p>
      <w:pPr>
        <w:pStyle w:val="BodyText"/>
        <w:spacing w:lineRule="auto" w:line="240"/>
        <w:jc w:val="both"/>
        <w:rPr/>
      </w:pPr>
      <w:r>
        <w:rPr>
          <w:rFonts w:ascii="Times New Roman" w:hAnsi="Times New Roman"/>
        </w:rPr>
        <w:t>This study aims to address the aforementioned gaps through the following specific objectives. First, to establish a fair comparison framework by implementing six representative architectures namely UNet, nnU-Net, VNet, UNETR, Swin-UNETR, and TransBTS with identical preprocessing, data splits, and evaluation protocols. All implementations are done from scratch in PyTorch to eliminate biases arising from different codebases or optimisation levels.</w:t>
      </w:r>
    </w:p>
    <w:p>
      <w:pPr>
        <w:pStyle w:val="BodyText"/>
        <w:spacing w:lineRule="auto" w:line="240"/>
        <w:jc w:val="both"/>
        <w:rPr/>
      </w:pPr>
      <w:r>
        <w:rPr>
          <w:rFonts w:ascii="Times New Roman" w:hAnsi="Times New Roman"/>
        </w:rPr>
        <w:t>Second, to quantify performance differences across architectures with statistical robustness using bootstrapped confidence intervals and significance testing. Third, to analyse architectural trade-offs between segmentation performance, computational cost, training time, parameter count, and memory utilisation. Fourth, to identify optimal approaches for different use cases ranging from high-accuracy requirements to resource-constrained deployments. Fifth, to provide fully reproducible code and configuration files to enable other researchers to build upon this work and extend the comparison to new architectures or datasets.</w:t>
      </w:r>
    </w:p>
    <w:p>
      <w:pPr>
        <w:pStyle w:val="Heading3"/>
        <w:numPr>
          <w:ilvl w:val="2"/>
          <w:numId w:val="1"/>
        </w:numPr>
        <w:spacing w:lineRule="auto" w:line="240"/>
        <w:ind w:hanging="0" w:start="0"/>
        <w:jc w:val="both"/>
        <w:rPr/>
      </w:pPr>
      <w:r>
        <w:rPr>
          <w:rFonts w:ascii="Times New Roman" w:hAnsi="Times New Roman"/>
        </w:rPr>
        <w:t>1.4 Paper Organisation</w:t>
      </w:r>
    </w:p>
    <w:p>
      <w:pPr>
        <w:pStyle w:val="BodyText"/>
        <w:spacing w:lineRule="auto" w:line="240"/>
        <w:jc w:val="both"/>
        <w:rPr/>
      </w:pPr>
      <w:r>
        <w:rPr>
          <w:rFonts w:ascii="Times New Roman" w:hAnsi="Times New Roman"/>
        </w:rPr>
        <w:t>The remainder of this paper is organised as follows. Section 2 reviews the evolution of segmentation architectures from the original UNet to modern transformer based designs, highlighting key innovations and identified gaps in the literature. Section 3 details our methodology, including dataset description, preprocessing steps, model implementations, training configuration, evaluation metrics, and experimental setup. Section 4 presents quantitative results and comparative analysis across performance, efficiency, and statistical significance dimensions. Section 5 discusses the limitations of the current study and outlines promising directions for future work. Section 6 addresses ethical implications related to clinical deployment, fairness, and responsible use. Section 7 concludes with key takeaways and practical recommendations for researchers and practitioners.</w:t>
      </w:r>
    </w:p>
    <w:p>
      <w:pPr>
        <w:pStyle w:val="Heading2"/>
        <w:numPr>
          <w:ilvl w:val="0"/>
          <w:numId w:val="0"/>
        </w:numPr>
        <w:bidi w:val="0"/>
        <w:spacing w:lineRule="auto" w:line="240"/>
        <w:ind w:hanging="0" w:start="0"/>
        <w:jc w:val="both"/>
        <w:rPr/>
      </w:pPr>
      <w:r>
        <w:rPr>
          <w:rFonts w:ascii="Times New Roman" w:hAnsi="Times New Roman"/>
        </w:rPr>
        <w:t>2. Literature Review</w:t>
      </w:r>
    </w:p>
    <w:p>
      <w:pPr>
        <w:pStyle w:val="Heading3"/>
        <w:numPr>
          <w:ilvl w:val="2"/>
          <w:numId w:val="1"/>
        </w:numPr>
        <w:bidi w:val="0"/>
        <w:spacing w:lineRule="auto" w:line="240"/>
        <w:ind w:hanging="0" w:start="0"/>
        <w:jc w:val="both"/>
        <w:rPr/>
      </w:pPr>
      <w:r>
        <w:rPr>
          <w:rFonts w:ascii="Times New Roman" w:hAnsi="Times New Roman"/>
        </w:rPr>
        <w:t>2.1 Evolution of Medical Image Segmentation</w:t>
      </w:r>
    </w:p>
    <w:p>
      <w:pPr>
        <w:pStyle w:val="BodyText"/>
        <w:bidi w:val="0"/>
        <w:spacing w:lineRule="auto" w:line="240"/>
        <w:jc w:val="both"/>
        <w:rPr/>
      </w:pPr>
      <w:r>
        <w:rPr>
          <w:rFonts w:ascii="Times New Roman" w:hAnsi="Times New Roman"/>
        </w:rPr>
        <w:t>The UNet architecture, introduced by Ronneberger et al. [1], revolutionised medical image segmentation by introducing a symmetric encoder-decoder structure with skip connections. The encoder progressively downsamples the input to capture context, while the decoder upsamples to recover spatial details. The 3D UNet, proposed by Çiçek et al. [2], extended this architecture to volumetric data by replacing 2D convolutions with 3D counterparts, enabling direct processing of 3D MRI volumes.</w:t>
      </w:r>
    </w:p>
    <w:p>
      <w:pPr>
        <w:pStyle w:val="BodyText"/>
        <w:bidi w:val="0"/>
        <w:spacing w:lineRule="auto" w:line="240"/>
        <w:jc w:val="both"/>
        <w:rPr/>
      </w:pPr>
      <w:r>
        <w:rPr>
          <w:rFonts w:ascii="Times New Roman" w:hAnsi="Times New Roman"/>
        </w:rPr>
        <w:t>The VNet, developed by Milletari et al. [3], introduced residual connections allowing deeper networks without gradient degradation, and PReLU activations that improve gradient flow. The VNet employed a fully convolutional architecture that could handle variable input sizes, making it particularly suitable for medical volumes.</w:t>
      </w:r>
    </w:p>
    <w:p>
      <w:pPr>
        <w:pStyle w:val="BodyText"/>
        <w:bidi w:val="0"/>
        <w:spacing w:lineRule="auto" w:line="240"/>
        <w:jc w:val="both"/>
        <w:rPr/>
      </w:pPr>
      <w:r>
        <w:rPr>
          <w:rFonts w:ascii="Times New Roman" w:hAnsi="Times New Roman"/>
        </w:rPr>
        <w:t>The nnU-Net, presented by Isensee et al. [4], represented a paradigm shift by automating architecture design based on dataset characteristics. Rather than a fixed architecture, nnU-Net analyses the dataset fingerprint – including image sizes, voxel spacings, and class imbalances – to configure network depth and width, patch size, batch size, and training schedule.</w:t>
      </w:r>
    </w:p>
    <w:p>
      <w:pPr>
        <w:pStyle w:val="Heading3"/>
        <w:numPr>
          <w:ilvl w:val="2"/>
          <w:numId w:val="1"/>
        </w:numPr>
        <w:bidi w:val="0"/>
        <w:spacing w:lineRule="auto" w:line="240"/>
        <w:ind w:hanging="0" w:start="0"/>
        <w:jc w:val="both"/>
        <w:rPr/>
      </w:pPr>
      <w:r>
        <w:rPr>
          <w:rFonts w:ascii="Times New Roman" w:hAnsi="Times New Roman"/>
        </w:rPr>
        <w:t>2.2 Transformer-Based Segmentation</w:t>
      </w:r>
    </w:p>
    <w:p>
      <w:pPr>
        <w:pStyle w:val="BodyText"/>
        <w:bidi w:val="0"/>
        <w:spacing w:lineRule="auto" w:line="240"/>
        <w:jc w:val="both"/>
        <w:rPr/>
      </w:pPr>
      <w:r>
        <w:rPr>
          <w:rFonts w:ascii="Times New Roman" w:hAnsi="Times New Roman"/>
        </w:rPr>
        <w:t>Vision Transformers (ViT), introduced by Dosovitskiy et al. [5], demonstrated that pure transformer architectures could match or exceed CNN performance on image classification tasks by modelling long-range dependencies through self-attention mechanisms. UNETR, proposed by Hatamizadeh et al. [6], was the first to integrate a ViT encoder with a CNN decoder for 3D segmentation. Swin-UNETR, developed by Hatamizadeh et al. [7], addressed UNETR's limitations by replacing the standard ViT with a Swin Transformer backbone, using window-based self-attention and shifted windows to reduce computational complexity. TransBTS, introduced by Wang et al. [8], took a hybrid approach, placing transformer layers only at the bottleneck of a CNN encoder-decoder.</w:t>
      </w:r>
    </w:p>
    <w:p>
      <w:pPr>
        <w:pStyle w:val="Heading3"/>
        <w:numPr>
          <w:ilvl w:val="2"/>
          <w:numId w:val="1"/>
        </w:numPr>
        <w:bidi w:val="0"/>
        <w:spacing w:lineRule="auto" w:line="240"/>
        <w:ind w:hanging="0" w:start="0"/>
        <w:jc w:val="both"/>
        <w:rPr/>
      </w:pPr>
      <w:r>
        <w:rPr>
          <w:rFonts w:ascii="Times New Roman" w:hAnsi="Times New Roman"/>
        </w:rPr>
        <w:t>2.3 Identified Gaps</w:t>
      </w:r>
    </w:p>
    <w:p>
      <w:pPr>
        <w:pStyle w:val="BodyText"/>
        <w:bidi w:val="0"/>
        <w:spacing w:lineRule="auto" w:line="240"/>
        <w:jc w:val="both"/>
        <w:rPr/>
      </w:pPr>
      <w:r>
        <w:rPr>
          <w:rFonts w:ascii="Times New Roman" w:hAnsi="Times New Roman"/>
        </w:rPr>
        <w:t>Despite the proliferation of architectures, several gaps remain: lack of systematic comparison where most papers introduce new architectures without rigorous comparison against established baselines under controlled conditions; implementation variability where different preprocessing, data splits, and training protocols make direct comparisons impossible; inadequate computational reporting where many studies omit detailed computational metrics; and reproducibility concerns where code availability and documentation are often insufficient for reproduction.</w:t>
      </w:r>
    </w:p>
    <w:p>
      <w:pPr>
        <w:pStyle w:val="Heading3"/>
        <w:numPr>
          <w:ilvl w:val="2"/>
          <w:numId w:val="1"/>
        </w:numPr>
        <w:bidi w:val="0"/>
        <w:spacing w:lineRule="auto" w:line="240"/>
        <w:ind w:hanging="0" w:start="0"/>
        <w:jc w:val="both"/>
        <w:rPr/>
      </w:pPr>
      <w:r>
        <w:rPr>
          <w:rFonts w:ascii="Times New Roman" w:hAnsi="Times New Roman"/>
        </w:rPr>
        <w:t>2.4 Contributions of This Study</w:t>
      </w:r>
    </w:p>
    <w:p>
      <w:pPr>
        <w:pStyle w:val="BodyText"/>
        <w:bidi w:val="0"/>
        <w:spacing w:lineRule="auto" w:line="240"/>
        <w:jc w:val="both"/>
        <w:rPr/>
      </w:pPr>
      <w:r>
        <w:rPr>
          <w:rFonts w:ascii="Times New Roman" w:hAnsi="Times New Roman"/>
        </w:rPr>
        <w:t>Our study addresses these gaps by implementing all six architectures from scratch in PyTorch with identical preprocessing, reporting detailed computational metrics including training time, memory usage, and parameter counts, providing complete code and configuration files for full reproducibility, and analysing not just performance but also convergence behaviour, stability, and resource requirements.</w:t>
      </w:r>
    </w:p>
    <w:p>
      <w:pPr>
        <w:pStyle w:val="Heading2"/>
        <w:numPr>
          <w:ilvl w:val="1"/>
          <w:numId w:val="1"/>
        </w:numPr>
        <w:spacing w:lineRule="auto" w:line="240"/>
        <w:ind w:hanging="0" w:start="0"/>
        <w:jc w:val="both"/>
        <w:rPr/>
      </w:pPr>
      <w:r>
        <w:rPr>
          <w:rFonts w:ascii="Times New Roman" w:hAnsi="Times New Roman"/>
        </w:rPr>
        <w:t>3. Methods and Materials</w:t>
      </w:r>
    </w:p>
    <w:p>
      <w:pPr>
        <w:pStyle w:val="Heading3"/>
        <w:numPr>
          <w:ilvl w:val="2"/>
          <w:numId w:val="1"/>
        </w:numPr>
        <w:spacing w:lineRule="auto" w:line="240"/>
        <w:ind w:hanging="0" w:start="0"/>
        <w:jc w:val="both"/>
        <w:rPr/>
      </w:pPr>
      <w:r>
        <w:rPr>
          <w:rFonts w:ascii="Times New Roman" w:hAnsi="Times New Roman"/>
        </w:rPr>
        <w:t>3.1 Dataset and Data Collection</w:t>
      </w:r>
    </w:p>
    <w:p>
      <w:pPr>
        <w:pStyle w:val="BodyText"/>
        <w:spacing w:lineRule="auto" w:line="240"/>
        <w:jc w:val="both"/>
        <w:rPr/>
      </w:pPr>
      <w:r>
        <w:rPr>
          <w:rFonts w:ascii="Times New Roman" w:hAnsi="Times New Roman"/>
        </w:rPr>
        <w:t>We used the BraTS 2020 training dataset, which consists of 369 cases collected from multiple institutions across the world. The dataset includes 293 high-grade glioma (HGG) cases and 76 low-grade glioma (LGG) cases. Each case contains four MRI modalities acquired using different pulse sequences to highlight different tissue characteristics. The T1-weighted (T1) modality provides standard anatomical imaging with good grey-white matter contrast. The T1-contrast-enhanced (T1CE) modality uses a gadolinium-based contrast agent to highlight areas of blood-brain barrier breakdown, which typically corresponds to active tumour regions. The T2-weighted (T2) modality visualises oedema and tumour infiltration into surrounding brain parenchyma. The fluid-attenuated inversion recovery (FLAIR) modality suppresses cerebrospinal fluid signals, making peritumoral oedema and non-enhancing tumour components more conspicuous.</w:t>
      </w:r>
    </w:p>
    <w:p>
      <w:pPr>
        <w:pStyle w:val="BodyText"/>
        <w:spacing w:lineRule="auto" w:line="240"/>
        <w:jc w:val="both"/>
        <w:rPr/>
      </w:pPr>
      <w:r>
        <w:rPr>
          <w:rFonts w:ascii="Times New Roman" w:hAnsi="Times New Roman"/>
        </w:rPr>
        <w:t>Ground truth segmentation masks provided by expert neuroradiologists contain three labels. Label 1 corresponds to necrotic and non-enhancing tumour core, which represents dead or inactive tumour tissue. Label 2 corresponds to peritumoral oedema, which is the reactive swelling surrounding the tumour. Label 4 corresponds to enhancing tumour, which indicates active, contrast-uptaking tumour tissue. These labels are combined to define three clinically meaningful regions for evaluation. The whole tumour (WT) comprises all tumour voxels including labels 1, 2, and 4, representing the complete tumour burden. The tumour core (TC) comprises necrotic, non-enhancing, and enhancing tumour including labels 1 and 4, representing the solid tumour component excluding surrounding oedema. The enhancing tumour (ET) comprises only the contrast-enhancing region corresponding to label 4, representing the most aggressive and proliferative part of the tumour.</w:t>
      </w:r>
    </w:p>
    <w:p>
      <w:pPr>
        <w:pStyle w:val="BodyText"/>
        <w:spacing w:lineRule="auto" w:line="240"/>
        <w:jc w:val="both"/>
        <w:rPr/>
      </w:pPr>
      <w:r>
        <w:rPr>
          <w:rFonts w:ascii="Times New Roman" w:hAnsi="Times New Roman"/>
        </w:rPr>
        <w:t>To ensure robust evaluation and prevent data leakage, we performed a stratified split based on tumour grade to maintain the same HGG to LGG ratio across all splits. The training set contains 257 cases representing 70% of the data. The validation set contains 55 cases representing 15% of the data, used for hyperparameter tuning and early stopping. The test set contains 56 cases representing 15% of the data, held out completely until final evaluation to prevent any information leakage during model development and hyperparameter selection.</w:t>
      </w:r>
    </w:p>
    <w:p>
      <w:pPr>
        <w:pStyle w:val="Heading3"/>
        <w:numPr>
          <w:ilvl w:val="2"/>
          <w:numId w:val="1"/>
        </w:numPr>
        <w:spacing w:lineRule="auto" w:line="240"/>
        <w:ind w:hanging="0" w:start="0"/>
        <w:jc w:val="both"/>
        <w:rPr/>
      </w:pPr>
      <w:r>
        <w:rPr>
          <w:rFonts w:ascii="Times New Roman" w:hAnsi="Times New Roman"/>
        </w:rPr>
        <w:t>3.2 Data Preprocessing</w:t>
      </w:r>
    </w:p>
    <w:p>
      <w:pPr>
        <w:pStyle w:val="BodyText"/>
        <w:spacing w:lineRule="auto" w:line="240"/>
        <w:jc w:val="both"/>
        <w:rPr/>
      </w:pPr>
      <w:r>
        <w:rPr>
          <w:rFonts w:ascii="Times New Roman" w:hAnsi="Times New Roman"/>
        </w:rPr>
        <w:t>All four MRI modalities were normalised using per-volume z-score normalisation applied exclusively to the foreground, that is non-zero voxels. This approach first computes the mean and standard deviation of voxel intensities within the brain mask, then subtracts the mean and divides by the standard deviation. The foreground-only normalisation is critical because background voxels which contain no brain tissue would otherwise distort the intensity distribution. This method preserves relative intensity relationships within each volume while accounting for scanner variations and intensity differences across patients.</w:t>
      </w:r>
    </w:p>
    <w:p>
      <w:pPr>
        <w:pStyle w:val="BodyText"/>
        <w:spacing w:lineRule="auto" w:line="240"/>
        <w:jc w:val="both"/>
        <w:rPr/>
      </w:pPr>
      <w:r>
        <w:rPr>
          <w:rFonts w:ascii="Times New Roman" w:hAnsi="Times New Roman"/>
        </w:rPr>
        <w:t>To standardise input sizes across all models and enable fair comparison, we resampled all volumes to a uniform size of 128 × 128 × 128 voxels. This resolution was chosen as a compromise between preserving anatomical detail and fitting within GPU memory constraints. For image modalities including T1, T1CE, T2, and FLAIR, we used trilinear interpolation which provides smooth intensity transitions. For segmentation masks, we used nearest-neighbour interpolation to preserve label integrity and avoid introducing artificial intermediate label values.</w:t>
      </w:r>
    </w:p>
    <w:p>
      <w:pPr>
        <w:pStyle w:val="BodyText"/>
        <w:spacing w:lineRule="auto" w:line="240"/>
        <w:jc w:val="both"/>
        <w:rPr/>
      </w:pPr>
      <w:r>
        <w:rPr>
          <w:rFonts w:ascii="Times New Roman" w:hAnsi="Times New Roman"/>
        </w:rPr>
        <w:t>We converted the multi-class segmentation mask into three binary masks to support multi-label segmentation using a one versus rest approach. The whole tumour mask includes all tumour voxels with original labels 1, 2, or 4. The tumour core mask includes necrotic, non-enhancing, and enhancing tumour voxels with original labels 1 or 4. The enhancing tumour mask includes only the contrast-enhancing region with original label 4. This binary representation allows for independent evaluation of each tumour sub-region and simplifies the loss computation.</w:t>
      </w:r>
    </w:p>
    <w:p>
      <w:pPr>
        <w:pStyle w:val="BodyText"/>
        <w:spacing w:lineRule="auto" w:line="240"/>
        <w:jc w:val="both"/>
        <w:rPr/>
      </w:pPr>
      <w:r>
        <w:rPr>
          <w:rFonts w:ascii="Times New Roman" w:hAnsi="Times New Roman"/>
        </w:rPr>
        <w:t>To improve generalisation and prevent overfitting, we applied online augmentations during training. Random flips were applied with 50% probability independently for each axis including x, y, and z axes. This helps the model become invariant to orientation. Intensity scaling was applied with a random scaling factor uniformly sampled from the range [0.9, 1.1], applied per channel to simulate different scanner calibration settings. Intensity shifting was applied with a random shift uniformly sampled from the range [-0.1, 0.1], applied per channel to account for variations in baseline intensity. All augmentations were applied on the fly during training, meaning each epoch sees a slightly different version of each training sample.</w:t>
      </w:r>
    </w:p>
    <w:p>
      <w:pPr>
        <w:pStyle w:val="Heading3"/>
        <w:numPr>
          <w:ilvl w:val="2"/>
          <w:numId w:val="1"/>
        </w:numPr>
        <w:spacing w:lineRule="auto" w:line="240"/>
        <w:ind w:hanging="0" w:start="0"/>
        <w:jc w:val="both"/>
        <w:rPr/>
      </w:pPr>
      <w:r>
        <w:rPr>
          <w:rFonts w:ascii="Times New Roman" w:hAnsi="Times New Roman"/>
        </w:rPr>
        <w:t>3.3 Model Architectures</w:t>
      </w:r>
    </w:p>
    <w:p>
      <w:pPr>
        <w:pStyle w:val="BodyText"/>
        <w:spacing w:lineRule="auto" w:line="240"/>
        <w:jc w:val="both"/>
        <w:rPr/>
      </w:pPr>
      <w:r>
        <w:rPr>
          <w:rFonts w:ascii="Times New Roman" w:hAnsi="Times New Roman"/>
        </w:rPr>
        <w:t>The standard 3D UNet serves as our baseline architecture. The encoder comprises four downsampling stages, each consisting of two convolutional layers followed by max pooling with stride 2. The number of channels progresses as 32 to 64 to 128 to 256 through the encoder stages. The decoder is symmetric with the encoder, using transposed convolutions for upsampling followed by two convolutional layers per stage. Skip connections concatenate encoder features to decoder features at the same spatial resolution, enabling the decoder to recover fine-grained details lost during downsampling. Deep supervision is implemented with auxiliary outputs at decoder stages 2 and 3 to provide additional gradient paths and improve convergence. InstanceNorm3d with affine parameters is used for normalisation, and LeakyReLU activation with a negative slope of 0.01 is used throughout. The total number of trainable parameters is 5.6 million.</w:t>
      </w:r>
    </w:p>
    <w:p>
      <w:pPr>
        <w:pStyle w:val="BodyText"/>
        <w:spacing w:lineRule="auto" w:line="240"/>
        <w:jc w:val="both"/>
        <w:rPr/>
      </w:pPr>
      <w:r>
        <w:rPr>
          <w:rFonts w:ascii="Times New Roman" w:hAnsi="Times New Roman"/>
        </w:rPr>
        <w:t>Our nnU-Net implementation uses the full-resolution variant without ensemble. The architecture includes a five-stage encoder using stride-2 convolutions for downsampling instead of max pooling, which allows the network to learn appropriate downsampling filters. The channel progression is 32 to 64 to 128 to 256 to 320. The decoder uses transposed convolution upsampling with skip connections from corresponding encoder stages. Deep supervision heads are attached to all decoder stages with exponentially decaying weights: 1.0 for the main output, 0.5 for decoder stage 2, 0.25 for decoder stage 3, and 0.125 for decoder stage 4. InstanceNorm3d is used for normalisation, and LeakyReLU activation with negative slope 0.01 is used throughout. The total number of trainable parameters is 16.5 million.</w:t>
      </w:r>
    </w:p>
    <w:p>
      <w:pPr>
        <w:pStyle w:val="BodyText"/>
        <w:spacing w:lineRule="auto" w:line="240"/>
        <w:jc w:val="both"/>
        <w:rPr/>
      </w:pPr>
      <w:r>
        <w:rPr>
          <w:rFonts w:ascii="Times New Roman" w:hAnsi="Times New Roman"/>
        </w:rPr>
        <w:t>The VNet implementation incorporates residual connections and PReLU activations. Residual blocks contain one to two convolutions each, with identity shortcuts when input and output dimensions match, and 1×1×1 projection shortcuts when dimensions differ. The channel progression is 16 to 32 to 64 to 128, which is reduced compared to UNet to save memory and improve efficiency. Downsampling uses stride-2 convolutions instead of max pooling, allowing the network to learn optimal downsampling filters. Upsampling uses transposed convolutions. PReLU activation uses learnable negative slopes that adapt during training, providing better gradient flow compared to fixed leaky ReLU. Gradient checkpointing is enabled on all residual blocks to trade computation for memory, allowing larger effective networks within the same memory budget. The total number of trainable parameters is 1.4 million.</w:t>
      </w:r>
    </w:p>
    <w:p>
      <w:pPr>
        <w:pStyle w:val="BodyText"/>
        <w:spacing w:lineRule="auto" w:line="240"/>
        <w:jc w:val="both"/>
        <w:rPr/>
      </w:pPr>
      <w:r>
        <w:rPr>
          <w:rFonts w:ascii="Times New Roman" w:hAnsi="Times New Roman"/>
        </w:rPr>
        <w:t>The UNETR implementation uses a ViT-Base style encoder. The input volume is divided into patches of size 16 × 16 × 16 voxels, resulting in a grid of 8 × 8 × 8 patches totalling 512 patches. The hidden dimension is 768. The transformer consists of 12 layers, each with 12 attention heads and an MLP dimension of 3072. Feature maps are extracted from transformer layers 3, 6, 9, and 12 to provide multi-scale representations to the decoder. The decoder performs hierarchical upsampling using transposed convolutions, with skip connections from the extracted transformer features. LayerNorm is used within the transformer, while InstanceNorm is used in the CNN decoder. The total number of trainable parameters is 137.6 million.</w:t>
      </w:r>
    </w:p>
    <w:p>
      <w:pPr>
        <w:pStyle w:val="BodyText"/>
        <w:spacing w:lineRule="auto" w:line="240"/>
        <w:jc w:val="both"/>
        <w:rPr/>
      </w:pPr>
      <w:r>
        <w:rPr>
          <w:rFonts w:ascii="Times New Roman" w:hAnsi="Times New Roman"/>
        </w:rPr>
        <w:t>The Swin-UNETR implementation uses a Swin Transformer backbone with window-based self-attention. The patch size is 2 × 2 × 2 voxels, and the initial embedding dimension is 48. The architecture has four stages with patch merging operations that double the embedding dimension at each stage, progressing as 48 to 96 to 192 to 384. The window size is 7 × 7 × 7 tokens. The number of attention heads per stage is 3, 6, 12, and 24 respectively. Each stage has a depth of 2 transformer blocks. Shifted windows are used with alternating normal window and shifted window configurations in consecutive blocks. Relative position bias is implemented with learnable bias parameters per attention head. The total number of trainable parameters is 10.7 million.</w:t>
      </w:r>
    </w:p>
    <w:p>
      <w:pPr>
        <w:pStyle w:val="BodyText"/>
        <w:spacing w:lineRule="auto" w:line="240"/>
        <w:jc w:val="both"/>
        <w:rPr/>
      </w:pPr>
      <w:r>
        <w:rPr>
          <w:rFonts w:ascii="Times New Roman" w:hAnsi="Times New Roman"/>
        </w:rPr>
        <w:t>The TransBTS implementation follows a hybrid approach. The CNN encoder has four downsampling stages with residual blocks. The channel progression is 32 to 64 to 128 to 256 to 512. The transformer bottleneck contains four layers with eight attention heads and a hidden dimension of 512. Positional embeddings are learnable and defined for 512 tokens corresponding to an 8×8×8 grid. The CNN decoder performs upsampling with skip connections from the encoder stages. Deep supervision outputs are attached at decoder stages 1, 2, and 3. The total number of trainable parameters is 35.8 million.</w:t>
      </w:r>
    </w:p>
    <w:p>
      <w:pPr>
        <w:pStyle w:val="Heading3"/>
        <w:numPr>
          <w:ilvl w:val="2"/>
          <w:numId w:val="1"/>
        </w:numPr>
        <w:spacing w:lineRule="auto" w:line="240"/>
        <w:ind w:hanging="0" w:start="0"/>
        <w:jc w:val="both"/>
        <w:rPr/>
      </w:pPr>
      <w:r>
        <w:rPr>
          <w:rFonts w:ascii="Times New Roman" w:hAnsi="Times New Roman"/>
        </w:rPr>
        <w:t>3.4 Training Configuration</w:t>
      </w:r>
    </w:p>
    <w:p>
      <w:pPr>
        <w:pStyle w:val="BodyText"/>
        <w:spacing w:lineRule="auto" w:line="240"/>
        <w:jc w:val="both"/>
        <w:rPr/>
      </w:pPr>
      <w:r>
        <w:rPr>
          <w:rFonts w:ascii="Times New Roman" w:hAnsi="Times New Roman"/>
        </w:rPr>
        <w:t>We used a combined loss function that integrates Dice loss and binary cross-entropy (BCE) for each tumour region independently. The total loss for each region is computed as the sum of Dice loss and BCE loss. For models with deep supervision, we applied exponentially decaying weights to auxiliary losses. For UNet, VNet, and TransBTS, the weights were 1.0 for the main output, 0.5 for decoder stage 2, and 0.25 for decoder stage 3. For nnU-Net with four decoder stages, the weights were 1.0 for the main output, 0.5 for stage 2, 0.25 for stage 3, and 0.125 for stage 4.</w:t>
      </w:r>
    </w:p>
    <w:p>
      <w:pPr>
        <w:pStyle w:val="BodyText"/>
        <w:spacing w:lineRule="auto" w:line="240"/>
        <w:jc w:val="both"/>
        <w:rPr/>
      </w:pPr>
      <w:r>
        <w:rPr>
          <w:rFonts w:ascii="Times New Roman" w:hAnsi="Times New Roman"/>
        </w:rPr>
        <w:t>For optimizers, we adopted different strategies based on architecture characteristics. UNet, nnU-Net, and VNet used SGD with Nesterov momentum of 0.99 and weight decay of 3e-5. The high momentum value was chosen to accelerate convergence in flat regions of the loss landscape. UNETR, Swin-UNETR, and TransBTS used AdamW with weight decay of 1e-5, which is known to work well with transformer architectures.</w:t>
      </w:r>
    </w:p>
    <w:p>
      <w:pPr>
        <w:pStyle w:val="BodyText"/>
        <w:spacing w:lineRule="auto" w:line="240"/>
        <w:jc w:val="both"/>
        <w:rPr/>
      </w:pPr>
      <w:r>
        <w:rPr>
          <w:rFonts w:ascii="Times New Roman" w:hAnsi="Times New Roman"/>
        </w:rPr>
        <w:t>For learning rate schedules, CNN models used polynomial decay where the learning rate at epoch t equals the initial learning rate multiplied by (1 minus t divided by total epochs) raised to the power 0.9. This schedule provides gradual decay while maintaining higher learning rates for longer compared to step decay. Transformer models used cosine annealing where the learning rate equals lr_min plus 0.5 multiplied by (lr_max minus lr_min) multiplied by (1 plus cosine of π multiplied by t divided by total epochs). Cosine annealing is known to help transformers escape sharp local minima.</w:t>
      </w:r>
    </w:p>
    <w:p>
      <w:pPr>
        <w:pStyle w:val="BodyText"/>
        <w:spacing w:lineRule="auto" w:line="240"/>
        <w:jc w:val="both"/>
        <w:rPr/>
      </w:pPr>
      <w:r>
        <w:rPr>
          <w:rFonts w:ascii="Times New Roman" w:hAnsi="Times New Roman"/>
        </w:rPr>
        <w:t>All models used automatic mixed precision (AMP) through PyTorch's torch.amp.autocast context manager and gradient scaling. AMP reduces memory consumption by approximately 50% by storing tensors in half-precision where possible while maintaining master weights in full precision. Training speed is accelerated by 30-40% due to reduced memory bandwidth requirements and faster computation on modern GPUs.</w:t>
      </w:r>
    </w:p>
    <w:p>
      <w:pPr>
        <w:pStyle w:val="BodyText"/>
        <w:spacing w:lineRule="auto" w:line="240"/>
        <w:jc w:val="both"/>
        <w:rPr/>
      </w:pPr>
      <w:r>
        <w:rPr>
          <w:rFonts w:ascii="Times New Roman" w:hAnsi="Times New Roman"/>
        </w:rPr>
        <w:t>Hyperparameters were kept consistent across models where applicable to ensure fair comparison. The learning rate was 0.01 for CNN models and 1e-4 for transformer models. The batch size was 4 for all models except Swin-UNETR which required batch size 2 due to higher memory consumption. The total number of training epochs was 10 for all models, which was sufficient for convergence as confirmed by preliminary experiments. Gradient clipping was applied at a maximum norm of 1.0 to prevent gradient explosion. Early stopping patience was set to 6 epochs, meaning training would stop if no improvement in validation loss was observed for 6 consecutive epochs.</w:t>
      </w:r>
    </w:p>
    <w:p>
      <w:pPr>
        <w:pStyle w:val="Heading3"/>
        <w:numPr>
          <w:ilvl w:val="2"/>
          <w:numId w:val="1"/>
        </w:numPr>
        <w:spacing w:lineRule="auto" w:line="240"/>
        <w:ind w:hanging="0" w:start="0"/>
        <w:jc w:val="both"/>
        <w:rPr/>
      </w:pPr>
      <w:r>
        <w:rPr>
          <w:rFonts w:ascii="Times New Roman" w:hAnsi="Times New Roman"/>
        </w:rPr>
        <w:t>3.5 Evaluation Metrics</w:t>
      </w:r>
    </w:p>
    <w:p>
      <w:pPr>
        <w:pStyle w:val="BodyText"/>
        <w:spacing w:lineRule="auto" w:line="240"/>
        <w:jc w:val="both"/>
        <w:rPr/>
      </w:pPr>
      <w:r>
        <w:rPr>
          <w:rFonts w:ascii="Times New Roman" w:hAnsi="Times New Roman"/>
        </w:rPr>
        <w:t>The primary evaluation metric is the Dice Similarity Coefficient (DSC), defined as DSC equals two times the cardinality of the intersection of predicted set and ground truth set divided by the sum of the cardinalities of predicted set and ground truth set. The Dice coefficient ranges from 0 indicating no overlap to 1 indicating perfect overlap. We computed DSC separately for each tumour region: DSC_WT for whole tumour segmentation accuracy, DSC_TC for tumour core segmentation accuracy, and DSC_ET for enhancing tumour segmentation accuracy. The mean DSC is the arithmetic average of these three values.</w:t>
      </w:r>
    </w:p>
    <w:p>
      <w:pPr>
        <w:pStyle w:val="BodyText"/>
        <w:spacing w:lineRule="auto" w:line="240"/>
        <w:jc w:val="both"/>
        <w:rPr/>
      </w:pPr>
      <w:r>
        <w:rPr>
          <w:rFonts w:ascii="Times New Roman" w:hAnsi="Times New Roman"/>
        </w:rPr>
        <w:t>We also reported training loss and validation loss for convergence analysis, where lower loss indicates better model optimisation. Training loss is computed on the training set during each epoch, while validation loss is computed on the held-out validation set. The gap between training and validation loss provides insight into overfitting or underfitting behaviour.</w:t>
      </w:r>
    </w:p>
    <w:p>
      <w:pPr>
        <w:pStyle w:val="BodyText"/>
        <w:spacing w:lineRule="auto" w:line="240"/>
        <w:jc w:val="both"/>
        <w:rPr/>
      </w:pPr>
      <w:r>
        <w:rPr>
          <w:rFonts w:ascii="Times New Roman" w:hAnsi="Times New Roman"/>
        </w:rPr>
        <w:t>For computational metrics, we reported several quantities of practical importance. Parameter count refers to the number of trainable parameters in millions, which correlates with model expressivity and storage requirements. Training time in minutes is reported for ten complete epochs, reflecting the time required to train the model from scratch. Peak GPU memory during training is measured in gigabytes, indicating the hardware requirements for deployment. Inference speed is estimated as seconds per volume, though detailed latency benchmarking is left for future work.</w:t>
      </w:r>
    </w:p>
    <w:p>
      <w:pPr>
        <w:pStyle w:val="Heading3"/>
        <w:numPr>
          <w:ilvl w:val="2"/>
          <w:numId w:val="1"/>
        </w:numPr>
        <w:spacing w:lineRule="auto" w:line="240"/>
        <w:ind w:hanging="0" w:start="0"/>
        <w:jc w:val="both"/>
        <w:rPr/>
      </w:pPr>
      <w:r>
        <w:rPr>
          <w:rFonts w:ascii="Times New Roman" w:hAnsi="Times New Roman"/>
        </w:rPr>
        <w:t>3.6 Experimental Setup</w:t>
      </w:r>
    </w:p>
    <w:p>
      <w:pPr>
        <w:pStyle w:val="BodyText"/>
        <w:spacing w:lineRule="auto" w:line="240"/>
        <w:jc w:val="both"/>
        <w:rPr/>
      </w:pPr>
      <w:r>
        <w:rPr>
          <w:rFonts w:ascii="Times New Roman" w:hAnsi="Times New Roman"/>
        </w:rPr>
        <w:t>The hardware environment consisted of two Tesla T4 GPUs manufactured by NVIDIA, each with 16 GB of dedicated memory. The host system used an Intel Xeon CPU with four cores operating at 2.2 GHz. System memory was 32 GB of RAM, and storage was 100 GB of SSD. The Tesla T4 GPUs are commonly available in cloud computing platforms and academic clusters, making our results reproducible in typical research environments.</w:t>
      </w:r>
    </w:p>
    <w:p>
      <w:pPr>
        <w:pStyle w:val="BodyText"/>
        <w:spacing w:lineRule="auto" w:line="240"/>
        <w:jc w:val="both"/>
        <w:rPr/>
      </w:pPr>
      <w:r>
        <w:rPr>
          <w:rFonts w:ascii="Times New Roman" w:hAnsi="Times New Roman"/>
        </w:rPr>
        <w:t>The software environment used PyTorch version 2.0 or higher with CUDA version 11.8 for GPU acceleration. Python version was 3.12. Key libraries included NumPy for numerical operations, NiBabel for reading NIfTI format medical images, scikit-learn for data splitting and metrics, and tqdm for progress bars. All experiments were conducted on Kaggle's free GPU resources, which provides Tesla T4 GPUs with the aforementioned specifications.</w:t>
      </w:r>
    </w:p>
    <w:p>
      <w:pPr>
        <w:pStyle w:val="BodyText"/>
        <w:spacing w:lineRule="auto" w:line="240"/>
        <w:jc w:val="both"/>
        <w:rPr/>
      </w:pPr>
      <w:r>
        <w:rPr>
          <w:rFonts w:ascii="Times New Roman" w:hAnsi="Times New Roman"/>
        </w:rPr>
        <w:t>To ensure reproducibility, we fixed random seeds for all stochastic operations including PyTorch random number generator, NumPy random number generator, and Python random module. We used persistent DataLoader workers to prevent deadlocks during multi-epoch training. Where possible, we enabled deterministic algorithms in PyTorch by setting torch.backends.cudnn.deterministic to True and torch.backends.cudnn.benchmark to False. Complete notebook files with all code are provided in the supplementary materials to enable other researchers to reproduce our results exactly and extend the comparison to new architectures or datasets.</w:t>
      </w:r>
    </w:p>
    <w:p>
      <w:pPr>
        <w:pStyle w:val="Heading2"/>
        <w:numPr>
          <w:ilvl w:val="0"/>
          <w:numId w:val="0"/>
        </w:numPr>
        <w:bidi w:val="0"/>
        <w:spacing w:lineRule="auto" w:line="240"/>
        <w:ind w:hanging="0" w:start="0"/>
        <w:jc w:val="both"/>
        <w:rPr/>
      </w:pPr>
      <w:r>
        <w:rPr>
          <w:rFonts w:ascii="Times New Roman" w:hAnsi="Times New Roman"/>
        </w:rPr>
        <w:t>4. Results and Discussion</w:t>
      </w:r>
    </w:p>
    <w:p>
      <w:pPr>
        <w:pStyle w:val="Heading3"/>
        <w:numPr>
          <w:ilvl w:val="2"/>
          <w:numId w:val="1"/>
        </w:numPr>
        <w:bidi w:val="0"/>
        <w:spacing w:lineRule="auto" w:line="240"/>
        <w:ind w:hanging="0" w:start="0"/>
        <w:jc w:val="both"/>
        <w:rPr/>
      </w:pPr>
      <w:r>
        <w:rPr>
          <w:rFonts w:ascii="Times New Roman" w:hAnsi="Times New Roman"/>
        </w:rPr>
        <w:t>4.1 Performance Comparison</w:t>
      </w:r>
    </w:p>
    <w:p>
      <w:pPr>
        <w:pStyle w:val="BodyText"/>
        <w:bidi w:val="0"/>
        <w:spacing w:lineRule="auto" w:line="240"/>
        <w:jc w:val="both"/>
        <w:rPr/>
      </w:pPr>
      <w:r>
        <w:rPr>
          <w:rFonts w:ascii="Times New Roman" w:hAnsi="Times New Roman"/>
        </w:rPr>
        <w:t>Table 1 presents the final test set results for all six architectures.</w:t>
      </w:r>
    </w:p>
    <w:p>
      <w:pPr>
        <w:pStyle w:val="BodyText"/>
        <w:bidi w:val="0"/>
        <w:spacing w:lineRule="auto" w:line="240"/>
        <w:jc w:val="both"/>
        <w:rPr/>
      </w:pPr>
      <w:r>
        <w:rPr>
          <w:rFonts w:ascii="Times New Roman" w:hAnsi="Times New Roman"/>
          <w:b/>
        </w:rPr>
        <w:t>Table 1: Performance comparison of all models on BraTS 2020 test set</w:t>
      </w:r>
    </w:p>
    <w:tbl>
      <w:tblPr>
        <w:tblW w:w="5000" w:type="pct"/>
        <w:jc w:val="start"/>
        <w:tblInd w:w="-5" w:type="dxa"/>
        <w:tblLayout w:type="fixed"/>
        <w:tblCellMar>
          <w:top w:w="55" w:type="dxa"/>
          <w:start w:w="55" w:type="dxa"/>
          <w:bottom w:w="55" w:type="dxa"/>
          <w:end w:w="55" w:type="dxa"/>
        </w:tblCellMar>
      </w:tblPr>
      <w:tblGrid>
        <w:gridCol w:w="1500"/>
        <w:gridCol w:w="1043"/>
        <w:gridCol w:w="973"/>
        <w:gridCol w:w="959"/>
        <w:gridCol w:w="1230"/>
        <w:gridCol w:w="1079"/>
        <w:gridCol w:w="1312"/>
        <w:gridCol w:w="1542"/>
      </w:tblGrid>
      <w:tr>
        <w:trPr>
          <w:tblHeader w:val="true"/>
        </w:trPr>
        <w:tc>
          <w:tcPr>
            <w:tcW w:w="1500"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1043"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WT Dice</w:t>
            </w:r>
          </w:p>
        </w:tc>
        <w:tc>
          <w:tcPr>
            <w:tcW w:w="973"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TC Dice</w:t>
            </w:r>
          </w:p>
        </w:tc>
        <w:tc>
          <w:tcPr>
            <w:tcW w:w="959"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ET Dice</w:t>
            </w:r>
          </w:p>
        </w:tc>
        <w:tc>
          <w:tcPr>
            <w:tcW w:w="1230"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Mean Dice</w:t>
            </w:r>
          </w:p>
        </w:tc>
        <w:tc>
          <w:tcPr>
            <w:tcW w:w="1079"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Test Loss</w:t>
            </w:r>
          </w:p>
        </w:tc>
        <w:tc>
          <w:tcPr>
            <w:tcW w:w="131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Parameters</w:t>
            </w:r>
          </w:p>
        </w:tc>
        <w:tc>
          <w:tcPr>
            <w:tcW w:w="1542"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Training Time (min)</w:t>
            </w:r>
          </w:p>
        </w:tc>
      </w:tr>
      <w:tr>
        <w:trPr/>
        <w:tc>
          <w:tcPr>
            <w:tcW w:w="150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w:t>
            </w:r>
          </w:p>
        </w:tc>
        <w:tc>
          <w:tcPr>
            <w:tcW w:w="10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0.8647</w:t>
            </w:r>
          </w:p>
        </w:tc>
        <w:tc>
          <w:tcPr>
            <w:tcW w:w="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0.7844</w:t>
            </w:r>
          </w:p>
        </w:tc>
        <w:tc>
          <w:tcPr>
            <w:tcW w:w="95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0.7505</w:t>
            </w:r>
          </w:p>
        </w:tc>
        <w:tc>
          <w:tcPr>
            <w:tcW w:w="12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0.7999</w:t>
            </w:r>
          </w:p>
        </w:tc>
        <w:tc>
          <w:tcPr>
            <w:tcW w:w="107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0.4109</w:t>
            </w:r>
          </w:p>
        </w:tc>
        <w:tc>
          <w:tcPr>
            <w:tcW w:w="13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5.6M</w:t>
            </w:r>
          </w:p>
        </w:tc>
        <w:tc>
          <w:tcPr>
            <w:tcW w:w="154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32.4</w:t>
            </w:r>
          </w:p>
        </w:tc>
      </w:tr>
      <w:tr>
        <w:trPr/>
        <w:tc>
          <w:tcPr>
            <w:tcW w:w="150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nnU-Net</w:t>
            </w:r>
          </w:p>
        </w:tc>
        <w:tc>
          <w:tcPr>
            <w:tcW w:w="10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0.8569</w:t>
            </w:r>
          </w:p>
        </w:tc>
        <w:tc>
          <w:tcPr>
            <w:tcW w:w="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0.7813</w:t>
            </w:r>
          </w:p>
        </w:tc>
        <w:tc>
          <w:tcPr>
            <w:tcW w:w="95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0.7452</w:t>
            </w:r>
          </w:p>
        </w:tc>
        <w:tc>
          <w:tcPr>
            <w:tcW w:w="12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0.7945</w:t>
            </w:r>
          </w:p>
        </w:tc>
        <w:tc>
          <w:tcPr>
            <w:tcW w:w="107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0.4553</w:t>
            </w:r>
          </w:p>
        </w:tc>
        <w:tc>
          <w:tcPr>
            <w:tcW w:w="13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16.5M</w:t>
            </w:r>
          </w:p>
        </w:tc>
        <w:tc>
          <w:tcPr>
            <w:tcW w:w="154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55.1</w:t>
            </w:r>
          </w:p>
        </w:tc>
      </w:tr>
      <w:tr>
        <w:trPr/>
        <w:tc>
          <w:tcPr>
            <w:tcW w:w="150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VNet</w:t>
            </w:r>
          </w:p>
        </w:tc>
        <w:tc>
          <w:tcPr>
            <w:tcW w:w="10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0.8541</w:t>
            </w:r>
          </w:p>
        </w:tc>
        <w:tc>
          <w:tcPr>
            <w:tcW w:w="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0.7108</w:t>
            </w:r>
          </w:p>
        </w:tc>
        <w:tc>
          <w:tcPr>
            <w:tcW w:w="95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0.7316</w:t>
            </w:r>
          </w:p>
        </w:tc>
        <w:tc>
          <w:tcPr>
            <w:tcW w:w="12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0.7655</w:t>
            </w:r>
          </w:p>
        </w:tc>
        <w:tc>
          <w:tcPr>
            <w:tcW w:w="107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0.4880</w:t>
            </w:r>
          </w:p>
        </w:tc>
        <w:tc>
          <w:tcPr>
            <w:tcW w:w="13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1.4M</w:t>
            </w:r>
          </w:p>
        </w:tc>
        <w:tc>
          <w:tcPr>
            <w:tcW w:w="154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16.9</w:t>
            </w:r>
          </w:p>
        </w:tc>
      </w:tr>
      <w:tr>
        <w:trPr/>
        <w:tc>
          <w:tcPr>
            <w:tcW w:w="150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Swin-UNETR</w:t>
            </w:r>
          </w:p>
        </w:tc>
        <w:tc>
          <w:tcPr>
            <w:tcW w:w="10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0.8128</w:t>
            </w:r>
          </w:p>
        </w:tc>
        <w:tc>
          <w:tcPr>
            <w:tcW w:w="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0.6261</w:t>
            </w:r>
          </w:p>
        </w:tc>
        <w:tc>
          <w:tcPr>
            <w:tcW w:w="95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0.5314</w:t>
            </w:r>
          </w:p>
        </w:tc>
        <w:tc>
          <w:tcPr>
            <w:tcW w:w="12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0.6568</w:t>
            </w:r>
          </w:p>
        </w:tc>
        <w:tc>
          <w:tcPr>
            <w:tcW w:w="107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1.3411</w:t>
            </w:r>
          </w:p>
        </w:tc>
        <w:tc>
          <w:tcPr>
            <w:tcW w:w="13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10.7M</w:t>
            </w:r>
          </w:p>
        </w:tc>
        <w:tc>
          <w:tcPr>
            <w:tcW w:w="154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49.5</w:t>
            </w:r>
          </w:p>
        </w:tc>
      </w:tr>
      <w:tr>
        <w:trPr/>
        <w:tc>
          <w:tcPr>
            <w:tcW w:w="150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TransBTS</w:t>
            </w:r>
          </w:p>
        </w:tc>
        <w:tc>
          <w:tcPr>
            <w:tcW w:w="10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0.6383</w:t>
            </w:r>
          </w:p>
        </w:tc>
        <w:tc>
          <w:tcPr>
            <w:tcW w:w="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0.4618</w:t>
            </w:r>
          </w:p>
        </w:tc>
        <w:tc>
          <w:tcPr>
            <w:tcW w:w="95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0.4325</w:t>
            </w:r>
          </w:p>
        </w:tc>
        <w:tc>
          <w:tcPr>
            <w:tcW w:w="12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0.5109</w:t>
            </w:r>
          </w:p>
        </w:tc>
        <w:tc>
          <w:tcPr>
            <w:tcW w:w="107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2.1940</w:t>
            </w:r>
          </w:p>
        </w:tc>
        <w:tc>
          <w:tcPr>
            <w:tcW w:w="13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35.8M</w:t>
            </w:r>
          </w:p>
        </w:tc>
        <w:tc>
          <w:tcPr>
            <w:tcW w:w="154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70.1</w:t>
            </w:r>
          </w:p>
        </w:tc>
      </w:tr>
      <w:tr>
        <w:trPr/>
        <w:tc>
          <w:tcPr>
            <w:tcW w:w="150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UNETR</w:t>
            </w:r>
          </w:p>
        </w:tc>
        <w:tc>
          <w:tcPr>
            <w:tcW w:w="10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0.7128</w:t>
            </w:r>
          </w:p>
        </w:tc>
        <w:tc>
          <w:tcPr>
            <w:tcW w:w="97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0.6261</w:t>
            </w:r>
          </w:p>
        </w:tc>
        <w:tc>
          <w:tcPr>
            <w:tcW w:w="95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0.5314</w:t>
            </w:r>
          </w:p>
        </w:tc>
        <w:tc>
          <w:tcPr>
            <w:tcW w:w="123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0.6234</w:t>
            </w:r>
          </w:p>
        </w:tc>
        <w:tc>
          <w:tcPr>
            <w:tcW w:w="107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1.3411</w:t>
            </w:r>
          </w:p>
        </w:tc>
        <w:tc>
          <w:tcPr>
            <w:tcW w:w="131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137.6M</w:t>
            </w:r>
          </w:p>
        </w:tc>
        <w:tc>
          <w:tcPr>
            <w:tcW w:w="154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117.2</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pPr>
      <w:r>
        <w:rPr>
          <w:rFonts w:ascii="Times New Roman" w:hAnsi="Times New Roman"/>
        </w:rPr>
        <w:t>Several key observations emerge from these results. UNet achieves the best overall performance with mean Dice of 0.7999, demonstrating that the classic architecture remains highly competitive when properly trained. nnU-Net performs comparably to UNet with mean Dice of 0.7945 but requires more training time (55.1 minutes versus 32.4 minutes). The self-configuring nature did not provide significant advantage for this dataset, possibly because BraTS 2020 is well-structured and the standard UNet configuration is already optimal.</w:t>
      </w:r>
    </w:p>
    <w:p>
      <w:pPr>
        <w:pStyle w:val="BodyText"/>
        <w:bidi w:val="0"/>
        <w:spacing w:lineRule="auto" w:line="240"/>
        <w:jc w:val="both"/>
        <w:rPr/>
      </w:pPr>
      <w:r>
        <w:rPr>
          <w:rFonts w:ascii="Times New Roman" w:hAnsi="Times New Roman"/>
        </w:rPr>
        <w:t>VNet shows remarkable efficiency with only 1.4 million parameters (75% fewer than UNet) while achieving strong performance of 0.7655 mean Dice. This suggests residual connections with PReLU activations provide excellent efficiency. Transformer models underperform significantly despite having more parameters: UNETR with 137.6 million parameters achieves only 0.6234 mean Dice, TransBTS with 35.8 million parameters achieves 0.5109 mean Dice, and Swin-UNETR with 10.7 million parameters achieves 0.6568 mean Dice. Swin-UNETR is the best transformer variant, likely due to its hierarchical design that better matches CNN decoder requirements.</w:t>
      </w:r>
    </w:p>
    <w:p>
      <w:pPr>
        <w:pStyle w:val="Heading3"/>
        <w:numPr>
          <w:ilvl w:val="2"/>
          <w:numId w:val="1"/>
        </w:numPr>
        <w:bidi w:val="0"/>
        <w:spacing w:lineRule="auto" w:line="240"/>
        <w:ind w:hanging="0" w:start="0"/>
        <w:jc w:val="both"/>
        <w:rPr/>
      </w:pPr>
      <w:r>
        <w:rPr>
          <w:rFonts w:ascii="Times New Roman" w:hAnsi="Times New Roman"/>
        </w:rPr>
        <w:t>4.2 Training Dynamics Analysis</w:t>
      </w:r>
    </w:p>
    <w:p>
      <w:pPr>
        <w:pStyle w:val="BodyText"/>
        <w:bidi w:val="0"/>
        <w:spacing w:lineRule="auto" w:line="240"/>
        <w:jc w:val="both"/>
        <w:rPr/>
      </w:pPr>
      <w:r>
        <w:rPr>
          <w:rFonts w:ascii="Times New Roman" w:hAnsi="Times New Roman"/>
        </w:rPr>
        <w:t>Table 2 shows the epoch to best validation performance for each model.</w:t>
      </w:r>
    </w:p>
    <w:p>
      <w:pPr>
        <w:pStyle w:val="BodyText"/>
        <w:bidi w:val="0"/>
        <w:spacing w:lineRule="auto" w:line="240"/>
        <w:jc w:val="both"/>
        <w:rPr/>
      </w:pPr>
      <w:r>
        <w:rPr>
          <w:rFonts w:ascii="Times New Roman" w:hAnsi="Times New Roman"/>
          <w:b/>
        </w:rPr>
        <w:t>Table 2: Convergence behaviour of all models</w:t>
      </w:r>
    </w:p>
    <w:tbl>
      <w:tblPr>
        <w:tblW w:w="5000" w:type="pct"/>
        <w:jc w:val="start"/>
        <w:tblInd w:w="-5" w:type="dxa"/>
        <w:tblLayout w:type="fixed"/>
        <w:tblCellMar>
          <w:top w:w="55" w:type="dxa"/>
          <w:start w:w="55" w:type="dxa"/>
          <w:bottom w:w="55" w:type="dxa"/>
          <w:end w:w="55" w:type="dxa"/>
        </w:tblCellMar>
      </w:tblPr>
      <w:tblGrid>
        <w:gridCol w:w="3483"/>
        <w:gridCol w:w="6155"/>
      </w:tblGrid>
      <w:tr>
        <w:trPr>
          <w:tblHeader w:val="true"/>
        </w:trPr>
        <w:tc>
          <w:tcPr>
            <w:tcW w:w="3483"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6155"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Epoch to Best Validation</w:t>
            </w:r>
          </w:p>
        </w:tc>
      </w:tr>
      <w:tr>
        <w:trPr/>
        <w:tc>
          <w:tcPr>
            <w:tcW w:w="3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10</w:t>
            </w:r>
          </w:p>
        </w:tc>
      </w:tr>
      <w:tr>
        <w:trPr/>
        <w:tc>
          <w:tcPr>
            <w:tcW w:w="3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nnU-Net</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10</w:t>
            </w:r>
          </w:p>
        </w:tc>
      </w:tr>
      <w:tr>
        <w:trPr/>
        <w:tc>
          <w:tcPr>
            <w:tcW w:w="3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VNet</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10</w:t>
            </w:r>
          </w:p>
        </w:tc>
      </w:tr>
      <w:tr>
        <w:trPr/>
        <w:tc>
          <w:tcPr>
            <w:tcW w:w="3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UNETR</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9</w:t>
            </w:r>
          </w:p>
        </w:tc>
      </w:tr>
      <w:tr>
        <w:trPr/>
        <w:tc>
          <w:tcPr>
            <w:tcW w:w="3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Swin-UNETR</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8</w:t>
            </w:r>
          </w:p>
        </w:tc>
      </w:tr>
      <w:tr>
        <w:trPr/>
        <w:tc>
          <w:tcPr>
            <w:tcW w:w="3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TransBTS</w:t>
            </w:r>
          </w:p>
        </w:tc>
        <w:tc>
          <w:tcPr>
            <w:tcW w:w="61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10</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pPr>
      <w:r>
        <w:rPr>
          <w:rFonts w:ascii="Times New Roman" w:hAnsi="Times New Roman"/>
        </w:rPr>
        <w:t>Most models converged within ten epochs, with transformer models showing slower early convergence but reaching optimal performance later. Regarding training loss curves qualitatively, UNet demonstrated smooth monotonic decrease from 1.843 to 0.385, nnU-Net showed similar pattern but higher initial loss from 2.061 to 0.443, VNet exhibited fastest initial drop from 1.932 to 0.481, UNETR showed slow initial progress improving after epoch four, Swin-UNETR demonstrated steady improvement throughout, and TransBTS consistently showed the highest loss values throughout training from 2.743 to 2.188.</w:t>
      </w:r>
    </w:p>
    <w:p>
      <w:pPr>
        <w:pStyle w:val="BodyText"/>
        <w:bidi w:val="0"/>
        <w:spacing w:lineRule="auto" w:line="240"/>
        <w:jc w:val="both"/>
        <w:rPr/>
      </w:pPr>
      <w:r>
        <w:rPr>
          <w:rFonts w:ascii="Times New Roman" w:hAnsi="Times New Roman"/>
        </w:rPr>
        <w:t>Table 3 presents the validation versus training loss gap analysis.</w:t>
      </w:r>
    </w:p>
    <w:p>
      <w:pPr>
        <w:pStyle w:val="BodyText"/>
        <w:bidi w:val="0"/>
        <w:spacing w:lineRule="auto" w:line="240"/>
        <w:jc w:val="both"/>
        <w:rPr/>
      </w:pPr>
      <w:r>
        <w:rPr>
          <w:rFonts w:ascii="Times New Roman" w:hAnsi="Times New Roman"/>
          <w:b/>
        </w:rPr>
        <w:t>Table 3: Generalisation gap analysis</w:t>
      </w:r>
    </w:p>
    <w:tbl>
      <w:tblPr>
        <w:tblW w:w="5000" w:type="pct"/>
        <w:jc w:val="start"/>
        <w:tblInd w:w="-5" w:type="dxa"/>
        <w:tblLayout w:type="fixed"/>
        <w:tblCellMar>
          <w:top w:w="55" w:type="dxa"/>
          <w:start w:w="55" w:type="dxa"/>
          <w:bottom w:w="55" w:type="dxa"/>
          <w:end w:w="55" w:type="dxa"/>
        </w:tblCellMar>
      </w:tblPr>
      <w:tblGrid>
        <w:gridCol w:w="2483"/>
        <w:gridCol w:w="3001"/>
        <w:gridCol w:w="2619"/>
        <w:gridCol w:w="1535"/>
      </w:tblGrid>
      <w:tr>
        <w:trPr>
          <w:tblHeader w:val="true"/>
        </w:trPr>
        <w:tc>
          <w:tcPr>
            <w:tcW w:w="2483"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3001"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Final Train Loss</w:t>
            </w:r>
          </w:p>
        </w:tc>
        <w:tc>
          <w:tcPr>
            <w:tcW w:w="2619"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Final Val Loss</w:t>
            </w:r>
          </w:p>
        </w:tc>
        <w:tc>
          <w:tcPr>
            <w:tcW w:w="1535"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Gap</w:t>
            </w:r>
          </w:p>
        </w:tc>
      </w:tr>
      <w:tr>
        <w:trPr/>
        <w:tc>
          <w:tcPr>
            <w:tcW w:w="2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w:t>
            </w:r>
          </w:p>
        </w:tc>
        <w:tc>
          <w:tcPr>
            <w:tcW w:w="300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0.3852</w:t>
            </w:r>
          </w:p>
        </w:tc>
        <w:tc>
          <w:tcPr>
            <w:tcW w:w="261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0.4061</w:t>
            </w:r>
          </w:p>
        </w:tc>
        <w:tc>
          <w:tcPr>
            <w:tcW w:w="153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+0.0209</w:t>
            </w:r>
          </w:p>
        </w:tc>
      </w:tr>
      <w:tr>
        <w:trPr/>
        <w:tc>
          <w:tcPr>
            <w:tcW w:w="2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nnU-Net</w:t>
            </w:r>
          </w:p>
        </w:tc>
        <w:tc>
          <w:tcPr>
            <w:tcW w:w="300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0.4431</w:t>
            </w:r>
          </w:p>
        </w:tc>
        <w:tc>
          <w:tcPr>
            <w:tcW w:w="261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0.4514</w:t>
            </w:r>
          </w:p>
        </w:tc>
        <w:tc>
          <w:tcPr>
            <w:tcW w:w="153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+0.0083</w:t>
            </w:r>
          </w:p>
        </w:tc>
      </w:tr>
      <w:tr>
        <w:trPr/>
        <w:tc>
          <w:tcPr>
            <w:tcW w:w="2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VNet</w:t>
            </w:r>
          </w:p>
        </w:tc>
        <w:tc>
          <w:tcPr>
            <w:tcW w:w="300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0.4812</w:t>
            </w:r>
          </w:p>
        </w:tc>
        <w:tc>
          <w:tcPr>
            <w:tcW w:w="261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0.4719</w:t>
            </w:r>
          </w:p>
        </w:tc>
        <w:tc>
          <w:tcPr>
            <w:tcW w:w="153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-0.0093</w:t>
            </w:r>
          </w:p>
        </w:tc>
      </w:tr>
      <w:tr>
        <w:trPr/>
        <w:tc>
          <w:tcPr>
            <w:tcW w:w="2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Swin-UNETR</w:t>
            </w:r>
          </w:p>
        </w:tc>
        <w:tc>
          <w:tcPr>
            <w:tcW w:w="300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1.1954</w:t>
            </w:r>
          </w:p>
        </w:tc>
        <w:tc>
          <w:tcPr>
            <w:tcW w:w="261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1.1964</w:t>
            </w:r>
          </w:p>
        </w:tc>
        <w:tc>
          <w:tcPr>
            <w:tcW w:w="153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+0.0010</w:t>
            </w:r>
          </w:p>
        </w:tc>
      </w:tr>
      <w:tr>
        <w:trPr/>
        <w:tc>
          <w:tcPr>
            <w:tcW w:w="2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TransBTS</w:t>
            </w:r>
          </w:p>
        </w:tc>
        <w:tc>
          <w:tcPr>
            <w:tcW w:w="300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2.1882</w:t>
            </w:r>
          </w:p>
        </w:tc>
        <w:tc>
          <w:tcPr>
            <w:tcW w:w="261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2.1914</w:t>
            </w:r>
          </w:p>
        </w:tc>
        <w:tc>
          <w:tcPr>
            <w:tcW w:w="153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+0.0032</w:t>
            </w:r>
          </w:p>
        </w:tc>
      </w:tr>
      <w:tr>
        <w:trPr/>
        <w:tc>
          <w:tcPr>
            <w:tcW w:w="248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UNETR</w:t>
            </w:r>
          </w:p>
        </w:tc>
        <w:tc>
          <w:tcPr>
            <w:tcW w:w="300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1.3384</w:t>
            </w:r>
          </w:p>
        </w:tc>
        <w:tc>
          <w:tcPr>
            <w:tcW w:w="2619"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1.3397</w:t>
            </w:r>
          </w:p>
        </w:tc>
        <w:tc>
          <w:tcPr>
            <w:tcW w:w="153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+0.0013</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pPr>
      <w:r>
        <w:rPr>
          <w:rFonts w:ascii="Times New Roman" w:hAnsi="Times New Roman"/>
        </w:rPr>
        <w:t>VNet shows negative gap suggesting potential overfitting to validation set characteristics. Transformer models show minimal gaps indicating they may be underfitting. UNet and nnU-Net show small positive gaps indicating good generalisation.</w:t>
      </w:r>
    </w:p>
    <w:p>
      <w:pPr>
        <w:pStyle w:val="Heading3"/>
        <w:numPr>
          <w:ilvl w:val="2"/>
          <w:numId w:val="1"/>
        </w:numPr>
        <w:bidi w:val="0"/>
        <w:spacing w:lineRule="auto" w:line="240"/>
        <w:ind w:hanging="0" w:start="0"/>
        <w:jc w:val="both"/>
        <w:rPr/>
      </w:pPr>
      <w:r>
        <w:rPr>
          <w:rFonts w:ascii="Times New Roman" w:hAnsi="Times New Roman"/>
        </w:rPr>
        <w:t>4.3 Per-Region Performance Analysis</w:t>
      </w:r>
    </w:p>
    <w:p>
      <w:pPr>
        <w:pStyle w:val="BodyText"/>
        <w:bidi w:val="0"/>
        <w:spacing w:lineRule="auto" w:line="240"/>
        <w:jc w:val="both"/>
        <w:rPr/>
      </w:pPr>
      <w:r>
        <w:rPr>
          <w:rFonts w:ascii="Times New Roman" w:hAnsi="Times New Roman"/>
        </w:rPr>
        <w:t>Table 4 presents the performance breakdown by tumour region.</w:t>
      </w:r>
    </w:p>
    <w:p>
      <w:pPr>
        <w:pStyle w:val="BodyText"/>
        <w:bidi w:val="0"/>
        <w:spacing w:lineRule="auto" w:line="240"/>
        <w:jc w:val="both"/>
        <w:rPr/>
      </w:pPr>
      <w:r>
        <w:rPr>
          <w:rFonts w:ascii="Times New Roman" w:hAnsi="Times New Roman"/>
          <w:b/>
        </w:rPr>
        <w:t>Table 4: Per-region performance comparison</w:t>
      </w:r>
    </w:p>
    <w:tbl>
      <w:tblPr>
        <w:tblW w:w="5000" w:type="pct"/>
        <w:jc w:val="start"/>
        <w:tblInd w:w="-5" w:type="dxa"/>
        <w:tblLayout w:type="fixed"/>
        <w:tblCellMar>
          <w:top w:w="55" w:type="dxa"/>
          <w:start w:w="55" w:type="dxa"/>
          <w:bottom w:w="55" w:type="dxa"/>
          <w:end w:w="55" w:type="dxa"/>
        </w:tblCellMar>
      </w:tblPr>
      <w:tblGrid>
        <w:gridCol w:w="1698"/>
        <w:gridCol w:w="2593"/>
        <w:gridCol w:w="2340"/>
        <w:gridCol w:w="3007"/>
      </w:tblGrid>
      <w:tr>
        <w:trPr>
          <w:tblHeader w:val="true"/>
        </w:trPr>
        <w:tc>
          <w:tcPr>
            <w:tcW w:w="1698"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2593"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Whole Tumour (WT)</w:t>
            </w:r>
          </w:p>
        </w:tc>
        <w:tc>
          <w:tcPr>
            <w:tcW w:w="2340"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Tumour Core (TC)</w:t>
            </w:r>
          </w:p>
        </w:tc>
        <w:tc>
          <w:tcPr>
            <w:tcW w:w="3007"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Enhancing Tumour (ET)</w:t>
            </w:r>
          </w:p>
        </w:tc>
      </w:tr>
      <w:tr>
        <w:trPr/>
        <w:tc>
          <w:tcPr>
            <w:tcW w:w="16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w:t>
            </w:r>
          </w:p>
        </w:tc>
        <w:tc>
          <w:tcPr>
            <w:tcW w:w="259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0.8647</w:t>
            </w:r>
          </w:p>
        </w:tc>
        <w:tc>
          <w:tcPr>
            <w:tcW w:w="234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0.7844</w:t>
            </w:r>
          </w:p>
        </w:tc>
        <w:tc>
          <w:tcPr>
            <w:tcW w:w="3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0.7505</w:t>
            </w:r>
          </w:p>
        </w:tc>
      </w:tr>
      <w:tr>
        <w:trPr/>
        <w:tc>
          <w:tcPr>
            <w:tcW w:w="16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nnU-Net</w:t>
            </w:r>
          </w:p>
        </w:tc>
        <w:tc>
          <w:tcPr>
            <w:tcW w:w="259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0.8569</w:t>
            </w:r>
          </w:p>
        </w:tc>
        <w:tc>
          <w:tcPr>
            <w:tcW w:w="234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0.7813</w:t>
            </w:r>
          </w:p>
        </w:tc>
        <w:tc>
          <w:tcPr>
            <w:tcW w:w="3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0.7452</w:t>
            </w:r>
          </w:p>
        </w:tc>
      </w:tr>
      <w:tr>
        <w:trPr/>
        <w:tc>
          <w:tcPr>
            <w:tcW w:w="16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VNet</w:t>
            </w:r>
          </w:p>
        </w:tc>
        <w:tc>
          <w:tcPr>
            <w:tcW w:w="259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0.8541</w:t>
            </w:r>
          </w:p>
        </w:tc>
        <w:tc>
          <w:tcPr>
            <w:tcW w:w="234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0.7108</w:t>
            </w:r>
          </w:p>
        </w:tc>
        <w:tc>
          <w:tcPr>
            <w:tcW w:w="3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0.7316</w:t>
            </w:r>
          </w:p>
        </w:tc>
      </w:tr>
      <w:tr>
        <w:trPr/>
        <w:tc>
          <w:tcPr>
            <w:tcW w:w="16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Swin-UNETR</w:t>
            </w:r>
          </w:p>
        </w:tc>
        <w:tc>
          <w:tcPr>
            <w:tcW w:w="259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0.8128</w:t>
            </w:r>
          </w:p>
        </w:tc>
        <w:tc>
          <w:tcPr>
            <w:tcW w:w="234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0.6261</w:t>
            </w:r>
          </w:p>
        </w:tc>
        <w:tc>
          <w:tcPr>
            <w:tcW w:w="3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0.5314</w:t>
            </w:r>
          </w:p>
        </w:tc>
      </w:tr>
      <w:tr>
        <w:trPr/>
        <w:tc>
          <w:tcPr>
            <w:tcW w:w="16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UNETR</w:t>
            </w:r>
          </w:p>
        </w:tc>
        <w:tc>
          <w:tcPr>
            <w:tcW w:w="259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0.7128</w:t>
            </w:r>
          </w:p>
        </w:tc>
        <w:tc>
          <w:tcPr>
            <w:tcW w:w="234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0.6261</w:t>
            </w:r>
          </w:p>
        </w:tc>
        <w:tc>
          <w:tcPr>
            <w:tcW w:w="3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0.5314</w:t>
            </w:r>
          </w:p>
        </w:tc>
      </w:tr>
      <w:tr>
        <w:trPr/>
        <w:tc>
          <w:tcPr>
            <w:tcW w:w="1698"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TransBTS</w:t>
            </w:r>
          </w:p>
        </w:tc>
        <w:tc>
          <w:tcPr>
            <w:tcW w:w="259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0.6383</w:t>
            </w:r>
          </w:p>
        </w:tc>
        <w:tc>
          <w:tcPr>
            <w:tcW w:w="234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0.4618</w:t>
            </w:r>
          </w:p>
        </w:tc>
        <w:tc>
          <w:tcPr>
            <w:tcW w:w="3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0.4325</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pPr>
      <w:r>
        <w:rPr>
          <w:rFonts w:ascii="Times New Roman" w:hAnsi="Times New Roman"/>
        </w:rPr>
        <w:t>All models perform best on the whole tumour region, which is the largest and most consistent region. There is a significant drop in performance for tumour core across all models, especially transformers. The enhancing tumour region proves most challenging as it is the smallest and most variable region. The performance gradient (WT &gt; TC &gt; ET) is consistent across all architectures, reflecting inherent segmentation difficulty.</w:t>
      </w:r>
    </w:p>
    <w:p>
      <w:pPr>
        <w:pStyle w:val="Heading3"/>
        <w:numPr>
          <w:ilvl w:val="2"/>
          <w:numId w:val="1"/>
        </w:numPr>
        <w:bidi w:val="0"/>
        <w:spacing w:lineRule="auto" w:line="240"/>
        <w:ind w:hanging="0" w:start="0"/>
        <w:jc w:val="both"/>
        <w:rPr/>
      </w:pPr>
      <w:r>
        <w:rPr>
          <w:rFonts w:ascii="Times New Roman" w:hAnsi="Times New Roman"/>
        </w:rPr>
        <w:t>4.4 Computational Efficiency Analysis</w:t>
      </w:r>
    </w:p>
    <w:p>
      <w:pPr>
        <w:pStyle w:val="BodyText"/>
        <w:bidi w:val="0"/>
        <w:spacing w:lineRule="auto" w:line="240"/>
        <w:jc w:val="both"/>
        <w:rPr/>
      </w:pPr>
      <w:r>
        <w:rPr>
          <w:rFonts w:ascii="Times New Roman" w:hAnsi="Times New Roman"/>
        </w:rPr>
        <w:t>Table 5 presents parameter efficiency measured as mean Dice per million parameters.</w:t>
      </w:r>
    </w:p>
    <w:p>
      <w:pPr>
        <w:pStyle w:val="BodyText"/>
        <w:bidi w:val="0"/>
        <w:spacing w:lineRule="auto" w:line="240"/>
        <w:jc w:val="both"/>
        <w:rPr/>
      </w:pPr>
      <w:r>
        <w:rPr>
          <w:rFonts w:ascii="Times New Roman" w:hAnsi="Times New Roman"/>
          <w:b/>
        </w:rPr>
        <w:t>Table 5: Parameter efficiency comparison</w:t>
      </w:r>
    </w:p>
    <w:tbl>
      <w:tblPr>
        <w:tblW w:w="5000" w:type="pct"/>
        <w:jc w:val="start"/>
        <w:tblInd w:w="-5" w:type="dxa"/>
        <w:tblLayout w:type="fixed"/>
        <w:tblCellMar>
          <w:top w:w="55" w:type="dxa"/>
          <w:start w:w="55" w:type="dxa"/>
          <w:bottom w:w="55" w:type="dxa"/>
          <w:end w:w="55" w:type="dxa"/>
        </w:tblCellMar>
      </w:tblPr>
      <w:tblGrid>
        <w:gridCol w:w="1942"/>
        <w:gridCol w:w="1594"/>
        <w:gridCol w:w="2276"/>
        <w:gridCol w:w="3826"/>
      </w:tblGrid>
      <w:tr>
        <w:trPr>
          <w:tblHeader w:val="true"/>
        </w:trPr>
        <w:tc>
          <w:tcPr>
            <w:tcW w:w="194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1594"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Mean Dice</w:t>
            </w:r>
          </w:p>
        </w:tc>
        <w:tc>
          <w:tcPr>
            <w:tcW w:w="2276"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Parameters (M)</w:t>
            </w:r>
          </w:p>
        </w:tc>
        <w:tc>
          <w:tcPr>
            <w:tcW w:w="3826"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Efficiency (Dice/M params)</w:t>
            </w:r>
          </w:p>
        </w:tc>
      </w:tr>
      <w:tr>
        <w:trPr/>
        <w:tc>
          <w:tcPr>
            <w:tcW w:w="19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VNet</w:t>
            </w:r>
          </w:p>
        </w:tc>
        <w:tc>
          <w:tcPr>
            <w:tcW w:w="15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0.7655</w:t>
            </w:r>
          </w:p>
        </w:tc>
        <w:tc>
          <w:tcPr>
            <w:tcW w:w="22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1.4</w:t>
            </w:r>
          </w:p>
        </w:tc>
        <w:tc>
          <w:tcPr>
            <w:tcW w:w="3826"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0.5468</w:t>
            </w:r>
          </w:p>
        </w:tc>
      </w:tr>
      <w:tr>
        <w:trPr/>
        <w:tc>
          <w:tcPr>
            <w:tcW w:w="19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w:t>
            </w:r>
          </w:p>
        </w:tc>
        <w:tc>
          <w:tcPr>
            <w:tcW w:w="15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0.7999</w:t>
            </w:r>
          </w:p>
        </w:tc>
        <w:tc>
          <w:tcPr>
            <w:tcW w:w="22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5.6</w:t>
            </w:r>
          </w:p>
        </w:tc>
        <w:tc>
          <w:tcPr>
            <w:tcW w:w="3826"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0.1428</w:t>
            </w:r>
          </w:p>
        </w:tc>
      </w:tr>
      <w:tr>
        <w:trPr/>
        <w:tc>
          <w:tcPr>
            <w:tcW w:w="19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Swin-UNETR</w:t>
            </w:r>
          </w:p>
        </w:tc>
        <w:tc>
          <w:tcPr>
            <w:tcW w:w="15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0.6568</w:t>
            </w:r>
          </w:p>
        </w:tc>
        <w:tc>
          <w:tcPr>
            <w:tcW w:w="22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10.7</w:t>
            </w:r>
          </w:p>
        </w:tc>
        <w:tc>
          <w:tcPr>
            <w:tcW w:w="3826"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0.0614</w:t>
            </w:r>
          </w:p>
        </w:tc>
      </w:tr>
      <w:tr>
        <w:trPr/>
        <w:tc>
          <w:tcPr>
            <w:tcW w:w="19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nnU-Net</w:t>
            </w:r>
          </w:p>
        </w:tc>
        <w:tc>
          <w:tcPr>
            <w:tcW w:w="15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0.7945</w:t>
            </w:r>
          </w:p>
        </w:tc>
        <w:tc>
          <w:tcPr>
            <w:tcW w:w="22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16.5</w:t>
            </w:r>
          </w:p>
        </w:tc>
        <w:tc>
          <w:tcPr>
            <w:tcW w:w="3826"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0.0482</w:t>
            </w:r>
          </w:p>
        </w:tc>
      </w:tr>
      <w:tr>
        <w:trPr/>
        <w:tc>
          <w:tcPr>
            <w:tcW w:w="19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TransBTS</w:t>
            </w:r>
          </w:p>
        </w:tc>
        <w:tc>
          <w:tcPr>
            <w:tcW w:w="15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0.5109</w:t>
            </w:r>
          </w:p>
        </w:tc>
        <w:tc>
          <w:tcPr>
            <w:tcW w:w="22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35.8</w:t>
            </w:r>
          </w:p>
        </w:tc>
        <w:tc>
          <w:tcPr>
            <w:tcW w:w="3826"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0.0143</w:t>
            </w:r>
          </w:p>
        </w:tc>
      </w:tr>
      <w:tr>
        <w:trPr/>
        <w:tc>
          <w:tcPr>
            <w:tcW w:w="194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UNETR</w:t>
            </w:r>
          </w:p>
        </w:tc>
        <w:tc>
          <w:tcPr>
            <w:tcW w:w="15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0.6234</w:t>
            </w:r>
          </w:p>
        </w:tc>
        <w:tc>
          <w:tcPr>
            <w:tcW w:w="22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137.6</w:t>
            </w:r>
          </w:p>
        </w:tc>
        <w:tc>
          <w:tcPr>
            <w:tcW w:w="3826"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0.0045</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pPr>
      <w:r>
        <w:rPr>
          <w:rFonts w:ascii="Times New Roman" w:hAnsi="Times New Roman"/>
        </w:rPr>
        <w:t>VNet demonstrates exceptional parameter efficiency, achieving 76.5% of UNet's performance with only 25% of its parameters. This makes VNet ideal for resource-constrained environments.</w:t>
      </w:r>
    </w:p>
    <w:p>
      <w:pPr>
        <w:pStyle w:val="BodyText"/>
        <w:bidi w:val="0"/>
        <w:spacing w:lineRule="auto" w:line="240"/>
        <w:jc w:val="both"/>
        <w:rPr/>
      </w:pPr>
      <w:r>
        <w:rPr>
          <w:rFonts w:ascii="Times New Roman" w:hAnsi="Times New Roman"/>
        </w:rPr>
        <w:t>Table 6 presents time efficiency measured as mean Dice per training minute.</w:t>
      </w:r>
    </w:p>
    <w:p>
      <w:pPr>
        <w:pStyle w:val="BodyText"/>
        <w:bidi w:val="0"/>
        <w:spacing w:lineRule="auto" w:line="240"/>
        <w:jc w:val="both"/>
        <w:rPr/>
      </w:pPr>
      <w:r>
        <w:rPr>
          <w:rFonts w:ascii="Times New Roman" w:hAnsi="Times New Roman"/>
          <w:b/>
        </w:rPr>
        <w:t>Table 6: Time efficiency comparison</w:t>
      </w:r>
    </w:p>
    <w:tbl>
      <w:tblPr>
        <w:tblW w:w="5000" w:type="pct"/>
        <w:jc w:val="start"/>
        <w:tblInd w:w="-5" w:type="dxa"/>
        <w:tblLayout w:type="fixed"/>
        <w:tblCellMar>
          <w:top w:w="55" w:type="dxa"/>
          <w:start w:w="55" w:type="dxa"/>
          <w:bottom w:w="55" w:type="dxa"/>
          <w:end w:w="55" w:type="dxa"/>
        </w:tblCellMar>
      </w:tblPr>
      <w:tblGrid>
        <w:gridCol w:w="1994"/>
        <w:gridCol w:w="1634"/>
        <w:gridCol w:w="2955"/>
        <w:gridCol w:w="3055"/>
      </w:tblGrid>
      <w:tr>
        <w:trPr>
          <w:tblHeader w:val="true"/>
        </w:trPr>
        <w:tc>
          <w:tcPr>
            <w:tcW w:w="1994"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1634"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Mean Dice</w:t>
            </w:r>
          </w:p>
        </w:tc>
        <w:tc>
          <w:tcPr>
            <w:tcW w:w="2955"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Training Time (min)</w:t>
            </w:r>
          </w:p>
        </w:tc>
        <w:tc>
          <w:tcPr>
            <w:tcW w:w="3055"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Efficiency (Dice/min)</w:t>
            </w:r>
          </w:p>
        </w:tc>
      </w:tr>
      <w:tr>
        <w:trPr/>
        <w:tc>
          <w:tcPr>
            <w:tcW w:w="19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VNet</w:t>
            </w:r>
          </w:p>
        </w:tc>
        <w:tc>
          <w:tcPr>
            <w:tcW w:w="16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0.7655</w:t>
            </w:r>
          </w:p>
        </w:tc>
        <w:tc>
          <w:tcPr>
            <w:tcW w:w="295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16.9</w:t>
            </w:r>
          </w:p>
        </w:tc>
        <w:tc>
          <w:tcPr>
            <w:tcW w:w="30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0.0453</w:t>
            </w:r>
          </w:p>
        </w:tc>
      </w:tr>
      <w:tr>
        <w:trPr/>
        <w:tc>
          <w:tcPr>
            <w:tcW w:w="19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w:t>
            </w:r>
          </w:p>
        </w:tc>
        <w:tc>
          <w:tcPr>
            <w:tcW w:w="16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0.7999</w:t>
            </w:r>
          </w:p>
        </w:tc>
        <w:tc>
          <w:tcPr>
            <w:tcW w:w="295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32.4</w:t>
            </w:r>
          </w:p>
        </w:tc>
        <w:tc>
          <w:tcPr>
            <w:tcW w:w="30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0.0247</w:t>
            </w:r>
          </w:p>
        </w:tc>
      </w:tr>
      <w:tr>
        <w:trPr/>
        <w:tc>
          <w:tcPr>
            <w:tcW w:w="19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nnU-Net</w:t>
            </w:r>
          </w:p>
        </w:tc>
        <w:tc>
          <w:tcPr>
            <w:tcW w:w="16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0.7945</w:t>
            </w:r>
          </w:p>
        </w:tc>
        <w:tc>
          <w:tcPr>
            <w:tcW w:w="295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55.1</w:t>
            </w:r>
          </w:p>
        </w:tc>
        <w:tc>
          <w:tcPr>
            <w:tcW w:w="30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0.0144</w:t>
            </w:r>
          </w:p>
        </w:tc>
      </w:tr>
      <w:tr>
        <w:trPr/>
        <w:tc>
          <w:tcPr>
            <w:tcW w:w="19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Swin-UNETR</w:t>
            </w:r>
          </w:p>
        </w:tc>
        <w:tc>
          <w:tcPr>
            <w:tcW w:w="16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0.6568</w:t>
            </w:r>
          </w:p>
        </w:tc>
        <w:tc>
          <w:tcPr>
            <w:tcW w:w="295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49.5</w:t>
            </w:r>
          </w:p>
        </w:tc>
        <w:tc>
          <w:tcPr>
            <w:tcW w:w="30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0.0133</w:t>
            </w:r>
          </w:p>
        </w:tc>
      </w:tr>
      <w:tr>
        <w:trPr/>
        <w:tc>
          <w:tcPr>
            <w:tcW w:w="19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TransBTS</w:t>
            </w:r>
          </w:p>
        </w:tc>
        <w:tc>
          <w:tcPr>
            <w:tcW w:w="16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0.5109</w:t>
            </w:r>
          </w:p>
        </w:tc>
        <w:tc>
          <w:tcPr>
            <w:tcW w:w="295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70.1</w:t>
            </w:r>
          </w:p>
        </w:tc>
        <w:tc>
          <w:tcPr>
            <w:tcW w:w="30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0.0073</w:t>
            </w:r>
          </w:p>
        </w:tc>
      </w:tr>
      <w:tr>
        <w:trPr/>
        <w:tc>
          <w:tcPr>
            <w:tcW w:w="199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UNETR</w:t>
            </w:r>
          </w:p>
        </w:tc>
        <w:tc>
          <w:tcPr>
            <w:tcW w:w="1634"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0.6234</w:t>
            </w:r>
          </w:p>
        </w:tc>
        <w:tc>
          <w:tcPr>
            <w:tcW w:w="295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117.2</w:t>
            </w:r>
          </w:p>
        </w:tc>
        <w:tc>
          <w:tcPr>
            <w:tcW w:w="3055"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0.0053</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pPr>
      <w:r>
        <w:rPr>
          <w:rFonts w:ascii="Times New Roman" w:hAnsi="Times New Roman"/>
        </w:rPr>
        <w:t>VNet again shows superior efficiency, achieving the best performance-per-minute ratio. This suggests that for rapid prototyping or iterative experimentation, VNet is the optimal choice.</w:t>
      </w:r>
    </w:p>
    <w:p>
      <w:pPr>
        <w:pStyle w:val="Heading3"/>
        <w:numPr>
          <w:ilvl w:val="2"/>
          <w:numId w:val="1"/>
        </w:numPr>
        <w:bidi w:val="0"/>
        <w:spacing w:lineRule="auto" w:line="240"/>
        <w:ind w:hanging="0" w:start="0"/>
        <w:jc w:val="both"/>
        <w:rPr/>
      </w:pPr>
      <w:r>
        <w:rPr>
          <w:rFonts w:ascii="Times New Roman" w:hAnsi="Times New Roman"/>
        </w:rPr>
        <w:t>4.5 Statistical Significance Analysis</w:t>
      </w:r>
    </w:p>
    <w:p>
      <w:pPr>
        <w:pStyle w:val="BodyText"/>
        <w:bidi w:val="0"/>
        <w:spacing w:lineRule="auto" w:line="240"/>
        <w:jc w:val="both"/>
        <w:rPr/>
      </w:pPr>
      <w:r>
        <w:rPr>
          <w:rFonts w:ascii="Times New Roman" w:hAnsi="Times New Roman"/>
        </w:rPr>
        <w:t>Using bootstrapped confidence intervals at 95% confidence level, the difference between UNet and nnU-Net was 0.0054 with p greater than 0.05, indicating no statistical significance. The difference between UNet and VNet was 0.0344 with p less than 0.05, indicating statistical significance. All differences between CNN models and transformer models were statistically significant with p less than 0.001. The CNN models (UNet, nnU-Net, VNet) form a distinct performance cluster, significantly outperforming all transformer-based architectures.</w:t>
      </w:r>
    </w:p>
    <w:p>
      <w:pPr>
        <w:pStyle w:val="Heading3"/>
        <w:numPr>
          <w:ilvl w:val="2"/>
          <w:numId w:val="1"/>
        </w:numPr>
        <w:bidi w:val="0"/>
        <w:spacing w:lineRule="auto" w:line="240"/>
        <w:ind w:hanging="0" w:start="0"/>
        <w:jc w:val="both"/>
        <w:rPr/>
      </w:pPr>
      <w:r>
        <w:rPr>
          <w:rFonts w:ascii="Times New Roman" w:hAnsi="Times New Roman"/>
        </w:rPr>
        <w:t>4.6 Discussion</w:t>
      </w:r>
    </w:p>
    <w:p>
      <w:pPr>
        <w:pStyle w:val="BodyText"/>
        <w:bidi w:val="0"/>
        <w:spacing w:lineRule="auto" w:line="240"/>
        <w:jc w:val="both"/>
        <w:rPr/>
      </w:pPr>
      <w:r>
        <w:rPr>
          <w:rFonts w:ascii="Times New Roman" w:hAnsi="Times New Roman"/>
        </w:rPr>
        <w:t>Several factors contribute to the superior performance of CNN architectures. First, CNNs have strong inductive biases including locality and translation equivariance that work well with limited medical imaging data, while transformers require massive datasets to learn these priors [11]. Second, CNNs naturally maintain high-resolution features through their hierarchical structure, whereas transformers must patchify the input, losing fine-grained spatial information. Third, CNN training is well-understood with established recipes, while transformers require careful optimisation including learning rate warmup and specific regularisation [12]. Fourth, CNNs have been refined over years for medical imaging tasks, while transformer architectures are still evolving. Fifth, with limited GPU memory of 16 GB, we had to use smaller batch sizes for transformers, potentially affecting batch normalisation statistics and gradient estimates.</w:t>
      </w:r>
    </w:p>
    <w:p>
      <w:pPr>
        <w:pStyle w:val="BodyText"/>
        <w:bidi w:val="0"/>
        <w:spacing w:lineRule="auto" w:line="240"/>
        <w:jc w:val="both"/>
        <w:rPr/>
      </w:pPr>
      <w:r>
        <w:rPr>
          <w:rFonts w:ascii="Times New Roman" w:hAnsi="Times New Roman"/>
        </w:rPr>
        <w:t>Despite nnU-Net's theoretical advantages, the standard UNet performed slightly better due to dataset suitability where BraTS 2020 volumes are already standardised with 1mm isotropic resolution and 240×240×155 dimensions, so the dataset fingerprint analysis may not provide significant gains; simpler optimisation where UNet's architecture is easier to optimise with SGD and polynomial decay schedules; and deep supervision effect where both models use deep supervision, but nnU-Net's additional decoder stage may not be beneficial for this resolution.</w:t>
      </w:r>
    </w:p>
    <w:p>
      <w:pPr>
        <w:pStyle w:val="BodyText"/>
        <w:bidi w:val="0"/>
        <w:spacing w:lineRule="auto" w:line="240"/>
        <w:jc w:val="both"/>
        <w:rPr/>
      </w:pPr>
      <w:r>
        <w:rPr>
          <w:rFonts w:ascii="Times New Roman" w:hAnsi="Times New Roman"/>
        </w:rPr>
        <w:t>VNet's efficiency stems from residual connections that enable deeper effective networks without exploding gradients, reduced channel counts of 16 → 32 → 64 → 128 versus UNet's 32 → 64 → 128 → 256, PReLU activations with learnable negative slopes that provide better gradient flow, and gradient checkpointing that trades computation for memory, allowing larger effective networks.</w:t>
      </w:r>
    </w:p>
    <w:p>
      <w:pPr>
        <w:pStyle w:val="BodyText"/>
        <w:bidi w:val="0"/>
        <w:spacing w:lineRule="auto" w:line="240"/>
        <w:jc w:val="both"/>
        <w:rPr/>
      </w:pPr>
      <w:r>
        <w:rPr>
          <w:rFonts w:ascii="Times New Roman" w:hAnsi="Times New Roman"/>
        </w:rPr>
        <w:t>The poor transformer performance can be attributed to insufficient data where 257 training cases may be inadequate for transformer pretraining, training complexity where transformer optimisation is notoriously difficult requiring learning rate warmup and longer schedules, architecture mismatch where the patch-based encoding may not be optimal for tumour segmentation where boundaries are critical, and memory constraints where reduced batch sizes (two for Swin-UNETR) likely hurt batch normalisation performance [13][14][15].</w:t>
      </w:r>
    </w:p>
    <w:p>
      <w:pPr>
        <w:pStyle w:val="Heading2"/>
        <w:numPr>
          <w:ilvl w:val="0"/>
          <w:numId w:val="0"/>
        </w:numPr>
        <w:bidi w:val="0"/>
        <w:spacing w:lineRule="auto" w:line="240"/>
        <w:ind w:hanging="0" w:start="0"/>
        <w:jc w:val="both"/>
        <w:rPr/>
      </w:pPr>
      <w:r>
        <w:rPr>
          <w:rFonts w:ascii="Times New Roman" w:hAnsi="Times New Roman"/>
        </w:rPr>
        <w:t>5. Limitations and Future Work</w:t>
      </w:r>
    </w:p>
    <w:p>
      <w:pPr>
        <w:pStyle w:val="Heading3"/>
        <w:numPr>
          <w:ilvl w:val="2"/>
          <w:numId w:val="1"/>
        </w:numPr>
        <w:bidi w:val="0"/>
        <w:spacing w:lineRule="auto" w:line="240"/>
        <w:ind w:hanging="0" w:start="0"/>
        <w:jc w:val="both"/>
        <w:rPr/>
      </w:pPr>
      <w:r>
        <w:rPr>
          <w:rFonts w:ascii="Times New Roman" w:hAnsi="Times New Roman"/>
        </w:rPr>
        <w:t>5.1 Limitations</w:t>
      </w:r>
    </w:p>
    <w:p>
      <w:pPr>
        <w:pStyle w:val="BodyText"/>
        <w:bidi w:val="0"/>
        <w:spacing w:lineRule="auto" w:line="240"/>
        <w:jc w:val="both"/>
        <w:rPr/>
      </w:pPr>
      <w:r>
        <w:rPr>
          <w:rFonts w:ascii="Times New Roman" w:hAnsi="Times New Roman"/>
        </w:rPr>
        <w:t>The dataset limitations include modest size with 257 training cases being relatively small for deep learning particularly for transformer models, single dataset where results may not generalise to other medical imaging tasks or datasets, curated data where BraTS data is preprocessed and standardised which may not reflect real-world clinical conditions, and lack of external validation with no evaluation on out-of-distribution data.</w:t>
      </w:r>
    </w:p>
    <w:p>
      <w:pPr>
        <w:pStyle w:val="BodyText"/>
        <w:bidi w:val="0"/>
        <w:spacing w:lineRule="auto" w:line="240"/>
        <w:jc w:val="both"/>
        <w:rPr/>
      </w:pPr>
      <w:r>
        <w:rPr>
          <w:rFonts w:ascii="Times New Roman" w:hAnsi="Times New Roman"/>
        </w:rPr>
        <w:t>The model limitations include fixed hyperparameters where we did not perform exhaustive hyperparameter tuning per model, limited epochs where ten epochs may be insufficient for transformer convergence, no pretraining where transformers would benefit from ImageNet or medical pretraining, and no ensemble methods where ensemble approaches could improve all models.</w:t>
      </w:r>
    </w:p>
    <w:p>
      <w:pPr>
        <w:pStyle w:val="BodyText"/>
        <w:bidi w:val="0"/>
        <w:spacing w:lineRule="auto" w:line="240"/>
        <w:jc w:val="both"/>
        <w:rPr/>
      </w:pPr>
      <w:r>
        <w:rPr>
          <w:rFonts w:ascii="Times New Roman" w:hAnsi="Times New Roman"/>
        </w:rPr>
        <w:t>The computational limitations include single run per model with no cross-validation or multiple seeds for statistical robustness, memory constraints where we could not explore larger batch sizes for transformers, and no latency benchmarking where inference speed was not systematically evaluated.</w:t>
      </w:r>
    </w:p>
    <w:p>
      <w:pPr>
        <w:pStyle w:val="BodyText"/>
        <w:bidi w:val="0"/>
        <w:spacing w:lineRule="auto" w:line="240"/>
        <w:jc w:val="both"/>
        <w:rPr/>
      </w:pPr>
      <w:r>
        <w:rPr>
          <w:rFonts w:ascii="Times New Roman" w:hAnsi="Times New Roman"/>
        </w:rPr>
        <w:t>The generalisation concerns include single resolution where only 128³ resolution was evaluated, no domain adaptation where models trained on BraTS may not generalise to other scanners, and no uncertainty quantification with no assessment of prediction confidence.</w:t>
      </w:r>
    </w:p>
    <w:p>
      <w:pPr>
        <w:pStyle w:val="Heading3"/>
        <w:numPr>
          <w:ilvl w:val="2"/>
          <w:numId w:val="1"/>
        </w:numPr>
        <w:bidi w:val="0"/>
        <w:spacing w:lineRule="auto" w:line="240"/>
        <w:ind w:hanging="0" w:start="0"/>
        <w:jc w:val="both"/>
        <w:rPr/>
      </w:pPr>
      <w:r>
        <w:rPr>
          <w:rFonts w:ascii="Times New Roman" w:hAnsi="Times New Roman"/>
        </w:rPr>
        <w:t>5.2 Future Work</w:t>
      </w:r>
    </w:p>
    <w:p>
      <w:pPr>
        <w:pStyle w:val="BodyText"/>
        <w:bidi w:val="0"/>
        <w:spacing w:lineRule="auto" w:line="240"/>
        <w:jc w:val="both"/>
        <w:rPr/>
      </w:pPr>
      <w:r>
        <w:rPr>
          <w:rFonts w:ascii="Times New Roman" w:hAnsi="Times New Roman"/>
        </w:rPr>
        <w:t>Immediate improvements should include systematic hyperparameter optimisation through grid search for each architecture, extended training with 50 to 100 epochs with proper warmup for transformers, pretraining using pretrained weights from large medical datasets, ensemble methods to combine CNN and transformer predictions, and five-fold cross-validation for robust statistics.</w:t>
      </w:r>
    </w:p>
    <w:p>
      <w:pPr>
        <w:pStyle w:val="BodyText"/>
        <w:bidi w:val="0"/>
        <w:spacing w:lineRule="auto" w:line="240"/>
        <w:jc w:val="both"/>
        <w:rPr/>
      </w:pPr>
      <w:r>
        <w:rPr>
          <w:rFonts w:ascii="Times New Roman" w:hAnsi="Times New Roman"/>
        </w:rPr>
        <w:t>Architecture innovations should include hybrid approaches that combine CNN efficiency with transformer global context, efficient transformers investigating linear attention mechanisms for 3D, multi-resolution processing at multiple resolutions simultaneously, and uncertainty-aware models adding dropout and Monte Carlo dropout for uncertainty estimates.</w:t>
      </w:r>
    </w:p>
    <w:p>
      <w:pPr>
        <w:pStyle w:val="BodyText"/>
        <w:bidi w:val="0"/>
        <w:spacing w:lineRule="auto" w:line="240"/>
        <w:jc w:val="both"/>
        <w:rPr/>
      </w:pPr>
      <w:r>
        <w:rPr>
          <w:rFonts w:ascii="Times New Roman" w:hAnsi="Times New Roman"/>
        </w:rPr>
        <w:t>Data improvements should include synthetic data generation using GANs to augment training data, multi-dataset training combining BraTS with other brain tumour datasets, domain adaptation trained on multiple centres with varying scanners, and active learning to query most informative cases for labelling.</w:t>
      </w:r>
    </w:p>
    <w:p>
      <w:pPr>
        <w:pStyle w:val="BodyText"/>
        <w:bidi w:val="0"/>
        <w:spacing w:lineRule="auto" w:line="240"/>
        <w:jc w:val="both"/>
        <w:rPr/>
      </w:pPr>
      <w:r>
        <w:rPr>
          <w:rFonts w:ascii="Times New Roman" w:hAnsi="Times New Roman"/>
        </w:rPr>
        <w:t>Clinical validation should include external validation on independent clinical datasets, user studies with radiologists for clinical utility, deployment optimisation for inference speed and memory, and interpretability visualising attention maps and feature importance.</w:t>
      </w:r>
    </w:p>
    <w:p>
      <w:pPr>
        <w:pStyle w:val="BodyText"/>
        <w:bidi w:val="0"/>
        <w:spacing w:lineRule="auto" w:line="240"/>
        <w:jc w:val="both"/>
        <w:rPr/>
      </w:pPr>
      <w:r>
        <w:rPr>
          <w:rFonts w:ascii="Times New Roman" w:hAnsi="Times New Roman"/>
        </w:rPr>
        <w:t>Advanced training techniques should include curriculum learning to gradually increase difficulty during training, self-supervised pretraining using masked autoencoding for 3D medical images, knowledge distillation to distil CNN expertise into efficient transformers, and neural architecture search to automate architecture discovery for 3D segmentation.</w:t>
      </w:r>
    </w:p>
    <w:p>
      <w:pPr>
        <w:pStyle w:val="Heading2"/>
        <w:numPr>
          <w:ilvl w:val="0"/>
          <w:numId w:val="0"/>
        </w:numPr>
        <w:bidi w:val="0"/>
        <w:spacing w:lineRule="auto" w:line="240"/>
        <w:ind w:hanging="0" w:start="0"/>
        <w:jc w:val="both"/>
        <w:rPr/>
      </w:pPr>
      <w:r>
        <w:rPr>
          <w:rFonts w:ascii="Times New Roman" w:hAnsi="Times New Roman"/>
        </w:rPr>
        <w:t>6. Ethical Implications</w:t>
      </w:r>
    </w:p>
    <w:p>
      <w:pPr>
        <w:pStyle w:val="Heading3"/>
        <w:numPr>
          <w:ilvl w:val="2"/>
          <w:numId w:val="1"/>
        </w:numPr>
        <w:bidi w:val="0"/>
        <w:spacing w:lineRule="auto" w:line="240"/>
        <w:ind w:hanging="0" w:start="0"/>
        <w:jc w:val="both"/>
        <w:rPr/>
      </w:pPr>
      <w:r>
        <w:rPr>
          <w:rFonts w:ascii="Times New Roman" w:hAnsi="Times New Roman"/>
        </w:rPr>
        <w:t>6.1 Clinical Deployment Risks</w:t>
      </w:r>
    </w:p>
    <w:p>
      <w:pPr>
        <w:pStyle w:val="BodyText"/>
        <w:bidi w:val="0"/>
        <w:spacing w:lineRule="auto" w:line="240"/>
        <w:jc w:val="both"/>
        <w:rPr/>
      </w:pPr>
      <w:r>
        <w:rPr>
          <w:rFonts w:ascii="Times New Roman" w:hAnsi="Times New Roman"/>
        </w:rPr>
        <w:t>Clinical deployment risks include over-reliance where AI predictions should supplement rather than replace radiologist judgment, false negatives where missing tumour regions could delay treatment, false positives where over-segmentation could lead to unnecessary interventions, and bias where models trained on predominantly HGG cases may underperform on LGG cases.</w:t>
      </w:r>
    </w:p>
    <w:p>
      <w:pPr>
        <w:pStyle w:val="Heading3"/>
        <w:numPr>
          <w:ilvl w:val="2"/>
          <w:numId w:val="1"/>
        </w:numPr>
        <w:bidi w:val="0"/>
        <w:spacing w:lineRule="auto" w:line="240"/>
        <w:ind w:hanging="0" w:start="0"/>
        <w:jc w:val="both"/>
        <w:rPr/>
      </w:pPr>
      <w:r>
        <w:rPr>
          <w:rFonts w:ascii="Times New Roman" w:hAnsi="Times New Roman"/>
        </w:rPr>
        <w:t>6.2 Fairness and Bias</w:t>
      </w:r>
    </w:p>
    <w:p>
      <w:pPr>
        <w:pStyle w:val="BodyText"/>
        <w:bidi w:val="0"/>
        <w:spacing w:lineRule="auto" w:line="240"/>
        <w:jc w:val="both"/>
        <w:rPr/>
      </w:pPr>
      <w:r>
        <w:rPr>
          <w:rFonts w:ascii="Times New Roman" w:hAnsi="Times New Roman"/>
        </w:rPr>
        <w:t>Fairness and bias considerations include demographic representation where BraTS data lacks diversity in age, gender, and ethnicity; geographic bias where data primarily originates from North American and European institutions; socioeconomic factors where models may not generalise to low-resource settings with different imaging protocols; and label bias where segmentation masks reflect individual annotator's expertise.</w:t>
      </w:r>
    </w:p>
    <w:p>
      <w:pPr>
        <w:pStyle w:val="Heading3"/>
        <w:numPr>
          <w:ilvl w:val="2"/>
          <w:numId w:val="1"/>
        </w:numPr>
        <w:bidi w:val="0"/>
        <w:spacing w:lineRule="auto" w:line="240"/>
        <w:ind w:hanging="0" w:start="0"/>
        <w:jc w:val="both"/>
        <w:rPr/>
      </w:pPr>
      <w:r>
        <w:rPr>
          <w:rFonts w:ascii="Times New Roman" w:hAnsi="Times New Roman"/>
        </w:rPr>
        <w:t>6.3 Responsible Deployment Guidelines</w:t>
      </w:r>
    </w:p>
    <w:p>
      <w:pPr>
        <w:pStyle w:val="BodyText"/>
        <w:bidi w:val="0"/>
        <w:spacing w:lineRule="auto" w:line="240"/>
        <w:jc w:val="both"/>
        <w:rPr/>
      </w:pPr>
      <w:r>
        <w:rPr>
          <w:rFonts w:ascii="Times New Roman" w:hAnsi="Times New Roman"/>
        </w:rPr>
        <w:t>Responsible deployment guidelines require human-in-the-loop with always requiring radiologist review of AI predictions, continuous monitoring to track model performance on new data over time, explainability providing attention maps or uncertainty estimates with predictions, regulatory compliance adhering to FDA and CE marking requirements, and data privacy ensuring patient data protection per HIPAA and GDPR standards.</w:t>
      </w:r>
    </w:p>
    <w:p>
      <w:pPr>
        <w:pStyle w:val="Heading3"/>
        <w:numPr>
          <w:ilvl w:val="2"/>
          <w:numId w:val="1"/>
        </w:numPr>
        <w:bidi w:val="0"/>
        <w:spacing w:lineRule="auto" w:line="240"/>
        <w:ind w:hanging="0" w:start="0"/>
        <w:jc w:val="both"/>
        <w:rPr/>
      </w:pPr>
      <w:r>
        <w:rPr>
          <w:rFonts w:ascii="Times New Roman" w:hAnsi="Times New Roman"/>
        </w:rPr>
        <w:t>6.4 Potential Misuse</w:t>
      </w:r>
    </w:p>
    <w:p>
      <w:pPr>
        <w:pStyle w:val="BodyText"/>
        <w:bidi w:val="0"/>
        <w:spacing w:lineRule="auto" w:line="240"/>
        <w:jc w:val="both"/>
        <w:rPr/>
      </w:pPr>
      <w:r>
        <w:rPr>
          <w:rFonts w:ascii="Times New Roman" w:hAnsi="Times New Roman"/>
        </w:rPr>
        <w:t>Potential misuse includes autonomous diagnosis where the system should not be used for diagnosis without clinical oversight, treatment decisions where predictions should not dictate treatment without clinical validation, and research reproducibility where full code release enables replication but also potential misuse.</w:t>
      </w:r>
    </w:p>
    <w:p>
      <w:pPr>
        <w:pStyle w:val="Heading2"/>
        <w:numPr>
          <w:ilvl w:val="0"/>
          <w:numId w:val="0"/>
        </w:numPr>
        <w:bidi w:val="0"/>
        <w:spacing w:lineRule="auto" w:line="240"/>
        <w:ind w:hanging="0" w:start="0"/>
        <w:jc w:val="both"/>
        <w:rPr/>
      </w:pPr>
      <w:r>
        <w:rPr>
          <w:rFonts w:ascii="Times New Roman" w:hAnsi="Times New Roman"/>
        </w:rPr>
        <w:t>7. Conclusion</w:t>
      </w:r>
    </w:p>
    <w:p>
      <w:pPr>
        <w:pStyle w:val="Heading3"/>
        <w:numPr>
          <w:ilvl w:val="2"/>
          <w:numId w:val="1"/>
        </w:numPr>
        <w:bidi w:val="0"/>
        <w:spacing w:lineRule="auto" w:line="240"/>
        <w:ind w:hanging="0" w:start="0"/>
        <w:jc w:val="both"/>
        <w:rPr/>
      </w:pPr>
      <w:r>
        <w:rPr>
          <w:rFonts w:ascii="Times New Roman" w:hAnsi="Times New Roman"/>
        </w:rPr>
        <w:t>7.1 Summary of Contributions</w:t>
      </w:r>
    </w:p>
    <w:p>
      <w:pPr>
        <w:pStyle w:val="BodyText"/>
        <w:bidi w:val="0"/>
        <w:spacing w:lineRule="auto" w:line="240"/>
        <w:jc w:val="both"/>
        <w:rPr/>
      </w:pPr>
      <w:r>
        <w:rPr>
          <w:rFonts w:ascii="Times New Roman" w:hAnsi="Times New Roman"/>
        </w:rPr>
        <w:t>This study provides the first comprehensive, controlled comparison of six major 3D segmentation architectures on the BraTS 2020 dataset. Key contributions include fair implementation with all models implemented from scratch in PyTorch with identical preprocessing, data splits, and evaluation protocols; comprehensive metrics including performance, computational cost, and efficiency comparisons; reproducible research with complete notebooks and configuration files provided; and practical insights for architecture selection based on constraints.</w:t>
      </w:r>
    </w:p>
    <w:p>
      <w:pPr>
        <w:pStyle w:val="Heading3"/>
        <w:numPr>
          <w:ilvl w:val="2"/>
          <w:numId w:val="1"/>
        </w:numPr>
        <w:bidi w:val="0"/>
        <w:spacing w:lineRule="auto" w:line="240"/>
        <w:ind w:hanging="0" w:start="0"/>
        <w:jc w:val="both"/>
        <w:rPr/>
      </w:pPr>
      <w:r>
        <w:rPr>
          <w:rFonts w:ascii="Times New Roman" w:hAnsi="Times New Roman"/>
        </w:rPr>
        <w:t>7.2 Main Findings</w:t>
      </w:r>
    </w:p>
    <w:p>
      <w:pPr>
        <w:pStyle w:val="BodyText"/>
        <w:bidi w:val="0"/>
        <w:spacing w:lineRule="auto" w:line="240"/>
        <w:jc w:val="both"/>
        <w:rPr/>
      </w:pPr>
      <w:r>
        <w:rPr>
          <w:rFonts w:ascii="Times New Roman" w:hAnsi="Times New Roman"/>
        </w:rPr>
        <w:t>The main findings are that CNN models (UNet, nnU-Net, VNet) significantly outperform transformer architectures on the BraTS 2020 dataset with limited training data; VNet offers exceptional efficiency achieving 76.5% of UNet's performance with 25% of its parameters; UNet remains the gold standard achieving the highest mean Dice score of 0.7999; transformer models underperform due to data requirements, training complexity, and architectural mismatches; and parameter count is not predictive of performance as evidenced by UNETR with 137.6 million parameters achieving 0.6234 mean Dice while VNet with 1.4 million parameters achieves 0.7655 mean Dice.</w:t>
      </w:r>
    </w:p>
    <w:p>
      <w:pPr>
        <w:pStyle w:val="Heading3"/>
        <w:numPr>
          <w:ilvl w:val="2"/>
          <w:numId w:val="1"/>
        </w:numPr>
        <w:bidi w:val="0"/>
        <w:spacing w:lineRule="auto" w:line="240"/>
        <w:ind w:hanging="0" w:start="0"/>
        <w:jc w:val="both"/>
        <w:rPr/>
      </w:pPr>
      <w:r>
        <w:rPr>
          <w:rFonts w:ascii="Times New Roman" w:hAnsi="Times New Roman"/>
        </w:rPr>
        <w:t>7.3 Practical Recommendations</w:t>
      </w:r>
    </w:p>
    <w:p>
      <w:pPr>
        <w:pStyle w:val="BodyText"/>
        <w:bidi w:val="0"/>
        <w:spacing w:lineRule="auto" w:line="240"/>
        <w:jc w:val="both"/>
        <w:rPr/>
      </w:pPr>
      <w:r>
        <w:rPr>
          <w:rFonts w:ascii="Times New Roman" w:hAnsi="Times New Roman"/>
        </w:rPr>
        <w:t>For highest accuracy, UNet is recommended due to best overall performance. For limited compute, VNet is recommended due to best efficiency and fast training. For memory constrained environments, VNet is recommended due to smallest memory footprint. For time constrained applications, VNet is recommended due to fastest training convergence. For large datasets exceeding 1000 cases, Swin-UNETR is recommended for better scaling with data. For clinical deployment, VNet is recommended for balanced accuracy and efficiency.</w:t>
      </w:r>
    </w:p>
    <w:p>
      <w:pPr>
        <w:pStyle w:val="Heading3"/>
        <w:numPr>
          <w:ilvl w:val="2"/>
          <w:numId w:val="1"/>
        </w:numPr>
        <w:bidi w:val="0"/>
        <w:spacing w:lineRule="auto" w:line="240"/>
        <w:ind w:hanging="0" w:start="0"/>
        <w:jc w:val="both"/>
        <w:rPr/>
      </w:pPr>
      <w:r>
        <w:rPr>
          <w:rFonts w:ascii="Times New Roman" w:hAnsi="Times New Roman"/>
        </w:rPr>
        <w:t>7.4 Final Remarks</w:t>
      </w:r>
    </w:p>
    <w:p>
      <w:pPr>
        <w:pStyle w:val="BodyText"/>
        <w:bidi w:val="0"/>
        <w:spacing w:lineRule="auto" w:line="240"/>
        <w:jc w:val="both"/>
        <w:rPr/>
      </w:pPr>
      <w:r>
        <w:rPr>
          <w:rFonts w:ascii="Times New Roman" w:hAnsi="Times New Roman"/>
        </w:rPr>
        <w:t>The quest for increasingly complex architectures must be balanced against practical considerations of data availability, computational resources, and deployment constraints. While transformer-based architectures hold theoretical promise, their practical benefits remain unproven for modest-sized medical imaging datasets. Future work should focus on making transformers more data-efficient, exploring hybrid approaches, and rigorous validation on real-world clinical data. The medical imaging community must prioritise reproducibility and fair comparison to advance the field meaningfully.</w:t>
      </w:r>
    </w:p>
    <w:p>
      <w:pPr>
        <w:pStyle w:val="Heading2"/>
        <w:numPr>
          <w:ilvl w:val="1"/>
          <w:numId w:val="1"/>
        </w:numPr>
        <w:spacing w:lineRule="auto" w:line="240"/>
        <w:ind w:hanging="0" w:start="0"/>
        <w:jc w:val="both"/>
        <w:rPr/>
      </w:pPr>
      <w:r>
        <w:rPr>
          <w:rFonts w:ascii="Times New Roman" w:hAnsi="Times New Roman"/>
        </w:rPr>
        <w:t>References</w:t>
      </w:r>
    </w:p>
    <w:p>
      <w:pPr>
        <w:pStyle w:val="BodyText"/>
        <w:spacing w:lineRule="auto" w:line="240"/>
        <w:jc w:val="both"/>
        <w:rPr/>
      </w:pPr>
      <w:r>
        <w:rPr>
          <w:rFonts w:ascii="Times New Roman" w:hAnsi="Times New Roman"/>
        </w:rPr>
        <w:t xml:space="preserve">[1] O. Ronneberger, P. Fischer, and T. Brox, "U-Net: Convolutional networks for biomedical image segmentation," in </w:t>
      </w:r>
      <w:r>
        <w:rPr>
          <w:rFonts w:ascii="Times New Roman" w:hAnsi="Times New Roman"/>
          <w:i/>
        </w:rPr>
        <w:t>Proc. Int. Conf. Medical Image Computing and Computer-Assisted Intervention (MICCAI)</w:t>
      </w:r>
      <w:r>
        <w:rPr>
          <w:rFonts w:ascii="Times New Roman" w:hAnsi="Times New Roman"/>
        </w:rPr>
        <w:t>, 2015, pp. 234-241.</w:t>
      </w:r>
    </w:p>
    <w:p>
      <w:pPr>
        <w:pStyle w:val="BodyText"/>
        <w:spacing w:lineRule="auto" w:line="240"/>
        <w:jc w:val="both"/>
        <w:rPr/>
      </w:pPr>
      <w:r>
        <w:rPr>
          <w:rFonts w:ascii="Times New Roman" w:hAnsi="Times New Roman"/>
        </w:rPr>
        <w:t xml:space="preserve">[2] B. H. Menze et al., "The multimodal brain tumor image segmentation benchmark (BRATS)," </w:t>
      </w:r>
      <w:r>
        <w:rPr>
          <w:rFonts w:ascii="Times New Roman" w:hAnsi="Times New Roman"/>
          <w:i/>
        </w:rPr>
        <w:t>IEEE Trans. Medical Imaging</w:t>
      </w:r>
      <w:r>
        <w:rPr>
          <w:rFonts w:ascii="Times New Roman" w:hAnsi="Times New Roman"/>
        </w:rPr>
        <w:t>, vol. 34, no. 10, pp. 1993-2024, 2015.</w:t>
      </w:r>
    </w:p>
    <w:p>
      <w:pPr>
        <w:pStyle w:val="BodyText"/>
        <w:spacing w:lineRule="auto" w:line="240"/>
        <w:jc w:val="both"/>
        <w:rPr/>
      </w:pPr>
      <w:r>
        <w:rPr>
          <w:rFonts w:ascii="Times New Roman" w:hAnsi="Times New Roman"/>
        </w:rPr>
        <w:t xml:space="preserve">[3] Ö. Çiçek, A. Abdulkadir, S. S. Lienkamp, T. Brox, and O. Ronneberger, "3D U-Net: Learning dense volumetric segmentation from sparse annotation," in </w:t>
      </w:r>
      <w:r>
        <w:rPr>
          <w:rFonts w:ascii="Times New Roman" w:hAnsi="Times New Roman"/>
          <w:i/>
        </w:rPr>
        <w:t>Proc. Int. Conf. Medical Image Computing and Computer-Assisted Intervention (MICCAI)</w:t>
      </w:r>
      <w:r>
        <w:rPr>
          <w:rFonts w:ascii="Times New Roman" w:hAnsi="Times New Roman"/>
        </w:rPr>
        <w:t>, 2016, pp. 424-432.</w:t>
      </w:r>
    </w:p>
    <w:p>
      <w:pPr>
        <w:pStyle w:val="BodyText"/>
        <w:spacing w:lineRule="auto" w:line="240"/>
        <w:jc w:val="both"/>
        <w:rPr/>
      </w:pPr>
      <w:r>
        <w:rPr>
          <w:rFonts w:ascii="Times New Roman" w:hAnsi="Times New Roman"/>
        </w:rPr>
        <w:t xml:space="preserve">[4] F. Milletari, N. Navab, and S. A. Ahmadi, "V-Net: Fully convolutional neural networks for volumetric medical image segmentation," in </w:t>
      </w:r>
      <w:r>
        <w:rPr>
          <w:rFonts w:ascii="Times New Roman" w:hAnsi="Times New Roman"/>
          <w:i/>
        </w:rPr>
        <w:t>Proc. Int. Conf. 3D Vision (3DV)</w:t>
      </w:r>
      <w:r>
        <w:rPr>
          <w:rFonts w:ascii="Times New Roman" w:hAnsi="Times New Roman"/>
        </w:rPr>
        <w:t>, 2016, pp. 565-571.</w:t>
      </w:r>
    </w:p>
    <w:p>
      <w:pPr>
        <w:pStyle w:val="BodyText"/>
        <w:spacing w:lineRule="auto" w:line="240"/>
        <w:jc w:val="both"/>
        <w:rPr/>
      </w:pPr>
      <w:r>
        <w:rPr>
          <w:rFonts w:ascii="Times New Roman" w:hAnsi="Times New Roman"/>
        </w:rPr>
        <w:t xml:space="preserve">[5] S. Bakas et al., "Advancing The Cancer Genome Atlas glioma MRI collections with expert segmentation labels and radiomic features," </w:t>
      </w:r>
      <w:r>
        <w:rPr>
          <w:rFonts w:ascii="Times New Roman" w:hAnsi="Times New Roman"/>
          <w:i/>
        </w:rPr>
        <w:t>Scientific Data</w:t>
      </w:r>
      <w:r>
        <w:rPr>
          <w:rFonts w:ascii="Times New Roman" w:hAnsi="Times New Roman"/>
        </w:rPr>
        <w:t>, vol. 4, no. 1, pp. 1-13, 2017.</w:t>
      </w:r>
    </w:p>
    <w:p>
      <w:pPr>
        <w:pStyle w:val="BodyText"/>
        <w:spacing w:lineRule="auto" w:line="240"/>
        <w:jc w:val="both"/>
        <w:rPr/>
      </w:pPr>
      <w:r>
        <w:rPr>
          <w:rFonts w:ascii="Times New Roman" w:hAnsi="Times New Roman"/>
        </w:rPr>
        <w:t xml:space="preserve">[6] N. Carion, F. Massa, G. Synnaeve, N. Usunier, A. Kirillov, and S. Zagoruyko, "End-to-end object detection with transformers," in </w:t>
      </w:r>
      <w:r>
        <w:rPr>
          <w:rFonts w:ascii="Times New Roman" w:hAnsi="Times New Roman"/>
          <w:i/>
        </w:rPr>
        <w:t>Proc. European Conf. Computer Vision (ECCV)</w:t>
      </w:r>
      <w:r>
        <w:rPr>
          <w:rFonts w:ascii="Times New Roman" w:hAnsi="Times New Roman"/>
        </w:rPr>
        <w:t>, 2020, pp. 213-229.</w:t>
      </w:r>
    </w:p>
    <w:p>
      <w:pPr>
        <w:pStyle w:val="BodyText"/>
        <w:spacing w:lineRule="auto" w:line="240"/>
        <w:jc w:val="both"/>
        <w:rPr/>
      </w:pPr>
      <w:r>
        <w:rPr>
          <w:rFonts w:ascii="Times New Roman" w:hAnsi="Times New Roman"/>
        </w:rPr>
        <w:t xml:space="preserve">[7] F. Isensee, P. F. Jaeger, S. A. Kohl, J. Petersen, and K. H. Maier-Hein, "nnU-Net: A self-configuring method for deep learning-based biomedical image segmentation," </w:t>
      </w:r>
      <w:r>
        <w:rPr>
          <w:rFonts w:ascii="Times New Roman" w:hAnsi="Times New Roman"/>
          <w:i/>
        </w:rPr>
        <w:t>Nature Methods</w:t>
      </w:r>
      <w:r>
        <w:rPr>
          <w:rFonts w:ascii="Times New Roman" w:hAnsi="Times New Roman"/>
        </w:rPr>
        <w:t>, vol. 18, no. 2, pp. 203-211, 2021.</w:t>
      </w:r>
    </w:p>
    <w:p>
      <w:pPr>
        <w:pStyle w:val="BodyText"/>
        <w:spacing w:lineRule="auto" w:line="240"/>
        <w:jc w:val="both"/>
        <w:rPr/>
      </w:pPr>
      <w:r>
        <w:rPr>
          <w:rFonts w:ascii="Times New Roman" w:hAnsi="Times New Roman"/>
        </w:rPr>
        <w:t xml:space="preserve">[8] A. Dosovitskiy et al., "An image is worth 16x16 words: Transformers for image recognition at scale," in </w:t>
      </w:r>
      <w:r>
        <w:rPr>
          <w:rFonts w:ascii="Times New Roman" w:hAnsi="Times New Roman"/>
          <w:i/>
        </w:rPr>
        <w:t>Proc. Int. Conf. Learning Representations (ICLR)</w:t>
      </w:r>
      <w:r>
        <w:rPr>
          <w:rFonts w:ascii="Times New Roman" w:hAnsi="Times New Roman"/>
        </w:rPr>
        <w:t>, 2021.</w:t>
      </w:r>
    </w:p>
    <w:p>
      <w:pPr>
        <w:pStyle w:val="BodyText"/>
        <w:spacing w:lineRule="auto" w:line="240"/>
        <w:jc w:val="both"/>
        <w:rPr/>
      </w:pPr>
      <w:r>
        <w:rPr>
          <w:rFonts w:ascii="Times New Roman" w:hAnsi="Times New Roman"/>
        </w:rPr>
        <w:t xml:space="preserve">[9] W. Wang, C. Chen, M. Ding, H. Yu, S. Zha, and J. Li, "TransBTS: Multimodal brain tumor segmentation using transformer," in </w:t>
      </w:r>
      <w:r>
        <w:rPr>
          <w:rFonts w:ascii="Times New Roman" w:hAnsi="Times New Roman"/>
          <w:i/>
        </w:rPr>
        <w:t>Proc. Int. Conf. Medical Image Computing and Computer-Assisted Intervention (MICCAI)</w:t>
      </w:r>
      <w:r>
        <w:rPr>
          <w:rFonts w:ascii="Times New Roman" w:hAnsi="Times New Roman"/>
        </w:rPr>
        <w:t>, 2021, pp. 109-119.</w:t>
      </w:r>
    </w:p>
    <w:p>
      <w:pPr>
        <w:pStyle w:val="BodyText"/>
        <w:spacing w:lineRule="auto" w:line="240"/>
        <w:jc w:val="both"/>
        <w:rPr/>
      </w:pPr>
      <w:r>
        <w:rPr>
          <w:rFonts w:ascii="Times New Roman" w:hAnsi="Times New Roman"/>
        </w:rPr>
        <w:t xml:space="preserve">[10] J. Chen, Y. Lu, Q. Yu, X. Luo, E. Adeli, Y. Wang, and Y. Zhou, "TransUNet: Transformers make strong encoders for medical image segmentation," </w:t>
      </w:r>
      <w:r>
        <w:rPr>
          <w:rFonts w:ascii="Times New Roman" w:hAnsi="Times New Roman"/>
          <w:i/>
        </w:rPr>
        <w:t>arXiv preprint arXiv:2102.04306</w:t>
      </w:r>
      <w:r>
        <w:rPr>
          <w:rFonts w:ascii="Times New Roman" w:hAnsi="Times New Roman"/>
        </w:rPr>
        <w:t>, 2021.</w:t>
      </w:r>
    </w:p>
    <w:p>
      <w:pPr>
        <w:pStyle w:val="BodyText"/>
        <w:spacing w:lineRule="auto" w:line="240"/>
        <w:jc w:val="both"/>
        <w:rPr/>
      </w:pPr>
      <w:r>
        <w:rPr>
          <w:rFonts w:ascii="Times New Roman" w:hAnsi="Times New Roman"/>
        </w:rPr>
        <w:t xml:space="preserve">[11] J. M. J. Valanarasu, P. Oza, I. Hacihaliloglu, and V. M. Patel, "Medical transformer: Gated axial-attention for medical image segmentation," in </w:t>
      </w:r>
      <w:r>
        <w:rPr>
          <w:rFonts w:ascii="Times New Roman" w:hAnsi="Times New Roman"/>
          <w:i/>
        </w:rPr>
        <w:t>Proc. Int. Conf. Medical Image Computing and Computer-Assisted Intervention (MICCAI)</w:t>
      </w:r>
      <w:r>
        <w:rPr>
          <w:rFonts w:ascii="Times New Roman" w:hAnsi="Times New Roman"/>
        </w:rPr>
        <w:t>, 2021, pp. 36-46.</w:t>
      </w:r>
    </w:p>
    <w:p>
      <w:pPr>
        <w:pStyle w:val="BodyText"/>
        <w:spacing w:lineRule="auto" w:line="240"/>
        <w:jc w:val="both"/>
        <w:rPr/>
      </w:pPr>
      <w:r>
        <w:rPr>
          <w:rFonts w:ascii="Times New Roman" w:hAnsi="Times New Roman"/>
        </w:rPr>
        <w:t xml:space="preserve">[12] H. Cao, Y. Wang, J. Chen, D. Jiang, X. Zhang, Q. Tian, and M. Wang, "Swin-Unet: Unet-like pure transformer for medical image segmentation," </w:t>
      </w:r>
      <w:r>
        <w:rPr>
          <w:rFonts w:ascii="Times New Roman" w:hAnsi="Times New Roman"/>
          <w:i/>
        </w:rPr>
        <w:t>arXiv preprint arXiv:2105.05537</w:t>
      </w:r>
      <w:r>
        <w:rPr>
          <w:rFonts w:ascii="Times New Roman" w:hAnsi="Times New Roman"/>
        </w:rPr>
        <w:t>, 2021.</w:t>
      </w:r>
    </w:p>
    <w:p>
      <w:pPr>
        <w:pStyle w:val="BodyText"/>
        <w:spacing w:lineRule="auto" w:line="240"/>
        <w:jc w:val="both"/>
        <w:rPr/>
      </w:pPr>
      <w:r>
        <w:rPr>
          <w:rFonts w:ascii="Times New Roman" w:hAnsi="Times New Roman"/>
        </w:rPr>
        <w:t xml:space="preserve">[13] H. Touvron, M. Cord, M. Douze, F. Massa, A. Sablayrolles, and H. Jégou, "Training data-efficient image transformers &amp; distillation through attention," in </w:t>
      </w:r>
      <w:r>
        <w:rPr>
          <w:rFonts w:ascii="Times New Roman" w:hAnsi="Times New Roman"/>
          <w:i/>
        </w:rPr>
        <w:t>Proc. Int. Conf. Machine Learning (ICML)</w:t>
      </w:r>
      <w:r>
        <w:rPr>
          <w:rFonts w:ascii="Times New Roman" w:hAnsi="Times New Roman"/>
        </w:rPr>
        <w:t>, 2021, pp. 10347-10357.</w:t>
      </w:r>
    </w:p>
    <w:p>
      <w:pPr>
        <w:pStyle w:val="BodyText"/>
        <w:spacing w:lineRule="auto" w:line="240"/>
        <w:jc w:val="both"/>
        <w:rPr/>
      </w:pPr>
      <w:r>
        <w:rPr>
          <w:rFonts w:ascii="Times New Roman" w:hAnsi="Times New Roman"/>
        </w:rPr>
        <w:t xml:space="preserve">[14] A. Hatamizadeh et al., "UNETR: Transformers for 3D medical image segmentation," in </w:t>
      </w:r>
      <w:r>
        <w:rPr>
          <w:rFonts w:ascii="Times New Roman" w:hAnsi="Times New Roman"/>
          <w:i/>
        </w:rPr>
        <w:t>Proc. IEEE/CVF Winter Conf. Applications of Computer Vision (WACV)</w:t>
      </w:r>
      <w:r>
        <w:rPr>
          <w:rFonts w:ascii="Times New Roman" w:hAnsi="Times New Roman"/>
        </w:rPr>
        <w:t>, 2022, pp. 574-584.</w:t>
      </w:r>
    </w:p>
    <w:p>
      <w:pPr>
        <w:pStyle w:val="BodyText"/>
        <w:spacing w:lineRule="auto" w:line="240"/>
        <w:jc w:val="both"/>
        <w:rPr/>
      </w:pPr>
      <w:r>
        <w:rPr>
          <w:rFonts w:ascii="Times New Roman" w:hAnsi="Times New Roman"/>
        </w:rPr>
        <w:t xml:space="preserve">[15] A. Hatamizadeh, V. Nath, Y. Tang, D. Yang, A. Myronenko, H. R. Roth, and D. Xu, "Swin UNETR: Swin transformers for semantic segmentation of brain tumors in MRI images," in </w:t>
      </w:r>
      <w:r>
        <w:rPr>
          <w:rFonts w:ascii="Times New Roman" w:hAnsi="Times New Roman"/>
          <w:i/>
        </w:rPr>
        <w:t>Proc. Int. Conf. Medical Image Computing and Computer-Assisted Intervention (MICCAI)</w:t>
      </w:r>
      <w:r>
        <w:rPr>
          <w:rFonts w:ascii="Times New Roman" w:hAnsi="Times New Roman"/>
        </w:rPr>
        <w:t>, 2022, pp. 272-284.</w:t>
      </w:r>
    </w:p>
    <w:p>
      <w:pPr>
        <w:pStyle w:val="Heading2"/>
        <w:numPr>
          <w:ilvl w:val="0"/>
          <w:numId w:val="0"/>
        </w:numPr>
        <w:bidi w:val="0"/>
        <w:spacing w:lineRule="auto" w:line="240"/>
        <w:ind w:hanging="0" w:start="0"/>
        <w:jc w:val="both"/>
        <w:rPr/>
      </w:pPr>
      <w:r>
        <w:rPr>
          <w:rFonts w:ascii="Times New Roman" w:hAnsi="Times New Roman"/>
        </w:rPr>
        <w:t>Appendices</w:t>
      </w:r>
    </w:p>
    <w:p>
      <w:pPr>
        <w:pStyle w:val="Heading3"/>
        <w:numPr>
          <w:ilvl w:val="2"/>
          <w:numId w:val="1"/>
        </w:numPr>
        <w:bidi w:val="0"/>
        <w:spacing w:lineRule="auto" w:line="240"/>
        <w:ind w:hanging="0" w:start="0"/>
        <w:jc w:val="both"/>
        <w:rPr/>
      </w:pPr>
      <w:r>
        <w:rPr>
          <w:rFonts w:ascii="Times New Roman" w:hAnsi="Times New Roman"/>
        </w:rPr>
        <w:t>Appendix A: Complete Code Repository</w:t>
      </w:r>
    </w:p>
    <w:p>
      <w:pPr>
        <w:pStyle w:val="BodyText"/>
        <w:bidi w:val="0"/>
        <w:spacing w:lineRule="auto" w:line="240" w:before="0" w:after="140"/>
        <w:jc w:val="both"/>
        <w:rPr/>
      </w:pPr>
      <w:r>
        <w:rPr>
          <w:rFonts w:ascii="Times New Roman" w:hAnsi="Times New Roman"/>
        </w:rPr>
        <w:t xml:space="preserve">The complete code for all experiments, including data preprocessing, model training, and evaluation, is available at: </w:t>
      </w:r>
      <w:hyperlink r:id="rId5">
        <w:r>
          <w:rPr>
            <w:rStyle w:val="Hyperlink"/>
            <w:rFonts w:ascii="Times New Roman" w:hAnsi="Times New Roman"/>
          </w:rPr>
          <w:t>https://github.com/parthmital/NeuroScan-AI</w:t>
        </w:r>
      </w:hyperlink>
      <w:r>
        <w:rPr>
          <w:rFonts w:ascii="Times New Roman" w:hAnsi="Times New Roman"/>
        </w:rPr>
        <w:t>.</w:t>
      </w:r>
    </w:p>
    <w:p>
      <w:pPr>
        <w:pStyle w:val="Heading3"/>
        <w:numPr>
          <w:ilvl w:val="2"/>
          <w:numId w:val="1"/>
        </w:numPr>
        <w:bidi w:val="0"/>
        <w:spacing w:lineRule="auto" w:line="240"/>
        <w:ind w:hanging="0" w:start="0"/>
        <w:jc w:val="both"/>
        <w:rPr/>
      </w:pPr>
      <w:r>
        <w:rPr>
          <w:rFonts w:ascii="Times New Roman" w:hAnsi="Times New Roman"/>
        </w:rPr>
        <w:t>Appendix B: Hyperparameter Details</w:t>
      </w:r>
    </w:p>
    <w:p>
      <w:pPr>
        <w:pStyle w:val="BodyText"/>
        <w:bidi w:val="0"/>
        <w:spacing w:lineRule="auto" w:line="240"/>
        <w:jc w:val="both"/>
        <w:rPr/>
      </w:pPr>
      <w:r>
        <w:rPr>
          <w:rFonts w:ascii="Times New Roman" w:hAnsi="Times New Roman"/>
        </w:rPr>
        <w:t>Table 7 presents the complete hyperparameter configuration for all models.</w:t>
      </w:r>
    </w:p>
    <w:p>
      <w:pPr>
        <w:pStyle w:val="BodyText"/>
        <w:bidi w:val="0"/>
        <w:spacing w:lineRule="auto" w:line="240"/>
        <w:jc w:val="both"/>
        <w:rPr/>
      </w:pPr>
      <w:r>
        <w:rPr>
          <w:rFonts w:ascii="Times New Roman" w:hAnsi="Times New Roman"/>
          <w:b/>
        </w:rPr>
        <w:t>Table 7: Hyperparameter configuration by model</w:t>
      </w:r>
    </w:p>
    <w:tbl>
      <w:tblPr>
        <w:tblW w:w="5000" w:type="pct"/>
        <w:jc w:val="start"/>
        <w:tblInd w:w="-5" w:type="dxa"/>
        <w:tblLayout w:type="fixed"/>
        <w:tblCellMar>
          <w:top w:w="55" w:type="dxa"/>
          <w:start w:w="55" w:type="dxa"/>
          <w:bottom w:w="55" w:type="dxa"/>
          <w:end w:w="55" w:type="dxa"/>
        </w:tblCellMar>
      </w:tblPr>
      <w:tblGrid>
        <w:gridCol w:w="1506"/>
        <w:gridCol w:w="1615"/>
        <w:gridCol w:w="1210"/>
        <w:gridCol w:w="1181"/>
        <w:gridCol w:w="1243"/>
        <w:gridCol w:w="1551"/>
        <w:gridCol w:w="1332"/>
      </w:tblGrid>
      <w:tr>
        <w:trPr>
          <w:tblHeader w:val="true"/>
        </w:trPr>
        <w:tc>
          <w:tcPr>
            <w:tcW w:w="1506"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Model</w:t>
            </w:r>
          </w:p>
        </w:tc>
        <w:tc>
          <w:tcPr>
            <w:tcW w:w="1615"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Learning Rate</w:t>
            </w:r>
          </w:p>
        </w:tc>
        <w:tc>
          <w:tcPr>
            <w:tcW w:w="1210"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Batch Size</w:t>
            </w:r>
          </w:p>
        </w:tc>
        <w:tc>
          <w:tcPr>
            <w:tcW w:w="1181"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Optimizer</w:t>
            </w:r>
          </w:p>
        </w:tc>
        <w:tc>
          <w:tcPr>
            <w:tcW w:w="1243"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Scheduler</w:t>
            </w:r>
          </w:p>
        </w:tc>
        <w:tc>
          <w:tcPr>
            <w:tcW w:w="1551"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Weight Decay</w:t>
            </w:r>
          </w:p>
        </w:tc>
        <w:tc>
          <w:tcPr>
            <w:tcW w:w="1332"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Momentum</w:t>
            </w:r>
          </w:p>
        </w:tc>
      </w:tr>
      <w:tr>
        <w:trPr/>
        <w:tc>
          <w:tcPr>
            <w:tcW w:w="15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w:t>
            </w:r>
          </w:p>
        </w:tc>
        <w:tc>
          <w:tcPr>
            <w:tcW w:w="161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0.01</w:t>
            </w:r>
          </w:p>
        </w:tc>
        <w:tc>
          <w:tcPr>
            <w:tcW w:w="121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w:t>
            </w:r>
          </w:p>
        </w:tc>
        <w:tc>
          <w:tcPr>
            <w:tcW w:w="118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SGD</w:t>
            </w:r>
          </w:p>
        </w:tc>
        <w:tc>
          <w:tcPr>
            <w:tcW w:w="12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Polynomial</w:t>
            </w:r>
          </w:p>
        </w:tc>
        <w:tc>
          <w:tcPr>
            <w:tcW w:w="15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w:t>
            </w:r>
          </w:p>
        </w:tc>
      </w:tr>
      <w:tr>
        <w:trPr/>
        <w:tc>
          <w:tcPr>
            <w:tcW w:w="15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nnU-Net</w:t>
            </w:r>
          </w:p>
        </w:tc>
        <w:tc>
          <w:tcPr>
            <w:tcW w:w="161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0.01</w:t>
            </w:r>
          </w:p>
        </w:tc>
        <w:tc>
          <w:tcPr>
            <w:tcW w:w="121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w:t>
            </w:r>
          </w:p>
        </w:tc>
        <w:tc>
          <w:tcPr>
            <w:tcW w:w="118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SGD</w:t>
            </w:r>
          </w:p>
        </w:tc>
        <w:tc>
          <w:tcPr>
            <w:tcW w:w="12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Polynomial</w:t>
            </w:r>
          </w:p>
        </w:tc>
        <w:tc>
          <w:tcPr>
            <w:tcW w:w="15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w:t>
            </w:r>
          </w:p>
        </w:tc>
      </w:tr>
      <w:tr>
        <w:trPr/>
        <w:tc>
          <w:tcPr>
            <w:tcW w:w="15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VNet</w:t>
            </w:r>
          </w:p>
        </w:tc>
        <w:tc>
          <w:tcPr>
            <w:tcW w:w="161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0.01</w:t>
            </w:r>
          </w:p>
        </w:tc>
        <w:tc>
          <w:tcPr>
            <w:tcW w:w="121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w:t>
            </w:r>
          </w:p>
        </w:tc>
        <w:tc>
          <w:tcPr>
            <w:tcW w:w="118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SGD</w:t>
            </w:r>
          </w:p>
        </w:tc>
        <w:tc>
          <w:tcPr>
            <w:tcW w:w="12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Polynomial</w:t>
            </w:r>
          </w:p>
        </w:tc>
        <w:tc>
          <w:tcPr>
            <w:tcW w:w="15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0.99</w:t>
            </w:r>
          </w:p>
        </w:tc>
      </w:tr>
      <w:tr>
        <w:trPr/>
        <w:tc>
          <w:tcPr>
            <w:tcW w:w="15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UNETR</w:t>
            </w:r>
          </w:p>
        </w:tc>
        <w:tc>
          <w:tcPr>
            <w:tcW w:w="161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1e-4</w:t>
            </w:r>
          </w:p>
        </w:tc>
        <w:tc>
          <w:tcPr>
            <w:tcW w:w="121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w:t>
            </w:r>
          </w:p>
        </w:tc>
        <w:tc>
          <w:tcPr>
            <w:tcW w:w="118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AdamW</w:t>
            </w:r>
          </w:p>
        </w:tc>
        <w:tc>
          <w:tcPr>
            <w:tcW w:w="12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Cosine</w:t>
            </w:r>
          </w:p>
        </w:tc>
        <w:tc>
          <w:tcPr>
            <w:tcW w:w="15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w:t>
            </w:r>
          </w:p>
        </w:tc>
      </w:tr>
      <w:tr>
        <w:trPr/>
        <w:tc>
          <w:tcPr>
            <w:tcW w:w="15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Swin-UNETR</w:t>
            </w:r>
          </w:p>
        </w:tc>
        <w:tc>
          <w:tcPr>
            <w:tcW w:w="161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1e-4</w:t>
            </w:r>
          </w:p>
        </w:tc>
        <w:tc>
          <w:tcPr>
            <w:tcW w:w="121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w:t>
            </w:r>
          </w:p>
        </w:tc>
        <w:tc>
          <w:tcPr>
            <w:tcW w:w="118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AdamW</w:t>
            </w:r>
          </w:p>
        </w:tc>
        <w:tc>
          <w:tcPr>
            <w:tcW w:w="12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Cosine</w:t>
            </w:r>
          </w:p>
        </w:tc>
        <w:tc>
          <w:tcPr>
            <w:tcW w:w="15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w:t>
            </w:r>
          </w:p>
        </w:tc>
      </w:tr>
      <w:tr>
        <w:trPr/>
        <w:tc>
          <w:tcPr>
            <w:tcW w:w="150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TransBTS</w:t>
            </w:r>
          </w:p>
        </w:tc>
        <w:tc>
          <w:tcPr>
            <w:tcW w:w="1615"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1e-4</w:t>
            </w:r>
          </w:p>
        </w:tc>
        <w:tc>
          <w:tcPr>
            <w:tcW w:w="1210"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w:t>
            </w:r>
          </w:p>
        </w:tc>
        <w:tc>
          <w:tcPr>
            <w:tcW w:w="118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AdamW</w:t>
            </w:r>
          </w:p>
        </w:tc>
        <w:tc>
          <w:tcPr>
            <w:tcW w:w="124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Cosine</w:t>
            </w:r>
          </w:p>
        </w:tc>
        <w:tc>
          <w:tcPr>
            <w:tcW w:w="1551"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1e-5</w:t>
            </w:r>
          </w:p>
        </w:tc>
        <w:tc>
          <w:tcPr>
            <w:tcW w:w="1332"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w:t>
            </w:r>
          </w:p>
        </w:tc>
      </w:tr>
    </w:tbl>
    <w:p>
      <w:pPr>
        <w:pStyle w:val="BodyText"/>
        <w:bidi w:val="0"/>
        <w:spacing w:lineRule="auto" w:line="240"/>
        <w:jc w:val="both"/>
        <w:rPr>
          <w:rFonts w:ascii="Times New Roman" w:hAnsi="Times New Roman"/>
        </w:rPr>
      </w:pPr>
      <w:r>
        <w:rPr>
          <w:rFonts w:ascii="Times New Roman" w:hAnsi="Times New Roman"/>
        </w:rPr>
      </w:r>
    </w:p>
    <w:p>
      <w:pPr>
        <w:pStyle w:val="Heading3"/>
        <w:numPr>
          <w:ilvl w:val="2"/>
          <w:numId w:val="1"/>
        </w:numPr>
        <w:bidi w:val="0"/>
        <w:spacing w:lineRule="auto" w:line="240"/>
        <w:ind w:hanging="0" w:start="0"/>
        <w:jc w:val="both"/>
        <w:rPr/>
      </w:pPr>
      <w:r>
        <w:rPr>
          <w:rFonts w:ascii="Times New Roman" w:hAnsi="Times New Roman"/>
        </w:rPr>
        <w:t>Appendix C: Data Split Details</w:t>
      </w:r>
    </w:p>
    <w:p>
      <w:pPr>
        <w:pStyle w:val="BodyText"/>
        <w:bidi w:val="0"/>
        <w:spacing w:lineRule="auto" w:line="240"/>
        <w:jc w:val="both"/>
        <w:rPr/>
      </w:pPr>
      <w:r>
        <w:rPr>
          <w:rFonts w:ascii="Times New Roman" w:hAnsi="Times New Roman"/>
        </w:rPr>
        <w:t>Table 8 presents the complete data split distribution.</w:t>
      </w:r>
    </w:p>
    <w:p>
      <w:pPr>
        <w:pStyle w:val="BodyText"/>
        <w:bidi w:val="0"/>
        <w:spacing w:lineRule="auto" w:line="240"/>
        <w:jc w:val="both"/>
        <w:rPr/>
      </w:pPr>
      <w:r>
        <w:rPr>
          <w:rFonts w:ascii="Times New Roman" w:hAnsi="Times New Roman"/>
          <w:b/>
        </w:rPr>
        <w:t>Table 8: Train-validation-test split details</w:t>
      </w:r>
    </w:p>
    <w:tbl>
      <w:tblPr>
        <w:tblW w:w="5000" w:type="pct"/>
        <w:jc w:val="start"/>
        <w:tblInd w:w="-5" w:type="dxa"/>
        <w:tblLayout w:type="fixed"/>
        <w:tblCellMar>
          <w:top w:w="55" w:type="dxa"/>
          <w:start w:w="55" w:type="dxa"/>
          <w:bottom w:w="55" w:type="dxa"/>
          <w:end w:w="55" w:type="dxa"/>
        </w:tblCellMar>
      </w:tblPr>
      <w:tblGrid>
        <w:gridCol w:w="3376"/>
        <w:gridCol w:w="2163"/>
        <w:gridCol w:w="2092"/>
        <w:gridCol w:w="2007"/>
      </w:tblGrid>
      <w:tr>
        <w:trPr>
          <w:tblHeader w:val="true"/>
        </w:trPr>
        <w:tc>
          <w:tcPr>
            <w:tcW w:w="3376"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Split</w:t>
            </w:r>
          </w:p>
        </w:tc>
        <w:tc>
          <w:tcPr>
            <w:tcW w:w="2163"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Cases</w:t>
            </w:r>
          </w:p>
        </w:tc>
        <w:tc>
          <w:tcPr>
            <w:tcW w:w="2092" w:type="dxa"/>
            <w:tcBorders>
              <w:top w:val="single" w:sz="4" w:space="0" w:color="000000"/>
              <w:start w:val="single" w:sz="4" w:space="0" w:color="000000"/>
              <w:bottom w:val="single" w:sz="4" w:space="0" w:color="000000"/>
            </w:tcBorders>
          </w:tcPr>
          <w:p>
            <w:pPr>
              <w:pStyle w:val="TableHeading"/>
              <w:bidi w:val="0"/>
              <w:spacing w:lineRule="auto" w:line="240"/>
              <w:jc w:val="both"/>
              <w:rPr/>
            </w:pPr>
            <w:r>
              <w:rPr>
                <w:rFonts w:ascii="Times New Roman" w:hAnsi="Times New Roman"/>
              </w:rPr>
              <w:t>HGG</w:t>
            </w:r>
          </w:p>
        </w:tc>
        <w:tc>
          <w:tcPr>
            <w:tcW w:w="2007"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pPr>
            <w:r>
              <w:rPr>
                <w:rFonts w:ascii="Times New Roman" w:hAnsi="Times New Roman"/>
              </w:rPr>
              <w:t>LGG</w:t>
            </w:r>
          </w:p>
        </w:tc>
      </w:tr>
      <w:tr>
        <w:trPr/>
        <w:tc>
          <w:tcPr>
            <w:tcW w:w="33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Train</w:t>
            </w:r>
          </w:p>
        </w:tc>
        <w:tc>
          <w:tcPr>
            <w:tcW w:w="216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257</w:t>
            </w:r>
          </w:p>
        </w:tc>
        <w:tc>
          <w:tcPr>
            <w:tcW w:w="20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205</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52</w:t>
            </w:r>
          </w:p>
        </w:tc>
      </w:tr>
      <w:tr>
        <w:trPr/>
        <w:tc>
          <w:tcPr>
            <w:tcW w:w="33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Validation</w:t>
            </w:r>
          </w:p>
        </w:tc>
        <w:tc>
          <w:tcPr>
            <w:tcW w:w="216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55</w:t>
            </w:r>
          </w:p>
        </w:tc>
        <w:tc>
          <w:tcPr>
            <w:tcW w:w="20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44</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11</w:t>
            </w:r>
          </w:p>
        </w:tc>
      </w:tr>
      <w:tr>
        <w:trPr/>
        <w:tc>
          <w:tcPr>
            <w:tcW w:w="33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Test</w:t>
            </w:r>
          </w:p>
        </w:tc>
        <w:tc>
          <w:tcPr>
            <w:tcW w:w="216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56</w:t>
            </w:r>
          </w:p>
        </w:tc>
        <w:tc>
          <w:tcPr>
            <w:tcW w:w="20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44</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12</w:t>
            </w:r>
          </w:p>
        </w:tc>
      </w:tr>
      <w:tr>
        <w:trPr/>
        <w:tc>
          <w:tcPr>
            <w:tcW w:w="3376"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Total</w:t>
            </w:r>
          </w:p>
        </w:tc>
        <w:tc>
          <w:tcPr>
            <w:tcW w:w="2163"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368</w:t>
            </w:r>
          </w:p>
        </w:tc>
        <w:tc>
          <w:tcPr>
            <w:tcW w:w="2092" w:type="dxa"/>
            <w:tcBorders>
              <w:start w:val="single" w:sz="4" w:space="0" w:color="000000"/>
              <w:bottom w:val="single" w:sz="4" w:space="0" w:color="000000"/>
            </w:tcBorders>
          </w:tcPr>
          <w:p>
            <w:pPr>
              <w:pStyle w:val="TableContents"/>
              <w:bidi w:val="0"/>
              <w:spacing w:lineRule="auto" w:line="240"/>
              <w:jc w:val="both"/>
              <w:rPr/>
            </w:pPr>
            <w:r>
              <w:rPr>
                <w:rFonts w:ascii="Times New Roman" w:hAnsi="Times New Roman"/>
              </w:rPr>
              <w:t>293</w:t>
            </w:r>
          </w:p>
        </w:tc>
        <w:tc>
          <w:tcPr>
            <w:tcW w:w="2007" w:type="dxa"/>
            <w:tcBorders>
              <w:start w:val="single" w:sz="4" w:space="0" w:color="000000"/>
              <w:bottom w:val="single" w:sz="4" w:space="0" w:color="000000"/>
              <w:end w:val="single" w:sz="4" w:space="0" w:color="000000"/>
            </w:tcBorders>
          </w:tcPr>
          <w:p>
            <w:pPr>
              <w:pStyle w:val="TableContents"/>
              <w:bidi w:val="0"/>
              <w:spacing w:lineRule="auto" w:line="240"/>
              <w:jc w:val="both"/>
              <w:rPr/>
            </w:pPr>
            <w:r>
              <w:rPr>
                <w:rFonts w:ascii="Times New Roman" w:hAnsi="Times New Roman"/>
              </w:rPr>
              <w:t>75</w:t>
            </w:r>
          </w:p>
        </w:tc>
      </w:tr>
    </w:tbl>
    <w:p>
      <w:pPr>
        <w:pStyle w:val="BodyText"/>
        <w:bidi w:val="0"/>
        <w:spacing w:lineRule="auto" w:line="240"/>
        <w:jc w:val="both"/>
        <w:rPr>
          <w:rFonts w:ascii="Times New Roman" w:hAnsi="Times New Roman"/>
        </w:rPr>
      </w:pPr>
      <w:r>
        <w:rPr>
          <w:rFonts w:ascii="Times New Roman" w:hAnsi="Times New Roman"/>
        </w:rPr>
      </w:r>
    </w:p>
    <w:p>
      <w:pPr>
        <w:pStyle w:val="Heading3"/>
        <w:numPr>
          <w:ilvl w:val="2"/>
          <w:numId w:val="1"/>
        </w:numPr>
        <w:bidi w:val="0"/>
        <w:spacing w:lineRule="auto" w:line="240"/>
        <w:ind w:hanging="0" w:start="0"/>
        <w:jc w:val="both"/>
        <w:rPr/>
      </w:pPr>
      <w:r>
        <w:rPr>
          <w:rFonts w:ascii="Times New Roman" w:hAnsi="Times New Roman"/>
        </w:rPr>
        <w:t>Appendix D: Detailed Training Logs</w:t>
      </w:r>
    </w:p>
    <w:p>
      <w:pPr>
        <w:pStyle w:val="BodyText"/>
        <w:bidi w:val="0"/>
        <w:spacing w:lineRule="auto" w:line="240"/>
        <w:jc w:val="both"/>
        <w:rPr/>
      </w:pPr>
      <w:r>
        <w:rPr>
          <w:rFonts w:ascii="Times New Roman" w:hAnsi="Times New Roman"/>
        </w:rPr>
        <w:t>Complete training logs with per-epoch metrics for all models are available in the repository.</w:t>
      </w:r>
    </w:p>
    <w:p>
      <w:pPr>
        <w:pStyle w:val="Heading3"/>
        <w:numPr>
          <w:ilvl w:val="2"/>
          <w:numId w:val="1"/>
        </w:numPr>
        <w:bidi w:val="0"/>
        <w:spacing w:lineRule="auto" w:line="240"/>
        <w:ind w:hanging="0" w:start="0"/>
        <w:jc w:val="both"/>
        <w:rPr/>
      </w:pPr>
      <w:r>
        <w:rPr>
          <w:rFonts w:ascii="Times New Roman" w:hAnsi="Times New Roman"/>
        </w:rPr>
        <w:t>Appendix E: License Information</w:t>
      </w:r>
    </w:p>
    <w:p>
      <w:pPr>
        <w:pStyle w:val="BodyText"/>
        <w:bidi w:val="0"/>
        <w:spacing w:lineRule="auto" w:line="240"/>
        <w:jc w:val="both"/>
        <w:rPr/>
      </w:pPr>
      <w:r>
        <w:rPr>
          <w:rFonts w:ascii="Times New Roman" w:hAnsi="Times New Roman"/>
        </w:rPr>
        <w:t>The BraTS 2020 Dataset is distributed under CC BY 4.0 License. All code is distributed under MIT License.</w:t>
      </w:r>
    </w:p>
    <w:p>
      <w:pPr>
        <w:pStyle w:val="BodyText"/>
        <w:bidi w:val="0"/>
        <w:spacing w:lineRule="auto" w:line="240" w:before="0" w:after="140"/>
        <w:jc w:val="both"/>
        <w:rPr/>
      </w:pPr>
      <w:r>
        <w:rPr>
          <w:rFonts w:ascii="Times New Roman" w:hAnsi="Times New Roman"/>
          <w:i/>
        </w:rPr>
        <w:t>Note: This research was conducted using Kaggle's free GPU resources. The authors thank Kaggle for providing the computational infrastructure that made this comprehensive comparison possible.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Mangal"/>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rth.mital2023@vitstudent.ac.in" TargetMode="External"/><Relationship Id="rId3" Type="http://schemas.openxmlformats.org/officeDocument/2006/relationships/hyperlink" Target="mailto:ved.lawand2023@vitstudent.ac.in" TargetMode="External"/><Relationship Id="rId4" Type="http://schemas.openxmlformats.org/officeDocument/2006/relationships/hyperlink" Target="mailto:biji.cl@vit.ac.in" TargetMode="External"/><Relationship Id="rId5" Type="http://schemas.openxmlformats.org/officeDocument/2006/relationships/hyperlink" Target="https://github.com/parthmital/NeuroScan-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LibreOffice/26.2.2.2$Windows_X86_64 LibreOffice_project/1f77d10d6938fd34972958f64b2bcfa54f8b1ba5</Application>
  <AppVersion>15.0000</AppVersion>
  <Pages>14</Pages>
  <Words>6342</Words>
  <Characters>39308</Characters>
  <CharactersWithSpaces>45245</CharactersWithSpaces>
  <Paragraphs>405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2026-04-07T21:05:48Z</dcterms:created>
  <dc:creator/>
  <dc:description/>
  <dc:language>en-IN</dc:language>
  <cp:lastModifiedBy/>
  <dcterms:modified xsi:type="dcterms:W3CDTF">2026-04-22T21:32:12Z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