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Experiment 8</w:t>
      </w:r>
    </w:p>
    <w:p>
      <w:pPr>
        <w:spacing w:after="60"/>
      </w:pPr>
      <w:r>
        <w:t>FINAURA frontend improvements through software design principles</w:t>
      </w:r>
    </w:p>
    <w:p>
      <w:pPr>
        <w:spacing w:after="180"/>
      </w:pPr>
      <w:r>
        <w:rPr>
          <w:sz w:val="18"/>
        </w:rPr>
        <w:t>Original UI on the left and implemented live UI on the right. Screenshots use the same local test account and are cropped to the relevant workspace.</w:t>
      </w:r>
    </w:p>
    <w:p>
      <w:pPr>
        <w:pStyle w:val="Heading1"/>
      </w:pPr>
      <w:r>
        <w:t>1 Overview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69"/>
        <w:gridCol w:w="7769"/>
      </w:tblGrid>
      <w:tr>
        <w:trPr>
          <w:cantSplit/>
        </w:trPr>
        <w:tc>
          <w:tcPr>
            <w:tcW w:type="dxa" w:w="7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85" w:type="dxa"/>
              <w:right w:w="85" w:type="dxa"/>
            </w:tcMar>
            <w:shd w:fill="E8EEF8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BEFORE   ORIGINAL UI</w:t>
            </w:r>
          </w:p>
        </w:tc>
        <w:tc>
          <w:tcPr>
            <w:tcW w:type="dxa" w:w="7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85" w:type="dxa"/>
              <w:right w:w="85" w:type="dxa"/>
            </w:tcMar>
            <w:shd w:fill="E8EEF8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AFTER   UPDATED LIVE UI</w:t>
            </w:r>
          </w:p>
        </w:tc>
      </w:tr>
      <w:tr>
        <w:trPr>
          <w:cantSplit/>
        </w:trPr>
        <w:tc>
          <w:tcPr>
            <w:tcW w:type="dxa" w:w="7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54880" cy="3700732"/>
                  <wp:docPr id="1" name="Picture 1" descr="Overview before chang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before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37007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54880" cy="3700732"/>
                  <wp:docPr id="2" name="Picture 2" descr="Overview after implemented chang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after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37007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40" w:line="72" w:lineRule="auto"/>
      </w:pPr>
      <w:r>
        <w:rPr>
          <w:sz w:val="4"/>
        </w:rPr>
      </w:r>
    </w:p>
    <w:p>
      <w:r>
        <w:rPr>
          <w:b/>
        </w:rPr>
        <w:t xml:space="preserve">Before </w:t>
      </w:r>
      <w:r>
        <w:t>Large empty charts dominated the overview without a clear first action.</w:t>
      </w:r>
    </w:p>
    <w:p>
      <w:r>
        <w:rPr>
          <w:b/>
        </w:rPr>
        <w:t xml:space="preserve">After </w:t>
      </w:r>
      <w:r>
        <w:t>A first expense panel and Record expense button guide the user; empty charts take less space.</w:t>
      </w:r>
    </w:p>
    <w:p>
      <w:r>
        <w:rPr>
          <w:b/>
        </w:rPr>
        <w:t xml:space="preserve">Design principle </w:t>
      </w:r>
      <w:r>
        <w:t>Recognition and visual hierarchy make the next task obvious. A reusable NextStep component keeps first use guidance consistent.</w:t>
      </w:r>
    </w:p>
    <w:p>
      <w:r>
        <w:br w:type="page"/>
      </w:r>
    </w:p>
    <w:p>
      <w:pPr>
        <w:pStyle w:val="Heading1"/>
      </w:pPr>
      <w:r>
        <w:t>2 Transactions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69"/>
        <w:gridCol w:w="7769"/>
      </w:tblGrid>
      <w:tr>
        <w:trPr>
          <w:cantSplit/>
        </w:trPr>
        <w:tc>
          <w:tcPr>
            <w:tcW w:type="dxa" w:w="7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85" w:type="dxa"/>
              <w:right w:w="85" w:type="dxa"/>
            </w:tcMar>
            <w:shd w:fill="E8EEF8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BEFORE   ORIGINAL UI</w:t>
            </w:r>
          </w:p>
        </w:tc>
        <w:tc>
          <w:tcPr>
            <w:tcW w:type="dxa" w:w="7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85" w:type="dxa"/>
              <w:right w:w="85" w:type="dxa"/>
            </w:tcMar>
            <w:shd w:fill="E8EEF8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AFTER   UPDATED LIVE UI</w:t>
            </w:r>
          </w:p>
        </w:tc>
      </w:tr>
      <w:tr>
        <w:trPr>
          <w:cantSplit/>
        </w:trPr>
        <w:tc>
          <w:tcPr>
            <w:tcW w:type="dxa" w:w="7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54880" cy="3699225"/>
                  <wp:docPr id="3" name="Picture 3" descr="Transactions before chang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before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3699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54880" cy="3699225"/>
                  <wp:docPr id="4" name="Picture 4" descr="Transactions after implemented chang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after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3699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40" w:line="72" w:lineRule="auto"/>
      </w:pPr>
      <w:r>
        <w:rPr>
          <w:sz w:val="4"/>
        </w:rPr>
      </w:r>
    </w:p>
    <w:p>
      <w:r>
        <w:rPr>
          <w:b/>
        </w:rPr>
        <w:t xml:space="preserve">Before </w:t>
      </w:r>
      <w:r>
        <w:t>An empty account was described as having no transactions matching the filters.</w:t>
      </w:r>
    </w:p>
    <w:p>
      <w:r>
        <w:rPr>
          <w:b/>
        </w:rPr>
        <w:t xml:space="preserve">After </w:t>
      </w:r>
      <w:r>
        <w:t>The empty ledger now explains how to begin and offers Record first expense. Filter guidance is explicit.</w:t>
      </w:r>
    </w:p>
    <w:p>
      <w:r>
        <w:rPr>
          <w:b/>
        </w:rPr>
        <w:t xml:space="preserve">Design principle </w:t>
      </w:r>
      <w:r>
        <w:t>Visibility of system status distinguishes an empty ledger from a filtered search with no matches.</w:t>
      </w:r>
    </w:p>
    <w:p>
      <w:r>
        <w:br w:type="page"/>
      </w:r>
    </w:p>
    <w:p>
      <w:pPr>
        <w:pStyle w:val="Heading1"/>
      </w:pPr>
      <w:r>
        <w:t>3 Expense entry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69"/>
        <w:gridCol w:w="7769"/>
      </w:tblGrid>
      <w:tr>
        <w:trPr>
          <w:cantSplit/>
        </w:trPr>
        <w:tc>
          <w:tcPr>
            <w:tcW w:type="dxa" w:w="7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85" w:type="dxa"/>
              <w:right w:w="85" w:type="dxa"/>
            </w:tcMar>
            <w:shd w:fill="E8EEF8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BEFORE   ORIGINAL UI</w:t>
            </w:r>
          </w:p>
        </w:tc>
        <w:tc>
          <w:tcPr>
            <w:tcW w:type="dxa" w:w="7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85" w:type="dxa"/>
              <w:right w:w="85" w:type="dxa"/>
            </w:tcMar>
            <w:shd w:fill="E8EEF8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AFTER   UPDATED LIVE UI</w:t>
            </w:r>
          </w:p>
        </w:tc>
      </w:tr>
      <w:tr>
        <w:trPr>
          <w:cantSplit/>
        </w:trPr>
        <w:tc>
          <w:tcPr>
            <w:tcW w:type="dxa" w:w="7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375934" cy="3749039"/>
                  <wp:docPr id="5" name="Picture 5" descr="Expense entry before chang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before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5934" cy="37490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375934" cy="3749039"/>
                  <wp:docPr id="6" name="Picture 6" descr="Expense entry after implemented chang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after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5934" cy="37490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40" w:line="72" w:lineRule="auto"/>
      </w:pPr>
      <w:r>
        <w:rPr>
          <w:sz w:val="4"/>
        </w:rPr>
      </w:r>
    </w:p>
    <w:p>
      <w:r>
        <w:rPr>
          <w:b/>
        </w:rPr>
        <w:t xml:space="preserve">Before </w:t>
      </w:r>
      <w:r>
        <w:t>The form presented payment and classification fields without a clear review sequence.</w:t>
      </w:r>
    </w:p>
    <w:p>
      <w:r>
        <w:rPr>
          <w:b/>
        </w:rPr>
        <w:t xml:space="preserve">After </w:t>
      </w:r>
      <w:r>
        <w:t>Numbered sections separate payment details from classification review. A zero amount shows an inline error.</w:t>
      </w:r>
    </w:p>
    <w:p>
      <w:r>
        <w:rPr>
          <w:b/>
        </w:rPr>
        <w:t xml:space="preserve">Design principle </w:t>
      </w:r>
      <w:r>
        <w:t>Error prevention gives immediate, field specific feedback. Shared Input and Modal components encapsulate accessible error and keyboard behavior.</w:t>
      </w:r>
    </w:p>
    <w:p>
      <w:r>
        <w:br w:type="page"/>
      </w:r>
    </w:p>
    <w:p>
      <w:pPr>
        <w:pStyle w:val="Heading1"/>
      </w:pPr>
      <w:r>
        <w:t>4 Behaviour insights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69"/>
        <w:gridCol w:w="7769"/>
      </w:tblGrid>
      <w:tr>
        <w:trPr>
          <w:cantSplit/>
        </w:trPr>
        <w:tc>
          <w:tcPr>
            <w:tcW w:type="dxa" w:w="7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85" w:type="dxa"/>
              <w:right w:w="85" w:type="dxa"/>
            </w:tcMar>
            <w:shd w:fill="E8EEF8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BEFORE   ORIGINAL UI</w:t>
            </w:r>
          </w:p>
        </w:tc>
        <w:tc>
          <w:tcPr>
            <w:tcW w:type="dxa" w:w="7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85" w:type="dxa"/>
              <w:right w:w="85" w:type="dxa"/>
            </w:tcMar>
            <w:shd w:fill="E8EEF8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AFTER   UPDATED LIVE UI</w:t>
            </w:r>
          </w:p>
        </w:tc>
      </w:tr>
      <w:tr>
        <w:trPr>
          <w:cantSplit/>
        </w:trPr>
        <w:tc>
          <w:tcPr>
            <w:tcW w:type="dxa" w:w="7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54880" cy="3700732"/>
                  <wp:docPr id="7" name="Picture 7" descr="Behaviour insights before chang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-before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37007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54880" cy="3700732"/>
                  <wp:docPr id="8" name="Picture 8" descr="Behaviour insights after implemented chang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-after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37007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40" w:line="72" w:lineRule="auto"/>
      </w:pPr>
      <w:r>
        <w:rPr>
          <w:sz w:val="4"/>
        </w:rPr>
      </w:r>
    </w:p>
    <w:p>
      <w:r>
        <w:rPr>
          <w:b/>
        </w:rPr>
        <w:t xml:space="preserve">Before </w:t>
      </w:r>
      <w:r>
        <w:t>Positive spending messages appeared even though no transactions had been analyzed.</w:t>
      </w:r>
    </w:p>
    <w:p>
      <w:r>
        <w:rPr>
          <w:b/>
        </w:rPr>
        <w:t xml:space="preserve">After </w:t>
      </w:r>
      <w:r>
        <w:t>A waiting for your first record state explains the missing evidence and links to expense entry.</w:t>
      </w:r>
    </w:p>
    <w:p>
      <w:r>
        <w:rPr>
          <w:b/>
        </w:rPr>
        <w:t xml:space="preserve">Design principle </w:t>
      </w:r>
      <w:r>
        <w:t>Visibility of system status avoids presenting missing analysis as a positive conclusion.</w:t>
      </w:r>
    </w:p>
    <w:p>
      <w:r>
        <w:br w:type="page"/>
      </w:r>
    </w:p>
    <w:p>
      <w:pPr>
        <w:pStyle w:val="Heading1"/>
      </w:pPr>
      <w:r>
        <w:t>5 Income insights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69"/>
        <w:gridCol w:w="7769"/>
      </w:tblGrid>
      <w:tr>
        <w:trPr>
          <w:cantSplit/>
        </w:trPr>
        <w:tc>
          <w:tcPr>
            <w:tcW w:type="dxa" w:w="7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85" w:type="dxa"/>
              <w:right w:w="85" w:type="dxa"/>
            </w:tcMar>
            <w:shd w:fill="E8EEF8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BEFORE   ORIGINAL UI</w:t>
            </w:r>
          </w:p>
        </w:tc>
        <w:tc>
          <w:tcPr>
            <w:tcW w:type="dxa" w:w="7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85" w:type="dxa"/>
              <w:right w:w="85" w:type="dxa"/>
            </w:tcMar>
            <w:shd w:fill="E8EEF8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AFTER   UPDATED LIVE UI</w:t>
            </w:r>
          </w:p>
        </w:tc>
      </w:tr>
      <w:tr>
        <w:trPr>
          <w:cantSplit/>
        </w:trPr>
        <w:tc>
          <w:tcPr>
            <w:tcW w:type="dxa" w:w="7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54880" cy="3700732"/>
                  <wp:docPr id="9" name="Picture 9" descr="Income insights before chang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-befor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37007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54880" cy="3700732"/>
                  <wp:docPr id="10" name="Picture 10" descr="Income insights after implemented chang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-after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37007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40" w:line="72" w:lineRule="auto"/>
      </w:pPr>
      <w:r>
        <w:rPr>
          <w:sz w:val="4"/>
        </w:rPr>
      </w:r>
    </w:p>
    <w:p>
      <w:r>
        <w:rPr>
          <w:b/>
        </w:rPr>
        <w:t xml:space="preserve">Before </w:t>
      </w:r>
      <w:r>
        <w:t>The safe income label displayed the fractional percentile as 0.25th percentile.</w:t>
      </w:r>
    </w:p>
    <w:p>
      <w:r>
        <w:rPr>
          <w:b/>
        </w:rPr>
        <w:t xml:space="preserve">After </w:t>
      </w:r>
      <w:r>
        <w:t>The label shows 25th percentile and a short explanation describes what the figure means.</w:t>
      </w:r>
    </w:p>
    <w:p>
      <w:r>
        <w:rPr>
          <w:b/>
        </w:rPr>
        <w:t xml:space="preserve">Design principle </w:t>
      </w:r>
      <w:r>
        <w:t>Abstraction normalizes the API fraction before display. Consistency and plain language keep the label and explanation aligned.</w:t>
      </w:r>
    </w:p>
    <w:p>
      <w:r>
        <w:br w:type="page"/>
      </w:r>
    </w:p>
    <w:p>
      <w:pPr>
        <w:pStyle w:val="Heading1"/>
      </w:pPr>
      <w:r>
        <w:t>6 Retirement planning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69"/>
        <w:gridCol w:w="7769"/>
      </w:tblGrid>
      <w:tr>
        <w:trPr>
          <w:cantSplit/>
        </w:trPr>
        <w:tc>
          <w:tcPr>
            <w:tcW w:type="dxa" w:w="7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85" w:type="dxa"/>
              <w:right w:w="85" w:type="dxa"/>
            </w:tcMar>
            <w:shd w:fill="E8EEF8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BEFORE   ORIGINAL UI</w:t>
            </w:r>
          </w:p>
        </w:tc>
        <w:tc>
          <w:tcPr>
            <w:tcW w:type="dxa" w:w="7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85" w:type="dxa"/>
              <w:right w:w="85" w:type="dxa"/>
            </w:tcMar>
            <w:shd w:fill="E8EEF8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AFTER   UPDATED LIVE UI</w:t>
            </w:r>
          </w:p>
        </w:tc>
      </w:tr>
      <w:tr>
        <w:trPr>
          <w:cantSplit/>
        </w:trPr>
        <w:tc>
          <w:tcPr>
            <w:tcW w:type="dxa" w:w="7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54880" cy="3700732"/>
                  <wp:docPr id="11" name="Picture 11" descr="Retirement planning before chang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-before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37007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54880" cy="3700732"/>
                  <wp:docPr id="12" name="Picture 12" descr="Retirement planning after implemented chang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-after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37007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40" w:line="72" w:lineRule="auto"/>
      </w:pPr>
      <w:r>
        <w:rPr>
          <w:sz w:val="4"/>
        </w:rPr>
      </w:r>
    </w:p>
    <w:p>
      <w:r>
        <w:rPr>
          <w:b/>
        </w:rPr>
        <w:t xml:space="preserve">Before </w:t>
      </w:r>
      <w:r>
        <w:t>Missing planning inputs produced a Fully Funded contribution status and zero valued targets.</w:t>
      </w:r>
    </w:p>
    <w:p>
      <w:r>
        <w:rPr>
          <w:b/>
        </w:rPr>
        <w:t xml:space="preserve">After </w:t>
      </w:r>
      <w:r>
        <w:t>Missing targets show Not set or Not calculated. The contribution panel requests the details needed for a calculation.</w:t>
      </w:r>
    </w:p>
    <w:p>
      <w:r>
        <w:rPr>
          <w:b/>
        </w:rPr>
        <w:t xml:space="preserve">Design principle </w:t>
      </w:r>
      <w:r>
        <w:t>Explicit state modeling and error prevention separate unavailable calculations from a valid zero contribution gap.</w:t>
      </w:r>
    </w:p>
    <w:p>
      <w:r>
        <w:br w:type="page"/>
      </w:r>
    </w:p>
    <w:p>
      <w:pPr>
        <w:pStyle w:val="Heading1"/>
      </w:pPr>
      <w:r>
        <w:t>7 Scenario inputs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69"/>
        <w:gridCol w:w="7769"/>
      </w:tblGrid>
      <w:tr>
        <w:trPr>
          <w:cantSplit/>
        </w:trPr>
        <w:tc>
          <w:tcPr>
            <w:tcW w:type="dxa" w:w="7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85" w:type="dxa"/>
              <w:right w:w="85" w:type="dxa"/>
            </w:tcMar>
            <w:shd w:fill="E8EEF8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BEFORE   ORIGINAL UI</w:t>
            </w:r>
          </w:p>
        </w:tc>
        <w:tc>
          <w:tcPr>
            <w:tcW w:type="dxa" w:w="7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85" w:type="dxa"/>
              <w:right w:w="85" w:type="dxa"/>
            </w:tcMar>
            <w:shd w:fill="E8EEF8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AFTER   UPDATED LIVE UI</w:t>
            </w:r>
          </w:p>
        </w:tc>
      </w:tr>
      <w:tr>
        <w:trPr>
          <w:cantSplit/>
        </w:trPr>
        <w:tc>
          <w:tcPr>
            <w:tcW w:type="dxa" w:w="7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54880" cy="3700732"/>
                  <wp:docPr id="13" name="Picture 13" descr="Scenario inputs before chang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-before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37007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54880" cy="3700732"/>
                  <wp:docPr id="14" name="Picture 14" descr="Scenario inputs after implemented chang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-after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37007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40" w:line="72" w:lineRule="auto"/>
      </w:pPr>
      <w:r>
        <w:rPr>
          <w:sz w:val="4"/>
        </w:rPr>
      </w:r>
    </w:p>
    <w:p>
      <w:r>
        <w:rPr>
          <w:b/>
        </w:rPr>
        <w:t xml:space="preserve">Before </w:t>
      </w:r>
      <w:r>
        <w:t>Sliders made precise assumptions difficult to enter and compare.</w:t>
      </w:r>
    </w:p>
    <w:p>
      <w:r>
        <w:rPr>
          <w:b/>
        </w:rPr>
        <w:t xml:space="preserve">After </w:t>
      </w:r>
      <w:r>
        <w:t>Each main assumption pairs a slider with an exact numeric field. The monthly investment example is 12750.</w:t>
      </w:r>
    </w:p>
    <w:p>
      <w:r>
        <w:rPr>
          <w:b/>
        </w:rPr>
        <w:t xml:space="preserve">Design principle </w:t>
      </w:r>
      <w:r>
        <w:t>User control supports both quick adjustment and precise entry. The reusable RangeField keeps values, bounds, labels, and validation together.</w:t>
      </w:r>
    </w:p>
    <w:p>
      <w:r>
        <w:br w:type="page"/>
      </w:r>
    </w:p>
    <w:p>
      <w:pPr>
        <w:pStyle w:val="Heading1"/>
      </w:pPr>
      <w:r>
        <w:t>8 Report exports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69"/>
        <w:gridCol w:w="7769"/>
      </w:tblGrid>
      <w:tr>
        <w:trPr>
          <w:cantSplit/>
        </w:trPr>
        <w:tc>
          <w:tcPr>
            <w:tcW w:type="dxa" w:w="7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85" w:type="dxa"/>
              <w:right w:w="85" w:type="dxa"/>
            </w:tcMar>
            <w:shd w:fill="E8EEF8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BEFORE   ORIGINAL UI</w:t>
            </w:r>
          </w:p>
        </w:tc>
        <w:tc>
          <w:tcPr>
            <w:tcW w:type="dxa" w:w="7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85" w:type="dxa"/>
              <w:right w:w="85" w:type="dxa"/>
            </w:tcMar>
            <w:shd w:fill="E8EEF8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AFTER   UPDATED LIVE UI</w:t>
            </w:r>
          </w:p>
        </w:tc>
      </w:tr>
      <w:tr>
        <w:trPr>
          <w:cantSplit/>
        </w:trPr>
        <w:tc>
          <w:tcPr>
            <w:tcW w:type="dxa" w:w="7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54880" cy="3700732"/>
                  <wp:docPr id="15" name="Picture 15" descr="Report exports before chang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-before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37007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54880" cy="3700732"/>
                  <wp:docPr id="16" name="Picture 16" descr="Report exports after implemented chang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-after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37007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40" w:line="72" w:lineRule="auto"/>
      </w:pPr>
      <w:r>
        <w:rPr>
          <w:sz w:val="4"/>
        </w:rPr>
      </w:r>
    </w:p>
    <w:p>
      <w:r>
        <w:rPr>
          <w:b/>
        </w:rPr>
        <w:t xml:space="preserve">Before </w:t>
      </w:r>
      <w:r>
        <w:t>A large technical security explanation occupied space above the download choices.</w:t>
      </w:r>
    </w:p>
    <w:p>
      <w:r>
        <w:rPr>
          <w:b/>
        </w:rPr>
        <w:t xml:space="preserve">After </w:t>
      </w:r>
      <w:r>
        <w:t>Download choices move higher. Format and spreadsheet safety details remain available in an expandable section.</w:t>
      </w:r>
    </w:p>
    <w:p>
      <w:r>
        <w:rPr>
          <w:b/>
        </w:rPr>
        <w:t xml:space="preserve">Design principle </w:t>
      </w:r>
      <w:r>
        <w:t>Progressive disclosure prioritizes the main task while retaining supporting technical information.</w:t>
      </w:r>
    </w:p>
    <w:p>
      <w:r>
        <w:br w:type="page"/>
      </w:r>
    </w:p>
    <w:p>
      <w:pPr>
        <w:pStyle w:val="Heading1"/>
      </w:pPr>
      <w:r>
        <w:t>9 Family setup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69"/>
        <w:gridCol w:w="7769"/>
      </w:tblGrid>
      <w:tr>
        <w:trPr>
          <w:cantSplit/>
        </w:trPr>
        <w:tc>
          <w:tcPr>
            <w:tcW w:type="dxa" w:w="7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85" w:type="dxa"/>
              <w:right w:w="85" w:type="dxa"/>
            </w:tcMar>
            <w:shd w:fill="E8EEF8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BEFORE   ORIGINAL UI</w:t>
            </w:r>
          </w:p>
        </w:tc>
        <w:tc>
          <w:tcPr>
            <w:tcW w:type="dxa" w:w="7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85" w:type="dxa"/>
              <w:right w:w="85" w:type="dxa"/>
            </w:tcMar>
            <w:shd w:fill="E8EEF8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AFTER   UPDATED LIVE UI</w:t>
            </w:r>
          </w:p>
        </w:tc>
      </w:tr>
      <w:tr>
        <w:trPr>
          <w:cantSplit/>
        </w:trPr>
        <w:tc>
          <w:tcPr>
            <w:tcW w:type="dxa" w:w="7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54880" cy="3699225"/>
                  <wp:docPr id="17" name="Picture 17" descr="Family setup before chang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-before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3699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54880" cy="3700732"/>
                  <wp:docPr id="18" name="Picture 18" descr="Family setup after implemented chang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-after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37007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40" w:line="72" w:lineRule="auto"/>
      </w:pPr>
      <w:r>
        <w:rPr>
          <w:sz w:val="4"/>
        </w:rPr>
      </w:r>
    </w:p>
    <w:p>
      <w:r>
        <w:rPr>
          <w:b/>
        </w:rPr>
        <w:t xml:space="preserve">Before </w:t>
      </w:r>
      <w:r>
        <w:t>The setup card described household features without a visible invitation sequence.</w:t>
      </w:r>
    </w:p>
    <w:p>
      <w:r>
        <w:rPr>
          <w:b/>
        </w:rPr>
        <w:t xml:space="preserve">After </w:t>
      </w:r>
      <w:r>
        <w:t>Three visible steps explain invitation, acceptance, and the shared household view.</w:t>
      </w:r>
    </w:p>
    <w:p>
      <w:r>
        <w:rPr>
          <w:b/>
        </w:rPr>
        <w:t xml:space="preserve">Design principle </w:t>
      </w:r>
      <w:r>
        <w:t>Recognition reduces the need to infer the workflow. Clear sequencing explains what happens after an invitation.</w:t>
      </w:r>
    </w:p>
    <w:p>
      <w:r>
        <w:br w:type="page"/>
      </w:r>
    </w:p>
    <w:p>
      <w:pPr>
        <w:pStyle w:val="Heading1"/>
      </w:pPr>
      <w:r>
        <w:t>10 Profile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69"/>
        <w:gridCol w:w="7769"/>
      </w:tblGrid>
      <w:tr>
        <w:trPr>
          <w:cantSplit/>
        </w:trPr>
        <w:tc>
          <w:tcPr>
            <w:tcW w:type="dxa" w:w="7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85" w:type="dxa"/>
              <w:right w:w="85" w:type="dxa"/>
            </w:tcMar>
            <w:shd w:fill="E8EEF8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BEFORE   ORIGINAL UI</w:t>
            </w:r>
          </w:p>
        </w:tc>
        <w:tc>
          <w:tcPr>
            <w:tcW w:type="dxa" w:w="7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85" w:type="dxa"/>
              <w:right w:w="85" w:type="dxa"/>
            </w:tcMar>
            <w:shd w:fill="E8EEF8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AFTER   UPDATED LIVE UI</w:t>
            </w:r>
          </w:p>
        </w:tc>
      </w:tr>
      <w:tr>
        <w:trPr>
          <w:cantSplit/>
        </w:trPr>
        <w:tc>
          <w:tcPr>
            <w:tcW w:type="dxa" w:w="7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54880" cy="3699225"/>
                  <wp:docPr id="19" name="Picture 19" descr="Profile before chang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-before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3699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54880" cy="3699225"/>
                  <wp:docPr id="20" name="Picture 20" descr="Profile after implemented chang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-after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3699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40" w:line="72" w:lineRule="auto"/>
      </w:pPr>
      <w:r>
        <w:rPr>
          <w:sz w:val="4"/>
        </w:rPr>
      </w:r>
    </w:p>
    <w:p>
      <w:r>
        <w:rPr>
          <w:b/>
        </w:rPr>
        <w:t xml:space="preserve">Before </w:t>
      </w:r>
      <w:r>
        <w:t>The profile route mainly displayed planned features and roadmap content.</w:t>
      </w:r>
    </w:p>
    <w:p>
      <w:r>
        <w:rPr>
          <w:b/>
        </w:rPr>
        <w:t xml:space="preserve">After </w:t>
      </w:r>
      <w:r>
        <w:t>The page shows current account details and saved financial baseline, with a working Family shortcut. Future features are collapsed.</w:t>
      </w:r>
    </w:p>
    <w:p>
      <w:r>
        <w:rPr>
          <w:b/>
        </w:rPr>
        <w:t xml:space="preserve">Design principle </w:t>
      </w:r>
      <w:r>
        <w:t>Visibility of system status exposes useful current information. Progressive disclosure gives planned features less prominence.</w:t>
      </w:r>
    </w:p>
    <w:sectPr w:rsidR="00FC693F" w:rsidRPr="0006063C" w:rsidSect="00034616">
      <w:footerReference w:type="default" r:id="rId9"/>
      <w:pgSz w:w="16834" w:h="11909"/>
      <w:pgMar w:top="619" w:right="648" w:bottom="619" w:left="648" w:header="259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FINAURA  |  Experiment 8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Relationship Id="rId22" Type="http://schemas.openxmlformats.org/officeDocument/2006/relationships/image" Target="media/image13.jpg"/><Relationship Id="rId23" Type="http://schemas.openxmlformats.org/officeDocument/2006/relationships/image" Target="media/image14.jpg"/><Relationship Id="rId24" Type="http://schemas.openxmlformats.org/officeDocument/2006/relationships/image" Target="media/image15.jpg"/><Relationship Id="rId25" Type="http://schemas.openxmlformats.org/officeDocument/2006/relationships/image" Target="media/image16.jpg"/><Relationship Id="rId26" Type="http://schemas.openxmlformats.org/officeDocument/2006/relationships/image" Target="media/image17.jpg"/><Relationship Id="rId27" Type="http://schemas.openxmlformats.org/officeDocument/2006/relationships/image" Target="media/image18.jpg"/><Relationship Id="rId28" Type="http://schemas.openxmlformats.org/officeDocument/2006/relationships/image" Target="media/image19.jpg"/><Relationship Id="rId29" Type="http://schemas.openxmlformats.org/officeDocument/2006/relationships/image" Target="media/image2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8</dc:title>
  <dc:subject>FINAURA frontend before and after software design improvements</dc:subject>
  <dc:creator>FINAURA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