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533" w:rsidRDefault="00DF4533" w:rsidP="00DF4533">
      <w:pPr>
        <w:autoSpaceDE w:val="0"/>
        <w:autoSpaceDN w:val="0"/>
        <w:adjustRightInd w:val="0"/>
        <w:jc w:val="center"/>
        <w:rPr>
          <w:b/>
          <w:color w:val="000000"/>
          <w:sz w:val="36"/>
          <w:szCs w:val="36"/>
        </w:rPr>
      </w:pPr>
      <w:bookmarkStart w:id="0" w:name="_GoBack"/>
      <w:bookmarkEnd w:id="0"/>
      <w:r>
        <w:rPr>
          <w:b/>
          <w:color w:val="000000"/>
          <w:sz w:val="36"/>
          <w:szCs w:val="36"/>
        </w:rPr>
        <w:t>REFERENCES</w:t>
      </w:r>
    </w:p>
    <w:p w:rsidR="00DF4533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  <w:lang w:val="pt-BR"/>
        </w:rPr>
        <w:t xml:space="preserve">[1] </w:t>
      </w:r>
      <w:r w:rsidRPr="003857BE">
        <w:rPr>
          <w:color w:val="000000"/>
          <w:szCs w:val="24"/>
          <w:lang w:val="pt-BR"/>
        </w:rPr>
        <w:t>V.</w:t>
      </w:r>
      <w:r w:rsidR="00891CCD">
        <w:rPr>
          <w:color w:val="000000"/>
          <w:szCs w:val="24"/>
          <w:lang w:val="pt-BR"/>
        </w:rPr>
        <w:t xml:space="preserve"> Subramanyam and Sabu Emmanuel, “</w:t>
      </w:r>
      <w:r w:rsidRPr="003857BE">
        <w:rPr>
          <w:color w:val="000000"/>
          <w:szCs w:val="24"/>
        </w:rPr>
        <w:t>Robust Watermarking of Compressed and Encrypted JPEG2000 Images”, IEEE transactions on multimedia, vol. 14, no. 3, june 2012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2</w:t>
      </w:r>
      <w:r w:rsidRPr="003857BE">
        <w:rPr>
          <w:color w:val="000000"/>
          <w:szCs w:val="24"/>
        </w:rPr>
        <w:t>] S.Hwang,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K.Yoon,K.Jun,andK.Lee, “Modeling and implementation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of digital rights,” J. Syst. Softw., vol. 73, no. 3, pp. 533–549, 2004.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 xml:space="preserve">3] A.Sachan,S.Emmanuel,A.Das </w:t>
      </w:r>
      <w:r w:rsidRPr="003857BE">
        <w:rPr>
          <w:color w:val="000000"/>
          <w:szCs w:val="24"/>
        </w:rPr>
        <w:t>and M. S. Kankanhalli, “Privacy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preservingmultiparty multilevel DRM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architecture,” in Proc. 6th IEEE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Consumer Communications and Networking Conf., Workshop Digital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Rights Management, 2009, pp. 1–5.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4] T.Thomas, S.</w:t>
      </w:r>
      <w:r w:rsidRPr="003857BE">
        <w:rPr>
          <w:color w:val="000000"/>
          <w:szCs w:val="24"/>
        </w:rPr>
        <w:t>Emmanuel, A. Subramanyam, and M. Kankanhalli,“Joint watermarking scheme for multiparty multilevel DRM architecture,” IEEE Trans. Inf. Forensics Security, vol. 4, no. 4, pp. 758–767,Dec. 2009.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 xml:space="preserve">5] </w:t>
      </w:r>
      <w:r w:rsidRPr="003857BE">
        <w:rPr>
          <w:color w:val="000000"/>
          <w:szCs w:val="24"/>
        </w:rPr>
        <w:t>A.Subramanyam,S.Emmanuel, and M. Kankanhalli, “Compressed-encrypted domain JPEG2000 image watermarking,” in Proc. IEEE Int.Conf. Multimedia and Expo, 2010, pp. 1315–1320.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6</w:t>
      </w:r>
      <w:r w:rsidRPr="003857BE">
        <w:rPr>
          <w:color w:val="000000"/>
          <w:szCs w:val="24"/>
        </w:rPr>
        <w:t>] H.Wu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and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D.Ma,“Efﬁcient and secure encryption schemes for JPEG2000,” in Proc. IEEE Int. Conf. Acoustics, Speech and Signal Processing, 2004, vol. 5, pp. 869–872.</w:t>
      </w:r>
    </w:p>
    <w:p w:rsidR="00DF4533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7</w:t>
      </w:r>
      <w:r w:rsidRPr="003857BE">
        <w:rPr>
          <w:color w:val="000000"/>
          <w:szCs w:val="24"/>
        </w:rPr>
        <w:t>] M.Deng, T. Bianchi,A. Piva, and B. Preneel, “An efﬁcient buyer-seller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watermarking protocol based on composite signal representation,” in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Proc. 11th ACM Workshop Multimedia and Security, 2009, pp. 9–18.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8</w:t>
      </w:r>
      <w:r w:rsidRPr="003857BE">
        <w:rPr>
          <w:color w:val="000000"/>
          <w:szCs w:val="24"/>
        </w:rPr>
        <w:t>] T. Bianchi, A. Piva, and M. Barni, “Composite signal representation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for fast and storage-efﬁcient processing of encrypted signals,” IEEE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Trans. Inf. Forensics Security, vol. 5, no. 1, pp. 180–187, Mar. 2010.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>[</w:t>
      </w:r>
      <w:r>
        <w:rPr>
          <w:color w:val="000000"/>
          <w:szCs w:val="24"/>
        </w:rPr>
        <w:t>9</w:t>
      </w:r>
      <w:r w:rsidRPr="003857BE">
        <w:rPr>
          <w:color w:val="000000"/>
          <w:szCs w:val="24"/>
        </w:rPr>
        <w:t>] S. Lian, Z. Liu, R. Zhen, and H. Wang, “Commutative watermarking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and encryption for media data,” Opt. Eng., vol. 45, pp. 1–3, 2006.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lastRenderedPageBreak/>
        <w:t xml:space="preserve"> </w:t>
      </w:r>
      <w:r>
        <w:rPr>
          <w:color w:val="000000"/>
          <w:szCs w:val="24"/>
        </w:rPr>
        <w:t>[10</w:t>
      </w:r>
      <w:r w:rsidRPr="003857BE">
        <w:rPr>
          <w:color w:val="000000"/>
          <w:szCs w:val="24"/>
        </w:rPr>
        <w:t>] M. Cancellaro, F. Battisti, M. Carli, G. Boato, F. De Natale, and A.Neri, “A joint digital watermarking and encryption method,” in Proc.SPIE Security, Forensics, Steganography, and Watermarking of Multi-media Contents X, 2008, vol. 6819, pp. 68 191C–68 191C.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[11</w:t>
      </w:r>
      <w:r w:rsidRPr="003857BE">
        <w:rPr>
          <w:color w:val="000000"/>
          <w:szCs w:val="24"/>
        </w:rPr>
        <w:t>] J. Prins, Z. Erkin, and R. Lagendijk, “Anonymous ﬁngerprinting with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robust QIM watermarking techniques,” EURASIP J. Inf. Security, vol.2007.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[12] Z.</w:t>
      </w:r>
      <w:r w:rsidRPr="003857BE">
        <w:rPr>
          <w:color w:val="000000"/>
          <w:szCs w:val="24"/>
        </w:rPr>
        <w:t>Li, X. Zhu, Y. Lian, and Q. Sun, “Constructing secure content-dependent watermarking scheme using homomorphic encryption,” in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Proc. IEEE Int. Conf. Multimedia and Expo, 2007, pp. 627–630.</w:t>
      </w:r>
    </w:p>
    <w:p w:rsidR="00DF4533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[13</w:t>
      </w:r>
      <w:r w:rsidRPr="003857BE">
        <w:rPr>
          <w:color w:val="000000"/>
          <w:szCs w:val="24"/>
        </w:rPr>
        <w:t>] R. Rivest, A. Shamir, and L. Adleman, “A method for obtaining digital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signatures and public-key cryptosystems,” Commun. ACM,vol.21,no.2, pp. 120–126, 1978.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[14]</w:t>
      </w:r>
      <w:r w:rsidRPr="003857BE">
        <w:rPr>
          <w:color w:val="000000"/>
          <w:szCs w:val="24"/>
        </w:rPr>
        <w:t xml:space="preserve"> S. Goldwasser and S. Micali, “Probabilistic encryption,” J. Comput.Syst. Sci., vol. 28, no. 2, pp. 270–299, 1984.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[15</w:t>
      </w:r>
      <w:r w:rsidRPr="003857BE">
        <w:rPr>
          <w:color w:val="000000"/>
          <w:szCs w:val="24"/>
        </w:rPr>
        <w:t>] P. Paillier, “Public-key cryptosystems based on composite degree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residuosity classes,” Lecture Notes in Computer Science, pp. 223–238,1999.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[16</w:t>
      </w:r>
      <w:r w:rsidRPr="003857BE">
        <w:rPr>
          <w:color w:val="000000"/>
          <w:szCs w:val="24"/>
        </w:rPr>
        <w:t>] C. Castelluccia, E. Mykletun, and G. Tsudik, “Efﬁcient aggregation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of encrypted data in wireless sensor networks,” in Proc. 2nd Annu.Int. Conf. Mobile and Ubiquitous Systems: Networking and Services(MobiQuitous 2005), 2005, pp. 109–117.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[17</w:t>
      </w:r>
      <w:r w:rsidRPr="003857BE">
        <w:rPr>
          <w:color w:val="000000"/>
          <w:szCs w:val="24"/>
        </w:rPr>
        <w:t>] J. Eggers, R. Bauml, R. Tzschoppe, and B. Girod, “Scalar costa scheme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for information embedding,” IEEE Trans. Signal Process., vol. 51, no.4, pp. 1003–1019, Apr. 2003.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[18</w:t>
      </w:r>
      <w:r w:rsidRPr="003857BE">
        <w:rPr>
          <w:color w:val="000000"/>
          <w:szCs w:val="24"/>
        </w:rPr>
        <w:t>] F. Perez-Gonzalez, C.Mosquera,M. Barni, and A. Abrardo, “Rational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dither modulation: A high-rate data-hiding method invariant to gain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attacks,” IEEE Trans. Signal Process., vol. 53, no. 10, pt. 2, pp.3960–3975, Oct. 2005.</w:t>
      </w:r>
    </w:p>
    <w:p w:rsidR="00DF4533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 w:rsidRPr="003857BE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[19</w:t>
      </w:r>
      <w:r w:rsidRPr="003857BE">
        <w:rPr>
          <w:color w:val="000000"/>
          <w:szCs w:val="24"/>
        </w:rPr>
        <w:t>] C. Shannon, “Communication theory of secrecy systems,” MD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Comput., vol. 15, no. 1, pp. 57–64, 1998.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lastRenderedPageBreak/>
        <w:t>[20</w:t>
      </w:r>
      <w:r w:rsidRPr="003857BE">
        <w:rPr>
          <w:color w:val="000000"/>
          <w:szCs w:val="24"/>
        </w:rPr>
        <w:t>] N. Memon and P. Wong, “A buyer-seller watermarking protocol,”IEEE Trans. Image Process., vol. 10, no. 4, pp. 643–649, Apr. 2001.</w:t>
      </w:r>
    </w:p>
    <w:p w:rsidR="00DF4533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[21</w:t>
      </w:r>
      <w:r w:rsidRPr="003857BE">
        <w:rPr>
          <w:color w:val="000000"/>
          <w:szCs w:val="24"/>
        </w:rPr>
        <w:t>] A. Abrardo, M. Barni, F. Pérez-González, and C. Mosquera, “Improving the performance of RDM watermarking by means of trellis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coded quantisation,” IEE Proc. Inf. Security, vol. 153, no. 3, pp.107–114, 2006.</w:t>
      </w:r>
    </w:p>
    <w:p w:rsidR="00DF4533" w:rsidRPr="003857BE" w:rsidRDefault="00DF4533" w:rsidP="00DF4533">
      <w:pPr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[22</w:t>
      </w:r>
      <w:r w:rsidRPr="003857BE">
        <w:rPr>
          <w:color w:val="000000"/>
          <w:szCs w:val="24"/>
        </w:rPr>
        <w:t>] F. Pérez-González, F. Balado, and J. Martin, “Performance analysis of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existing and newmethods for data hiding with known-host information</w:t>
      </w:r>
      <w:r>
        <w:rPr>
          <w:color w:val="000000"/>
          <w:szCs w:val="24"/>
        </w:rPr>
        <w:t xml:space="preserve"> </w:t>
      </w:r>
      <w:r w:rsidRPr="003857BE">
        <w:rPr>
          <w:color w:val="000000"/>
          <w:szCs w:val="24"/>
        </w:rPr>
        <w:t>in additive channels,” IEEE Trans. Signal Process.,vol.51,no.4,pp.960–980, Apr. 2003.</w:t>
      </w:r>
    </w:p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/>
    <w:p w:rsidR="00DF4533" w:rsidRDefault="00DF4533" w:rsidP="00DF4533">
      <w:pPr>
        <w:autoSpaceDE w:val="0"/>
        <w:autoSpaceDN w:val="0"/>
        <w:adjustRightInd w:val="0"/>
        <w:spacing w:after="0"/>
        <w:jc w:val="center"/>
        <w:rPr>
          <w:b/>
          <w:sz w:val="36"/>
          <w:szCs w:val="36"/>
        </w:rPr>
      </w:pPr>
    </w:p>
    <w:p w:rsidR="00DF4533" w:rsidRDefault="00DF4533" w:rsidP="00DF4533">
      <w:pPr>
        <w:autoSpaceDE w:val="0"/>
        <w:autoSpaceDN w:val="0"/>
        <w:adjustRightInd w:val="0"/>
        <w:spacing w:after="0"/>
        <w:jc w:val="center"/>
        <w:rPr>
          <w:b/>
          <w:sz w:val="36"/>
          <w:szCs w:val="36"/>
        </w:rPr>
      </w:pPr>
    </w:p>
    <w:p w:rsidR="00DF4533" w:rsidRDefault="00DF4533" w:rsidP="00DF4533">
      <w:pPr>
        <w:autoSpaceDE w:val="0"/>
        <w:autoSpaceDN w:val="0"/>
        <w:adjustRightInd w:val="0"/>
        <w:spacing w:after="0"/>
        <w:jc w:val="center"/>
        <w:rPr>
          <w:b/>
          <w:sz w:val="36"/>
          <w:szCs w:val="36"/>
        </w:rPr>
      </w:pPr>
    </w:p>
    <w:p w:rsidR="00DF4533" w:rsidRDefault="00DF4533" w:rsidP="00DF4533">
      <w:pPr>
        <w:autoSpaceDE w:val="0"/>
        <w:autoSpaceDN w:val="0"/>
        <w:adjustRightInd w:val="0"/>
        <w:spacing w:after="0"/>
        <w:jc w:val="center"/>
        <w:rPr>
          <w:b/>
          <w:sz w:val="36"/>
          <w:szCs w:val="36"/>
        </w:rPr>
      </w:pPr>
    </w:p>
    <w:p w:rsidR="00DF4533" w:rsidRDefault="00992428" w:rsidP="00DF4533">
      <w:pPr>
        <w:autoSpaceDE w:val="0"/>
        <w:autoSpaceDN w:val="0"/>
        <w:adjustRightInd w:val="0"/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APPENDICES</w:t>
      </w:r>
    </w:p>
    <w:p w:rsidR="00992428" w:rsidRDefault="00992428" w:rsidP="00992428">
      <w:pPr>
        <w:autoSpaceDE w:val="0"/>
        <w:autoSpaceDN w:val="0"/>
        <w:adjustRightInd w:val="0"/>
        <w:spacing w:after="0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t>APPENDIX</w:t>
      </w:r>
      <w:r w:rsidR="00A85EB0">
        <w:rPr>
          <w:b/>
          <w:sz w:val="36"/>
          <w:szCs w:val="36"/>
        </w:rPr>
        <w:t>-A</w:t>
      </w:r>
    </w:p>
    <w:p w:rsidR="00DF4533" w:rsidRPr="00945C4F" w:rsidRDefault="00DF4533" w:rsidP="00DF4533">
      <w:pPr>
        <w:autoSpaceDE w:val="0"/>
        <w:autoSpaceDN w:val="0"/>
        <w:adjustRightInd w:val="0"/>
        <w:spacing w:after="0"/>
        <w:rPr>
          <w:b/>
          <w:sz w:val="36"/>
          <w:szCs w:val="36"/>
        </w:rPr>
      </w:pPr>
      <w:r w:rsidRPr="00DF5CBA">
        <w:rPr>
          <w:b/>
          <w:sz w:val="28"/>
          <w:szCs w:val="28"/>
        </w:rPr>
        <w:t>MATLAB</w:t>
      </w:r>
      <w:r w:rsidRPr="00DF5CBA">
        <w:rPr>
          <w:b/>
          <w:sz w:val="28"/>
          <w:szCs w:val="28"/>
        </w:rPr>
        <w:tab/>
      </w:r>
    </w:p>
    <w:p w:rsidR="00DF4533" w:rsidRDefault="00DF4533" w:rsidP="00DF4533">
      <w:pPr>
        <w:tabs>
          <w:tab w:val="left" w:pos="720"/>
        </w:tabs>
        <w:spacing w:after="0"/>
        <w:ind w:firstLine="1080"/>
        <w:rPr>
          <w:szCs w:val="24"/>
        </w:rPr>
      </w:pPr>
      <w:r w:rsidRPr="00DF5CBA">
        <w:rPr>
          <w:szCs w:val="24"/>
        </w:rPr>
        <w:t xml:space="preserve">This chapter provides a brief introduction to start and quit the MATLAB, and the tools and functions that help to work with MATLAB variables and files. </w:t>
      </w:r>
    </w:p>
    <w:p w:rsidR="00DF4533" w:rsidRPr="00DF5CBA" w:rsidRDefault="00DF4533" w:rsidP="00DF4533">
      <w:pPr>
        <w:tabs>
          <w:tab w:val="left" w:pos="720"/>
        </w:tabs>
        <w:spacing w:after="0"/>
        <w:ind w:firstLine="1080"/>
        <w:rPr>
          <w:szCs w:val="24"/>
        </w:rPr>
      </w:pPr>
    </w:p>
    <w:p w:rsidR="00A85EB0" w:rsidRDefault="00A85EB0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CD6D65" w:rsidRDefault="00CD6D65"/>
    <w:p w:rsidR="00A85EB0" w:rsidRDefault="00A85EB0"/>
    <w:p w:rsidR="00A85EB0" w:rsidRDefault="00A85EB0" w:rsidP="00A85EB0">
      <w:pPr>
        <w:autoSpaceDE w:val="0"/>
        <w:autoSpaceDN w:val="0"/>
        <w:adjustRightInd w:val="0"/>
        <w:spacing w:after="0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APPENDIX-B</w:t>
      </w:r>
    </w:p>
    <w:p w:rsidR="00A85EB0" w:rsidRDefault="00CD6D65" w:rsidP="00A85EB0">
      <w:pPr>
        <w:autoSpaceDE w:val="0"/>
        <w:autoSpaceDN w:val="0"/>
        <w:adjustRightInd w:val="0"/>
        <w:spacing w:after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SOURCE CODE</w:t>
      </w:r>
    </w:p>
    <w:sectPr w:rsidR="00A85EB0" w:rsidSect="00DF4533">
      <w:footerReference w:type="default" r:id="rId7"/>
      <w:pgSz w:w="12240" w:h="15840"/>
      <w:pgMar w:top="1440" w:right="1440" w:bottom="1440" w:left="1440" w:header="720" w:footer="720" w:gutter="0"/>
      <w:pgNumType w:fmt="lowerRoman"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ACB" w:rsidRDefault="00EE3ACB">
      <w:pPr>
        <w:spacing w:before="0" w:after="0" w:line="240" w:lineRule="auto"/>
      </w:pPr>
      <w:r>
        <w:separator/>
      </w:r>
    </w:p>
  </w:endnote>
  <w:endnote w:type="continuationSeparator" w:id="0">
    <w:p w:rsidR="00EE3ACB" w:rsidRDefault="00EE3AC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37348"/>
      <w:docPartObj>
        <w:docPartGallery w:val="Page Numbers (Bottom of Page)"/>
        <w:docPartUnique/>
      </w:docPartObj>
    </w:sdtPr>
    <w:sdtEndPr/>
    <w:sdtContent>
      <w:p w:rsidR="001D6C68" w:rsidRDefault="00A222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1CCD">
          <w:rPr>
            <w:noProof/>
          </w:rPr>
          <w:t>viii</w:t>
        </w:r>
        <w:r>
          <w:fldChar w:fldCharType="end"/>
        </w:r>
      </w:p>
    </w:sdtContent>
  </w:sdt>
  <w:p w:rsidR="001D6C68" w:rsidRDefault="00EE3A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ACB" w:rsidRDefault="00EE3ACB">
      <w:pPr>
        <w:spacing w:before="0" w:after="0" w:line="240" w:lineRule="auto"/>
      </w:pPr>
      <w:r>
        <w:separator/>
      </w:r>
    </w:p>
  </w:footnote>
  <w:footnote w:type="continuationSeparator" w:id="0">
    <w:p w:rsidR="00EE3ACB" w:rsidRDefault="00EE3AC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E24F3E"/>
    <w:multiLevelType w:val="hybridMultilevel"/>
    <w:tmpl w:val="4A0E66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D1942"/>
    <w:multiLevelType w:val="hybridMultilevel"/>
    <w:tmpl w:val="69AA18F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533"/>
    <w:rsid w:val="000776F0"/>
    <w:rsid w:val="000E1AE2"/>
    <w:rsid w:val="001A4F1E"/>
    <w:rsid w:val="001B3FA9"/>
    <w:rsid w:val="00372B5B"/>
    <w:rsid w:val="004F53BC"/>
    <w:rsid w:val="00506B21"/>
    <w:rsid w:val="0066014D"/>
    <w:rsid w:val="006665D7"/>
    <w:rsid w:val="0068039F"/>
    <w:rsid w:val="006B34A1"/>
    <w:rsid w:val="0076248F"/>
    <w:rsid w:val="00891CCD"/>
    <w:rsid w:val="00992428"/>
    <w:rsid w:val="009A48CC"/>
    <w:rsid w:val="00A2224F"/>
    <w:rsid w:val="00A36C71"/>
    <w:rsid w:val="00A76404"/>
    <w:rsid w:val="00A8039B"/>
    <w:rsid w:val="00A85EB0"/>
    <w:rsid w:val="00A94118"/>
    <w:rsid w:val="00CD6D65"/>
    <w:rsid w:val="00D35625"/>
    <w:rsid w:val="00D37388"/>
    <w:rsid w:val="00DF4533"/>
    <w:rsid w:val="00E21106"/>
    <w:rsid w:val="00E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BF51C8-DA69-4D2B-8E98-BE18F3C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mbol" w:eastAsiaTheme="minorHAnsi" w:hAnsi="Symbol" w:cs="Times New Roman"/>
        <w:spacing w:val="-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533"/>
    <w:pPr>
      <w:spacing w:before="120" w:after="240" w:line="360" w:lineRule="auto"/>
      <w:jc w:val="both"/>
    </w:pPr>
    <w:rPr>
      <w:rFonts w:ascii="Times New Roman" w:eastAsia="Calibri" w:hAnsi="Times New Roman" w:cs="Tunga"/>
      <w:spacing w:val="0"/>
      <w:sz w:val="24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533"/>
    <w:pPr>
      <w:spacing w:before="0" w:after="200" w:line="276" w:lineRule="auto"/>
      <w:ind w:left="720"/>
      <w:contextualSpacing/>
      <w:jc w:val="left"/>
    </w:pPr>
    <w:rPr>
      <w:rFonts w:ascii="Calibri" w:eastAsia="Times New Roman" w:hAnsi="Calibri" w:cs="Times New Roman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F453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533"/>
    <w:rPr>
      <w:rFonts w:ascii="Times New Roman" w:eastAsia="Calibri" w:hAnsi="Times New Roman" w:cs="Tunga"/>
      <w:spacing w:val="0"/>
      <w:sz w:val="24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Borappa</dc:creator>
  <cp:lastModifiedBy>Allamaprabhu</cp:lastModifiedBy>
  <cp:revision>4</cp:revision>
  <dcterms:created xsi:type="dcterms:W3CDTF">2015-06-17T04:52:00Z</dcterms:created>
  <dcterms:modified xsi:type="dcterms:W3CDTF">2020-04-08T14:21:00Z</dcterms:modified>
</cp:coreProperties>
</file>