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560" w:after="80" w:line="240" w:lineRule="auto"/>
        <w:jc w:val="left"/>
      </w:pPr>
      <w:r>
        <w:rPr>
          <w:rFonts w:ascii="Arial" w:hAnsi="Arial"/>
          <w:b/>
          <w:color w:val="147D7E"/>
          <w:sz w:val="24"/>
        </w:rPr>
        <w:t>AAROGYAM</w:t>
      </w:r>
    </w:p>
    <w:p>
      <w:pPr>
        <w:pStyle w:val="Title"/>
        <w:jc w:val="left"/>
      </w:pPr>
      <w:r>
        <w:rPr>
          <w:rFonts w:ascii="Arial" w:hAnsi="Arial"/>
          <w:b/>
          <w:color w:val="16324F"/>
          <w:sz w:val="58"/>
        </w:rPr>
        <w:t>Patient Intake and</w:t>
        <w:br/>
        <w:t>Clinical Workflow Specification</w:t>
      </w:r>
    </w:p>
    <w:p>
      <w:pPr>
        <w:pStyle w:val="Subtitle"/>
      </w:pPr>
      <w:r>
        <w:rPr>
          <w:rFonts w:ascii="Arial" w:hAnsi="Arial"/>
          <w:color w:val="5B6875"/>
          <w:sz w:val="26"/>
        </w:rPr>
        <w:t>Kiosk, patient app, staff portal and doctor portal</w:t>
      </w:r>
    </w:p>
    <w:tbl>
      <w:tblPr>
        <w:tblW w:type="auto" w:w="0"/>
        <w:jc w:val="left"/>
        <w:tblLayout w:type="fixed"/>
        <w:tblLook w:firstColumn="1" w:firstRow="1" w:lastColumn="0" w:lastRow="0" w:noHBand="0" w:noVBand="1" w:val="04A0"/>
      </w:tblPr>
      <w:tblGrid>
        <w:gridCol w:w="5083"/>
        <w:gridCol w:w="5083"/>
      </w:tblGrid>
      <w:tr>
        <w:tc>
          <w:tcPr>
            <w:tcW w:type="dxa" w:w="6912"/>
            <w:tcMar>
              <w:top w:w="120" w:type="dxa"/>
              <w:start w:w="130" w:type="dxa"/>
              <w:bottom w:w="120" w:type="dxa"/>
              <w:end w:w="130" w:type="dxa"/>
            </w:tcMar>
            <w:tcBorders>
              <w:top w:val="single" w:sz="10" w:color="147D7E"/>
              <w:bottom w:val="single" w:sz="4" w:color="D9E1E7"/>
              <w:start w:val="single" w:sz="4" w:color="D9E1E7"/>
              <w:end w:val="single" w:sz="4" w:color="D9E1E7"/>
            </w:tcBorders>
            <w:shd w:fill="EAF6F5"/>
          </w:tcPr>
          <w:p>
            <w:pPr>
              <w:keepNext w:val="0"/>
              <w:spacing w:before="0" w:after="0" w:line="264" w:lineRule="auto"/>
            </w:pPr>
            <w:r>
              <w:rPr>
                <w:rFonts w:ascii="Arial" w:hAnsi="Arial"/>
                <w:b/>
                <w:color w:val="147D7E"/>
                <w:sz w:val="18"/>
              </w:rPr>
              <w:t>Purpose</w:t>
              <w:br/>
            </w:r>
            <w:r>
              <w:rPr>
                <w:rFonts w:ascii="Arial" w:hAnsi="Arial"/>
                <w:color w:val="1B2733"/>
                <w:sz w:val="20"/>
              </w:rPr>
              <w:t>Define a safe, manageable patient journey without making Aarogyam responsible for the hospital's OPD queue or payment collection.</w:t>
            </w:r>
          </w:p>
        </w:tc>
        <w:tc>
          <w:tcPr>
            <w:tcW w:type="dxa" w:w="3168"/>
            <w:tcMar>
              <w:top w:w="120" w:type="dxa"/>
              <w:start w:w="130" w:type="dxa"/>
              <w:bottom w:w="120" w:type="dxa"/>
              <w:end w:w="130" w:type="dxa"/>
            </w:tcMar>
            <w:tcBorders>
              <w:top w:val="single" w:sz="10" w:color="147D7E"/>
              <w:bottom w:val="single" w:sz="4" w:color="D9E1E7"/>
              <w:start w:val="single" w:sz="4" w:color="D9E1E7"/>
              <w:end w:val="single" w:sz="4" w:color="D9E1E7"/>
            </w:tcBorders>
            <w:shd w:fill="FFFFFF"/>
          </w:tcPr>
          <w:p>
            <w:pPr>
              <w:keepNext w:val="0"/>
              <w:spacing w:before="0" w:after="0" w:line="269" w:lineRule="auto"/>
            </w:pPr>
            <w:r>
              <w:rPr>
                <w:rFonts w:ascii="Arial" w:hAnsi="Arial"/>
                <w:b/>
                <w:color w:val="5B6875"/>
                <w:sz w:val="15"/>
              </w:rPr>
              <w:t>Version</w:t>
              <w:br/>
            </w:r>
            <w:r>
              <w:rPr>
                <w:rFonts w:ascii="Arial" w:hAnsi="Arial"/>
                <w:b/>
                <w:color w:val="16324F"/>
                <w:sz w:val="18"/>
              </w:rPr>
              <w:t>1.0</w:t>
              <w:br/>
            </w:r>
            <w:r>
              <w:rPr>
                <w:rFonts w:ascii="Arial" w:hAnsi="Arial"/>
                <w:b/>
                <w:color w:val="5B6875"/>
                <w:sz w:val="15"/>
              </w:rPr>
              <w:t>Date</w:t>
              <w:br/>
            </w:r>
            <w:r>
              <w:rPr>
                <w:rFonts w:ascii="Arial" w:hAnsi="Arial"/>
                <w:b/>
                <w:color w:val="16324F"/>
                <w:sz w:val="18"/>
              </w:rPr>
              <w:t>19 September 2026</w:t>
              <w:br/>
            </w:r>
            <w:r>
              <w:rPr>
                <w:rFonts w:ascii="Arial" w:hAnsi="Arial"/>
                <w:b/>
                <w:color w:val="5B6875"/>
                <w:sz w:val="15"/>
              </w:rPr>
              <w:t>Status</w:t>
              <w:br/>
            </w:r>
            <w:r>
              <w:rPr>
                <w:rFonts w:ascii="Arial" w:hAnsi="Arial"/>
                <w:b/>
                <w:color w:val="16324F"/>
                <w:sz w:val="18"/>
              </w:rPr>
              <w:t>Approved design basis</w:t>
              <w:br/>
            </w:r>
          </w:p>
        </w:tc>
      </w:tr>
    </w:tbl>
    <w:p>
      <w:pPr>
        <w:spacing w:after="200"/>
      </w:pPr>
    </w:p>
    <w:tbl>
      <w:tblPr>
        <w:tblW w:type="auto" w:w="0"/>
        <w:jc w:val="center"/>
        <w:tblLayout w:type="fixed"/>
        <w:tblLook w:firstColumn="1" w:firstRow="1" w:lastColumn="0" w:lastRow="0" w:noHBand="0" w:noVBand="1" w:val="04A0"/>
      </w:tblPr>
      <w:tblGrid>
        <w:gridCol w:w="5083"/>
        <w:gridCol w:w="5083"/>
      </w:tblGrid>
      <w:tr>
        <w:tc>
          <w:tcPr>
            <w:tcW w:type="dxa" w:w="4824"/>
            <w:shd w:fill="EAF6F5"/>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KIOSK</w:t>
            </w:r>
            <w:r>
              <w:rPr>
                <w:rFonts w:ascii="Arial" w:hAnsi="Arial"/>
                <w:color w:val="5B6875"/>
                <w:sz w:val="15"/>
              </w:rPr>
              <w:br/>
              <w:t>Login identifies the patient; screen shows only name + AI chat</w:t>
            </w:r>
          </w:p>
        </w:tc>
        <w:tc>
          <w:tcPr>
            <w:tcW w:type="dxa" w:w="4824"/>
            <w:shd w:fill="EEF4F8"/>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PATIENT PHONE</w:t>
            </w:r>
            <w:r>
              <w:rPr>
                <w:rFonts w:ascii="Arial" w:hAnsi="Arial"/>
                <w:color w:val="5B6875"/>
                <w:sz w:val="15"/>
              </w:rPr>
              <w:br/>
              <w:t>Scan rotating hospital QR, then authenticate and open AI chat</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EAF6F5"/>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AI INTAKE COMPLETE</w:t>
            </w:r>
            <w:r>
              <w:rPr>
                <w:rFonts w:ascii="Arial" w:hAnsi="Arial"/>
                <w:color w:val="5B6875"/>
                <w:sz w:val="15"/>
              </w:rPr>
              <w:br/>
              <w:t>Store patient-reported summary and issue temporary verification number</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FFF7E6"/>
            <w:tcMar>
              <w:top w:w="105" w:type="dxa"/>
              <w:start w:w="110" w:type="dxa"/>
              <w:bottom w:w="105" w:type="dxa"/>
              <w:end w:w="110" w:type="dxa"/>
            </w:tcMar>
            <w:tcBorders>
              <w:top w:val="single" w:sz="10" w:color="B9770E"/>
              <w:bottom w:val="single" w:sz="10" w:color="B9770E"/>
              <w:start w:val="single" w:sz="10" w:color="B9770E"/>
              <w:end w:val="single" w:sz="10" w:color="B9770E"/>
            </w:tcBorders>
            <w:vAlign w:val="center"/>
          </w:tcPr>
          <w:p>
            <w:pPr>
              <w:keepNext w:val="0"/>
              <w:spacing w:before="0" w:after="0" w:line="245" w:lineRule="auto"/>
              <w:jc w:val="center"/>
            </w:pPr>
            <w:r>
              <w:rPr>
                <w:rFonts w:ascii="Arial" w:hAnsi="Arial"/>
                <w:b/>
                <w:color w:val="16324F"/>
                <w:sz w:val="18"/>
              </w:rPr>
              <w:t>STAFF VERIFICATION</w:t>
            </w:r>
            <w:r>
              <w:rPr>
                <w:rFonts w:ascii="Arial" w:hAnsi="Arial"/>
                <w:color w:val="5B6875"/>
                <w:sz w:val="15"/>
              </w:rPr>
              <w:br/>
              <w:t>Confirm two identifiers; find recent intake; hospital handles payment</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EEF4F8"/>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HOSPITAL OPD + STAFF ACTIONS</w:t>
            </w:r>
            <w:r>
              <w:rPr>
                <w:rFonts w:ascii="Arial" w:hAnsi="Arial"/>
                <w:color w:val="5B6875"/>
                <w:sz w:val="15"/>
              </w:rPr>
              <w:br/>
              <w:t>Hospital issues OPD number; staff links it, records vitals and uploads documents</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EDF7F1"/>
            <w:tcMar>
              <w:top w:w="105" w:type="dxa"/>
              <w:start w:w="110" w:type="dxa"/>
              <w:bottom w:w="105" w:type="dxa"/>
              <w:end w:w="110" w:type="dxa"/>
            </w:tcMar>
            <w:tcBorders>
              <w:top w:val="single" w:sz="10" w:color="2E7D5B"/>
              <w:bottom w:val="single" w:sz="10" w:color="2E7D5B"/>
              <w:start w:val="single" w:sz="10" w:color="2E7D5B"/>
              <w:end w:val="single" w:sz="10" w:color="2E7D5B"/>
            </w:tcBorders>
            <w:vAlign w:val="center"/>
          </w:tcPr>
          <w:p>
            <w:pPr>
              <w:keepNext w:val="0"/>
              <w:spacing w:before="0" w:after="0" w:line="245" w:lineRule="auto"/>
              <w:jc w:val="center"/>
            </w:pPr>
            <w:r>
              <w:rPr>
                <w:rFonts w:ascii="Arial" w:hAnsi="Arial"/>
                <w:b/>
                <w:color w:val="16324F"/>
                <w:sz w:val="18"/>
              </w:rPr>
              <w:t>DOCTOR CONSULTATION</w:t>
            </w:r>
            <w:r>
              <w:rPr>
                <w:rFonts w:ascii="Arial" w:hAnsi="Arial"/>
                <w:color w:val="5B6875"/>
                <w:sz w:val="15"/>
              </w:rPr>
              <w:br/>
              <w:t>Search by OPD number, verify patient, start consultation, review and prescribe</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EAF6F5"/>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PRESCRIPTION / REPORT PATH</w:t>
            </w:r>
            <w:r>
              <w:rPr>
                <w:rFonts w:ascii="Arial" w:hAnsi="Arial"/>
                <w:color w:val="5B6875"/>
                <w:sz w:val="15"/>
              </w:rPr>
              <w:br/>
              <w:t>Digital prescription publishes immediately; paper prescription and reports use verified upload</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EDF7F1"/>
            <w:tcMar>
              <w:top w:w="105" w:type="dxa"/>
              <w:start w:w="110" w:type="dxa"/>
              <w:bottom w:w="105" w:type="dxa"/>
              <w:end w:w="110" w:type="dxa"/>
            </w:tcMar>
            <w:tcBorders>
              <w:top w:val="single" w:sz="10" w:color="2E7D5B"/>
              <w:bottom w:val="single" w:sz="10" w:color="2E7D5B"/>
              <w:start w:val="single" w:sz="10" w:color="2E7D5B"/>
              <w:end w:val="single" w:sz="10" w:color="2E7D5B"/>
            </w:tcBorders>
            <w:vAlign w:val="center"/>
          </w:tcPr>
          <w:p>
            <w:pPr>
              <w:keepNext w:val="0"/>
              <w:spacing w:before="0" w:after="0" w:line="245" w:lineRule="auto"/>
              <w:jc w:val="center"/>
            </w:pPr>
            <w:r>
              <w:rPr>
                <w:rFonts w:ascii="Arial" w:hAnsi="Arial"/>
                <w:b/>
                <w:color w:val="16324F"/>
                <w:sz w:val="18"/>
              </w:rPr>
              <w:t>PATIENT APP</w:t>
            </w:r>
            <w:r>
              <w:rPr>
                <w:rFonts w:ascii="Arial" w:hAnsi="Arial"/>
                <w:color w:val="5B6875"/>
                <w:sz w:val="15"/>
              </w:rPr>
              <w:br/>
              <w:t>View finalized records, follow-up appointment and medicine reminders</w:t>
            </w:r>
          </w:p>
        </w:tc>
      </w:tr>
    </w:tbl>
    <w:p>
      <w:pPr>
        <w:spacing w:after="20"/>
      </w:pPr>
    </w:p>
    <w:p>
      <w:pPr>
        <w:keepNext w:val="0"/>
        <w:spacing w:before="80" w:after="0" w:line="252" w:lineRule="auto"/>
      </w:pPr>
      <w:r>
        <w:rPr>
          <w:rFonts w:ascii="Arial" w:hAnsi="Arial"/>
          <w:b/>
          <w:color w:val="147D7E"/>
          <w:sz w:val="20"/>
        </w:rPr>
        <w:t>Core design principle</w:t>
      </w:r>
    </w:p>
    <w:p>
      <w:pPr>
        <w:keepNext w:val="0"/>
        <w:spacing w:before="0" w:after="0" w:line="276" w:lineRule="auto"/>
      </w:pPr>
      <w:r>
        <w:rPr>
          <w:rFonts w:ascii="Arial" w:hAnsi="Arial"/>
          <w:b/>
          <w:color w:val="16324F"/>
          <w:sz w:val="26"/>
        </w:rPr>
        <w:t>AI intake prepares the encounter. Staff verifies and links it. The hospital issues the OPD number. The doctor completes the clinical record.</w:t>
      </w:r>
    </w:p>
    <w:p>
      <w:r>
        <w:br w:type="page"/>
      </w:r>
    </w:p>
    <w:p>
      <w:pPr>
        <w:pStyle w:val="Heading1"/>
      </w:pPr>
      <w:r>
        <w:t>Document 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7"/>
              </w:rPr>
              <w:t>Section</w:t>
            </w:r>
          </w:p>
        </w:tc>
        <w:tc>
          <w:tcPr>
            <w:tcW w:type="dxa" w:w="7272"/>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7"/>
              </w:rPr>
              <w:t>What it establishes</w:t>
            </w:r>
          </w:p>
        </w:tc>
      </w:tr>
      <w:tr>
        <w:trPr>
          <w:cantSplit/>
        </w:trPr>
        <w:tc>
          <w:tcPr>
            <w:tcW w:type="dxa" w:w="26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1. Scope and decisions</w:t>
            </w:r>
          </w:p>
        </w:tc>
        <w:tc>
          <w:tcPr>
            <w:tcW w:type="dxa" w:w="72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What Aarogyam owns, and what remains with the hospital</w:t>
            </w:r>
          </w:p>
        </w:tc>
      </w:tr>
      <w:tr>
        <w:trPr>
          <w:cantSplit/>
        </w:trPr>
        <w:tc>
          <w:tcPr>
            <w:tcW w:type="dxa" w:w="26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2. Roles and identifiers</w:t>
            </w:r>
          </w:p>
        </w:tc>
        <w:tc>
          <w:tcPr>
            <w:tcW w:type="dxa" w:w="72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Responsibilities and the identifiers used at each handoff</w:t>
            </w:r>
          </w:p>
        </w:tc>
      </w:tr>
      <w:tr>
        <w:trPr>
          <w:cantSplit/>
        </w:trPr>
        <w:tc>
          <w:tcPr>
            <w:tcW w:type="dxa" w:w="26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3. Patient entry</w:t>
            </w:r>
          </w:p>
        </w:tc>
        <w:tc>
          <w:tcPr>
            <w:tcW w:type="dxa" w:w="72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Kiosk and rotating hospital QR workflows</w:t>
            </w:r>
          </w:p>
        </w:tc>
      </w:tr>
      <w:tr>
        <w:trPr>
          <w:cantSplit/>
        </w:trPr>
        <w:tc>
          <w:tcPr>
            <w:tcW w:type="dxa" w:w="26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4. Staff operations</w:t>
            </w:r>
          </w:p>
        </w:tc>
        <w:tc>
          <w:tcPr>
            <w:tcW w:type="dxa" w:w="72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Recent-intake worklist, identity linking, vitals and documents</w:t>
            </w:r>
          </w:p>
        </w:tc>
      </w:tr>
      <w:tr>
        <w:trPr>
          <w:cantSplit/>
        </w:trPr>
        <w:tc>
          <w:tcPr>
            <w:tcW w:type="dxa" w:w="26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5. Doctor workflow</w:t>
            </w:r>
          </w:p>
        </w:tc>
        <w:tc>
          <w:tcPr>
            <w:tcW w:type="dxa" w:w="72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Safe search, verification, consultation and prescription</w:t>
            </w:r>
          </w:p>
        </w:tc>
      </w:tr>
      <w:tr>
        <w:trPr>
          <w:cantSplit/>
        </w:trPr>
        <w:tc>
          <w:tcPr>
            <w:tcW w:type="dxa" w:w="26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6. Records and follow-up</w:t>
            </w:r>
          </w:p>
        </w:tc>
        <w:tc>
          <w:tcPr>
            <w:tcW w:type="dxa" w:w="72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Reports, patient portal, appointments and medicine reminders</w:t>
            </w:r>
          </w:p>
        </w:tc>
      </w:tr>
      <w:tr>
        <w:trPr>
          <w:cantSplit/>
        </w:trPr>
        <w:tc>
          <w:tcPr>
            <w:tcW w:type="dxa" w:w="26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7. Statuses and exceptions</w:t>
            </w:r>
          </w:p>
        </w:tc>
        <w:tc>
          <w:tcPr>
            <w:tcW w:type="dxa" w:w="72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Abandoned visits, duplicates, emergencies and recovery paths</w:t>
            </w:r>
          </w:p>
        </w:tc>
      </w:tr>
      <w:tr>
        <w:trPr>
          <w:cantSplit/>
        </w:trPr>
        <w:tc>
          <w:tcPr>
            <w:tcW w:type="dxa" w:w="26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8. Access, audit and acceptance</w:t>
            </w:r>
          </w:p>
        </w:tc>
        <w:tc>
          <w:tcPr>
            <w:tcW w:type="dxa" w:w="72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Minimum controls and MVP completion criteria</w:t>
            </w:r>
          </w:p>
        </w:tc>
      </w:tr>
    </w:tbl>
    <w:p>
      <w:pPr>
        <w:spacing w:after="20"/>
      </w:pPr>
    </w:p>
    <w:p>
      <w:pPr>
        <w:pStyle w:val="Heading1"/>
      </w:pPr>
      <w:r>
        <w:t>Executive summary</w:t>
      </w:r>
    </w:p>
    <w:p>
      <w:pPr>
        <w:keepNext w:val="0"/>
        <w:spacing w:before="0" w:after="80" w:line="259" w:lineRule="auto"/>
      </w:pPr>
      <w:r>
        <w:rPr>
          <w:rFonts w:ascii="Arial" w:hAnsi="Arial"/>
          <w:color w:val="1B2733"/>
          <w:sz w:val="18"/>
        </w:rPr>
        <w:t>Aarogyam will use a staff-gated encounter model. Patients may complete AI intake at a kiosk or on their phone after scanning a rapidly rotating hospital QR code. Both paths create a temporary AI intake verification number. This number helps staff find the intake; it is not an OPD number and is not sufficient identity proof.</w:t>
      </w:r>
    </w:p>
    <w:p>
      <w:pPr>
        <w:keepNext w:val="0"/>
        <w:spacing w:before="0" w:after="80" w:line="259" w:lineRule="auto"/>
      </w:pPr>
      <w:r>
        <w:rPr>
          <w:rFonts w:ascii="Arial" w:hAnsi="Arial"/>
          <w:color w:val="1B2733"/>
          <w:sz w:val="18"/>
        </w:rPr>
        <w:t>The staff portal is the operational control point. It shows the most recent 10-15 completed AI intakes, lets staff confirm the patient, record vitals, upload documents and link the hospital-issued OPD number after the hospital completes its own payment verification. Aarogyam does not control the hospital queue.</w:t>
      </w:r>
    </w:p>
    <w:p>
      <w:pPr>
        <w:keepNext w:val="0"/>
        <w:spacing w:before="0" w:after="80" w:line="259" w:lineRule="auto"/>
      </w:pPr>
      <w:r>
        <w:rPr>
          <w:rFonts w:ascii="Arial" w:hAnsi="Arial"/>
          <w:color w:val="1B2733"/>
          <w:sz w:val="18"/>
        </w:rPr>
        <w:t>The doctor finds the encounter using the hospital OPD number as the preferred key, verifies two patient identifiers, starts the consultation, reviews the AI summary and vitals, and finalizes the prescription directly to the patient's record. Paper prescriptions and external reports remain supported through controlled upload paths.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AF6F5"/>
            <w:tcMar>
              <w:top w:w="70" w:type="dxa"/>
              <w:start w:w="60" w:type="dxa"/>
              <w:bottom w:w="70" w:type="dxa"/>
              <w:end w:w="60" w:type="dxa"/>
            </w:tcMar>
          </w:tcPr>
          <w:p>
            <w:pPr>
              <w:keepNext w:val="0"/>
              <w:spacing w:before="0" w:after="0" w:line="240" w:lineRule="auto"/>
              <w:jc w:val="center"/>
            </w:pPr>
            <w:r>
              <w:rPr>
                <w:rFonts w:ascii="Arial" w:hAnsi="Arial"/>
                <w:b/>
                <w:color w:val="16324F"/>
                <w:sz w:val="15"/>
              </w:rPr>
              <w:t>AI access</w:t>
            </w:r>
          </w:p>
        </w:tc>
        <w:tc>
          <w:tcPr>
            <w:tcW w:type="dxa" w:w="2541"/>
            <w:shd w:fill="EEF4F8"/>
            <w:tcMar>
              <w:top w:w="70" w:type="dxa"/>
              <w:start w:w="60" w:type="dxa"/>
              <w:bottom w:w="70" w:type="dxa"/>
              <w:end w:w="60" w:type="dxa"/>
            </w:tcMar>
          </w:tcPr>
          <w:p>
            <w:pPr>
              <w:keepNext w:val="0"/>
              <w:spacing w:before="0" w:after="0" w:line="240" w:lineRule="auto"/>
              <w:jc w:val="center"/>
            </w:pPr>
            <w:r>
              <w:rPr>
                <w:rFonts w:ascii="Arial" w:hAnsi="Arial"/>
                <w:b/>
                <w:color w:val="16324F"/>
                <w:sz w:val="15"/>
              </w:rPr>
              <w:t>Identity link</w:t>
            </w:r>
          </w:p>
        </w:tc>
        <w:tc>
          <w:tcPr>
            <w:tcW w:type="dxa" w:w="2541"/>
            <w:shd w:fill="FFF7E6"/>
            <w:tcMar>
              <w:top w:w="70" w:type="dxa"/>
              <w:start w:w="60" w:type="dxa"/>
              <w:bottom w:w="70" w:type="dxa"/>
              <w:end w:w="60" w:type="dxa"/>
            </w:tcMar>
          </w:tcPr>
          <w:p>
            <w:pPr>
              <w:keepNext w:val="0"/>
              <w:spacing w:before="0" w:after="0" w:line="240" w:lineRule="auto"/>
              <w:jc w:val="center"/>
            </w:pPr>
            <w:r>
              <w:rPr>
                <w:rFonts w:ascii="Arial" w:hAnsi="Arial"/>
                <w:b/>
                <w:color w:val="16324F"/>
                <w:sz w:val="15"/>
              </w:rPr>
              <w:t>Hospital OPD</w:t>
            </w:r>
          </w:p>
        </w:tc>
        <w:tc>
          <w:tcPr>
            <w:tcW w:type="dxa" w:w="2541"/>
            <w:shd w:fill="EDF7F1"/>
            <w:tcMar>
              <w:top w:w="70" w:type="dxa"/>
              <w:start w:w="60" w:type="dxa"/>
              <w:bottom w:w="70" w:type="dxa"/>
              <w:end w:w="60" w:type="dxa"/>
            </w:tcMar>
          </w:tcPr>
          <w:p>
            <w:pPr>
              <w:keepNext w:val="0"/>
              <w:spacing w:before="0" w:after="0" w:line="240" w:lineRule="auto"/>
              <w:jc w:val="center"/>
            </w:pPr>
            <w:r>
              <w:rPr>
                <w:rFonts w:ascii="Arial" w:hAnsi="Arial"/>
                <w:b/>
                <w:color w:val="16324F"/>
                <w:sz w:val="15"/>
              </w:rPr>
              <w:t>Clinical record</w:t>
            </w:r>
          </w:p>
        </w:tc>
      </w:tr>
    </w:tbl>
    <w:p>
      <w:pPr>
        <w:spacing w:after="20"/>
      </w:pPr>
    </w:p>
    <w:p>
      <w:r>
        <w:br w:type="page"/>
      </w:r>
    </w:p>
    <w:p>
      <w:pPr>
        <w:pStyle w:val="Heading1"/>
      </w:pPr>
      <w:r>
        <w:t>1. Scope and confirmed design decisions</w:t>
      </w:r>
    </w:p>
    <w:p>
      <w:pPr>
        <w:pStyle w:val="Heading2"/>
      </w:pPr>
      <w:r>
        <w:t>1.1 In scope</w:t>
      </w:r>
    </w:p>
    <w:p>
      <w:pPr>
        <w:pStyle w:val="ListBullet"/>
        <w:keepNext w:val="0"/>
        <w:spacing w:before="0" w:after="40" w:line="254" w:lineRule="auto"/>
        <w:ind w:left="331" w:hanging="202"/>
      </w:pPr>
      <w:r>
        <w:rPr>
          <w:rFonts w:ascii="Arial" w:hAnsi="Arial"/>
          <w:color w:val="1B2733"/>
          <w:sz w:val="18"/>
        </w:rPr>
        <w:t>AI-assisted pre-consultation chat for patients using either the hospital kiosk or their phone.</w:t>
      </w:r>
    </w:p>
    <w:p>
      <w:pPr>
        <w:pStyle w:val="ListBullet"/>
        <w:keepNext w:val="0"/>
        <w:spacing w:before="0" w:after="40" w:line="254" w:lineRule="auto"/>
        <w:ind w:left="331" w:hanging="202"/>
      </w:pPr>
      <w:r>
        <w:rPr>
          <w:rFonts w:ascii="Arial" w:hAnsi="Arial"/>
          <w:color w:val="1B2733"/>
          <w:sz w:val="18"/>
        </w:rPr>
        <w:t>A temporary AI intake verification number for staff lookup and encounter linking.</w:t>
      </w:r>
    </w:p>
    <w:p>
      <w:pPr>
        <w:pStyle w:val="ListBullet"/>
        <w:keepNext w:val="0"/>
        <w:spacing w:before="0" w:after="40" w:line="254" w:lineRule="auto"/>
        <w:ind w:left="331" w:hanging="202"/>
      </w:pPr>
      <w:r>
        <w:rPr>
          <w:rFonts w:ascii="Arial" w:hAnsi="Arial"/>
          <w:color w:val="1B2733"/>
          <w:sz w:val="18"/>
        </w:rPr>
        <w:t>One staff dashboard for recent intakes, patient search, vitals entry and document upload.</w:t>
      </w:r>
    </w:p>
    <w:p>
      <w:pPr>
        <w:pStyle w:val="ListBullet"/>
        <w:keepNext w:val="0"/>
        <w:spacing w:before="0" w:after="40" w:line="254" w:lineRule="auto"/>
        <w:ind w:left="331" w:hanging="202"/>
      </w:pPr>
      <w:r>
        <w:rPr>
          <w:rFonts w:ascii="Arial" w:hAnsi="Arial"/>
          <w:color w:val="1B2733"/>
          <w:sz w:val="18"/>
        </w:rPr>
        <w:t>Linking the hospital-issued OPD number to the correct patient encounter.</w:t>
      </w:r>
    </w:p>
    <w:p>
      <w:pPr>
        <w:pStyle w:val="ListBullet"/>
        <w:keepNext w:val="0"/>
        <w:spacing w:before="0" w:after="40" w:line="254" w:lineRule="auto"/>
        <w:ind w:left="331" w:hanging="202"/>
      </w:pPr>
      <w:r>
        <w:rPr>
          <w:rFonts w:ascii="Arial" w:hAnsi="Arial"/>
          <w:color w:val="1B2733"/>
          <w:sz w:val="18"/>
        </w:rPr>
        <w:t>Doctor-side search, two-identifier verification, clinical review and prescription publishing.</w:t>
      </w:r>
    </w:p>
    <w:p>
      <w:pPr>
        <w:pStyle w:val="ListBullet"/>
        <w:keepNext w:val="0"/>
        <w:spacing w:before="0" w:after="40" w:line="254" w:lineRule="auto"/>
        <w:ind w:left="331" w:hanging="202"/>
      </w:pPr>
      <w:r>
        <w:rPr>
          <w:rFonts w:ascii="Arial" w:hAnsi="Arial"/>
          <w:color w:val="1B2733"/>
          <w:sz w:val="18"/>
        </w:rPr>
        <w:t>Patient access to finalized prescriptions, reports, follow-up appointments and medicine reminders.</w:t>
      </w:r>
    </w:p>
    <w:p>
      <w:pPr>
        <w:pStyle w:val="Heading2"/>
      </w:pPr>
      <w:r>
        <w:t>1.2 Explicitly outside Aarogyam control</w:t>
      </w:r>
    </w:p>
    <w:p>
      <w:pPr>
        <w:pStyle w:val="ListBullet"/>
        <w:keepNext w:val="0"/>
        <w:spacing w:before="0" w:after="40" w:line="254" w:lineRule="auto"/>
        <w:ind w:left="331" w:hanging="202"/>
      </w:pPr>
      <w:r>
        <w:rPr>
          <w:rFonts w:ascii="Arial" w:hAnsi="Arial"/>
          <w:color w:val="1B2733"/>
          <w:sz w:val="18"/>
        </w:rPr>
        <w:t>Hospital billing, payment collection and the decision that payment is verified.</w:t>
      </w:r>
    </w:p>
    <w:p>
      <w:pPr>
        <w:pStyle w:val="ListBullet"/>
        <w:keepNext w:val="0"/>
        <w:spacing w:before="0" w:after="40" w:line="254" w:lineRule="auto"/>
        <w:ind w:left="331" w:hanging="202"/>
      </w:pPr>
      <w:r>
        <w:rPr>
          <w:rFonts w:ascii="Arial" w:hAnsi="Arial"/>
          <w:color w:val="1B2733"/>
          <w:sz w:val="18"/>
        </w:rPr>
        <w:t>Generation policy for the hospital's OPD number, except storing and linking the issued number.</w:t>
      </w:r>
    </w:p>
    <w:p>
      <w:pPr>
        <w:pStyle w:val="ListBullet"/>
        <w:keepNext w:val="0"/>
        <w:spacing w:before="0" w:after="40" w:line="254" w:lineRule="auto"/>
        <w:ind w:left="331" w:hanging="202"/>
      </w:pPr>
      <w:r>
        <w:rPr>
          <w:rFonts w:ascii="Arial" w:hAnsi="Arial"/>
          <w:color w:val="1B2733"/>
          <w:sz w:val="18"/>
        </w:rPr>
        <w:t>The hospital's physical waiting line, consultation sequence and room-calling process.</w:t>
      </w:r>
    </w:p>
    <w:p>
      <w:pPr>
        <w:pStyle w:val="ListBullet"/>
        <w:keepNext w:val="0"/>
        <w:spacing w:before="0" w:after="40" w:line="254" w:lineRule="auto"/>
        <w:ind w:left="331" w:hanging="202"/>
      </w:pPr>
      <w:r>
        <w:rPr>
          <w:rFonts w:ascii="Arial" w:hAnsi="Arial"/>
          <w:color w:val="1B2733"/>
          <w:sz w:val="18"/>
        </w:rPr>
        <w:t>Clinical diagnosis or emergency triage decisions made solely by the AI assistant.</w:t>
      </w:r>
    </w:p>
    <w:p>
      <w:pPr>
        <w:pStyle w:val="Heading2"/>
      </w:pPr>
      <w:r>
        <w:t>1.3 Non-negotiable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7"/>
              </w:rPr>
              <w:t>Boundary</w:t>
            </w:r>
          </w:p>
        </w:tc>
        <w:tc>
          <w:tcPr>
            <w:tcW w:type="dxa" w:w="7488"/>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7"/>
              </w:rPr>
              <w:t>Rule</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Rotating hospital QR</w:t>
            </w:r>
          </w:p>
        </w:tc>
        <w:tc>
          <w:tcPr>
            <w:tcW w:type="dxa" w:w="748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Grants only a short-lived right to start AI chat at that hospital. It does not identify the patient, create an OPD visit or reveal records.</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AI verification number</w:t>
            </w:r>
          </w:p>
        </w:tc>
        <w:tc>
          <w:tcPr>
            <w:tcW w:type="dxa" w:w="748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Finds a completed intake. It is hospital-bound, expiring and never accepted as sole proof of patient identity.</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Hospital OPD number</w:t>
            </w:r>
          </w:p>
        </w:tc>
        <w:tc>
          <w:tcPr>
            <w:tcW w:type="dxa" w:w="748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Issued by the hospital after its payment process. Staff links it to the verified Aarogyam encounter.</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Doctor search</w:t>
            </w:r>
          </w:p>
        </w:tc>
        <w:tc>
          <w:tcPr>
            <w:tcW w:type="dxa" w:w="748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Narrows to the encounter. The doctor must verify two identifiers before opening clinical data.</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Finalized prescription</w:t>
            </w:r>
          </w:p>
        </w:tc>
        <w:tc>
          <w:tcPr>
            <w:tcW w:type="dxa" w:w="748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7"/>
              </w:rPr>
              <w:t>Published only after explicit doctor review. Later corrections are amendments, not silent overwrites.</w:t>
            </w:r>
          </w:p>
        </w:tc>
      </w:tr>
    </w:tbl>
    <w:p>
      <w:pPr>
        <w:spacing w:after="20"/>
      </w:pPr>
    </w:p>
    <w:p>
      <w:pPr>
        <w:pStyle w:val="Heading1"/>
      </w:pPr>
      <w:r>
        <w:t>2. Roles, responsibilities and identifiers</w:t>
      </w:r>
    </w:p>
    <w:p>
      <w:pPr>
        <w:pStyle w:val="Heading2"/>
      </w:pPr>
      <w:r>
        <w:t>2.1 Role responsibility matrix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Role</w:t>
            </w:r>
          </w:p>
        </w:tc>
        <w:tc>
          <w:tcPr>
            <w:tcW w:type="dxa" w:w="446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Primary responsibility</w:t>
            </w:r>
          </w:p>
        </w:tc>
        <w:tc>
          <w:tcPr>
            <w:tcW w:type="dxa" w:w="4248"/>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Must not do</w:t>
            </w:r>
          </w:p>
        </w:tc>
      </w:tr>
      <w:tr>
        <w:trPr>
          <w:cantSplit/>
        </w:trPr>
        <w:tc>
          <w:tcPr>
            <w:tcW w:type="dxa" w:w="122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Patient</w:t>
            </w:r>
          </w:p>
        </w:tc>
        <w:tc>
          <w:tcPr>
            <w:tcW w:type="dxa" w:w="44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Authenticate, complete AI intake, confirm uploads, view own finalized records and reminders.</w:t>
            </w:r>
          </w:p>
        </w:tc>
        <w:tc>
          <w:tcPr>
            <w:tcW w:type="dxa" w:w="42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Use QR or intake number as identity proof; access another patient's records.</w:t>
            </w:r>
          </w:p>
        </w:tc>
      </w:tr>
      <w:tr>
        <w:trPr>
          <w:cantSplit/>
        </w:trPr>
        <w:tc>
          <w:tcPr>
            <w:tcW w:type="dxa" w:w="122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Kiosk</w:t>
            </w:r>
          </w:p>
        </w:tc>
        <w:tc>
          <w:tcPr>
            <w:tcW w:type="dxa" w:w="44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Provide a private, temporary interface showing only patient name and AI chat.</w:t>
            </w:r>
          </w:p>
        </w:tc>
        <w:tc>
          <w:tcPr>
            <w:tcW w:type="dxa" w:w="42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Show history, documents, prescriptions, dashboards or another user's cached data.</w:t>
            </w:r>
          </w:p>
        </w:tc>
      </w:tr>
      <w:tr>
        <w:trPr>
          <w:cantSplit/>
        </w:trPr>
        <w:tc>
          <w:tcPr>
            <w:tcW w:type="dxa" w:w="122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Staff</w:t>
            </w:r>
          </w:p>
        </w:tc>
        <w:tc>
          <w:tcPr>
            <w:tcW w:type="dxa" w:w="44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Confirm identity, link intake and OPD, enter vitals, upload approved documents and resolve exceptions.</w:t>
            </w:r>
          </w:p>
        </w:tc>
        <w:tc>
          <w:tcPr>
            <w:tcW w:type="dxa" w:w="42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Access full clinical history without an operational need; alter finalized doctor records.</w:t>
            </w:r>
          </w:p>
        </w:tc>
      </w:tr>
      <w:tr>
        <w:trPr>
          <w:cantSplit/>
        </w:trPr>
        <w:tc>
          <w:tcPr>
            <w:tcW w:type="dxa" w:w="122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w:t>
            </w:r>
          </w:p>
        </w:tc>
        <w:tc>
          <w:tcPr>
            <w:tcW w:type="dxa" w:w="44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Verify the current patient, review relevant context, document the consultation and finalize prescription.</w:t>
            </w:r>
          </w:p>
        </w:tc>
        <w:tc>
          <w:tcPr>
            <w:tcW w:type="dxa" w:w="42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Open a record solely from a name match; silently edit a finalized prescription.</w:t>
            </w:r>
          </w:p>
        </w:tc>
      </w:tr>
      <w:tr>
        <w:trPr>
          <w:cantSplit/>
        </w:trPr>
        <w:tc>
          <w:tcPr>
            <w:tcW w:type="dxa" w:w="122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Hospital</w:t>
            </w:r>
          </w:p>
        </w:tc>
        <w:tc>
          <w:tcPr>
            <w:tcW w:type="dxa" w:w="44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Handle payment, issue OPD number, manage physical queue and operating policies.</w:t>
            </w:r>
          </w:p>
        </w:tc>
        <w:tc>
          <w:tcPr>
            <w:tcW w:type="dxa" w:w="42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Treat Aarogyam's recent-intake list as the hospital queue.</w:t>
            </w:r>
          </w:p>
        </w:tc>
      </w:tr>
    </w:tbl>
    <w:p>
      <w:pPr>
        <w:spacing w:after="20"/>
      </w:pPr>
    </w:p>
    <w:p>
      <w:pPr>
        <w:pStyle w:val="Heading2"/>
      </w:pPr>
      <w:r>
        <w:t>2.2 Identifier model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Identifier</w:t>
            </w:r>
          </w:p>
        </w:tc>
        <w:tc>
          <w:tcPr>
            <w:tcW w:type="dxa" w:w="1656"/>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Created by</w:t>
            </w:r>
          </w:p>
        </w:tc>
        <w:tc>
          <w:tcPr>
            <w:tcW w:type="dxa" w:w="3672"/>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Purpose</w:t>
            </w:r>
          </w:p>
        </w:tc>
        <w:tc>
          <w:tcPr>
            <w:tcW w:type="dxa" w:w="288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Lifetime / rule</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Patient ID / UHID</w:t>
            </w:r>
          </w:p>
        </w:tc>
        <w:tc>
          <w:tcPr>
            <w:tcW w:type="dxa" w:w="165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Aarogyam or hospital integration</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Stable patient identity and longitudinal record.</w:t>
            </w:r>
          </w:p>
        </w:tc>
        <w:tc>
          <w:tcPr>
            <w:tcW w:type="dxa" w:w="288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Permanent; never displayed unnecessarily.</w:t>
            </w:r>
          </w:p>
        </w:tc>
      </w:tr>
      <w:tr>
        <w:trPr>
          <w:cantSplit/>
        </w:trPr>
        <w:tc>
          <w:tcPr>
            <w:tcW w:type="dxa" w:w="180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AI intake verification no.</w:t>
            </w:r>
          </w:p>
        </w:tc>
        <w:tc>
          <w:tcPr>
            <w:tcW w:type="dxa" w:w="165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Aarogyam</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Find and link the completed AI intake.</w:t>
            </w:r>
          </w:p>
        </w:tc>
        <w:tc>
          <w:tcPr>
            <w:tcW w:type="dxa" w:w="288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Random, non-sequential, hospital-bound, short-lived and not identity proof.</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Hospital OPD number</w:t>
            </w:r>
          </w:p>
        </w:tc>
        <w:tc>
          <w:tcPr>
            <w:tcW w:type="dxa" w:w="165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Hospital</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Identifies the hospital's visit and supports doctor lookup.</w:t>
            </w:r>
          </w:p>
        </w:tc>
        <w:tc>
          <w:tcPr>
            <w:tcW w:type="dxa" w:w="288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Unique within hospital rules; linked by staff after hospital payment verification.</w:t>
            </w:r>
          </w:p>
        </w:tc>
      </w:tr>
      <w:tr>
        <w:trPr>
          <w:cantSplit/>
        </w:trPr>
        <w:tc>
          <w:tcPr>
            <w:tcW w:type="dxa" w:w="180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Encounter ID</w:t>
            </w:r>
          </w:p>
        </w:tc>
        <w:tc>
          <w:tcPr>
            <w:tcW w:type="dxa" w:w="165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Aarogyam</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Internal link across AI summary, vitals, prescription and reports.</w:t>
            </w:r>
          </w:p>
        </w:tc>
        <w:tc>
          <w:tcPr>
            <w:tcW w:type="dxa" w:w="288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Permanent internal key; not a user-facing queue number.</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Appointment ID</w:t>
            </w:r>
          </w:p>
        </w:tc>
        <w:tc>
          <w:tcPr>
            <w:tcW w:type="dxa" w:w="165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Hospital / Aarogyam booking</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Tracks a future scheduled visit.</w:t>
            </w:r>
          </w:p>
        </w:tc>
        <w:tc>
          <w:tcPr>
            <w:tcW w:type="dxa" w:w="288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Separate from OPD number and intake number.</w:t>
            </w:r>
          </w:p>
        </w:tc>
      </w:tr>
    </w:tbl>
    <w:p>
      <w:pPr>
        <w:spacing w:after="20"/>
      </w:pPr>
    </w:p>
    <w:p>
      <w:pPr>
        <w:pStyle w:val="Heading1"/>
      </w:pPr>
      <w:r>
        <w:t>3. Patient entry workflows</w:t>
      </w:r>
    </w:p>
    <w:p>
      <w:pPr>
        <w:pStyle w:val="Heading2"/>
      </w:pPr>
      <w:r>
        <w:t>3.1 Kiosk path</w:t>
      </w:r>
    </w:p>
    <w:p>
      <w:pPr>
        <w:keepNext w:val="0"/>
        <w:spacing w:before="0" w:after="60" w:line="254" w:lineRule="auto"/>
        <w:ind w:left="389" w:hanging="245"/>
      </w:pPr>
      <w:r>
        <w:rPr>
          <w:rFonts w:ascii="Arial" w:hAnsi="Arial"/>
          <w:color w:val="1B2733"/>
          <w:sz w:val="18"/>
        </w:rPr>
        <w:t>1.  Patient chooses kiosk intake and authenticates only so the chat can be stored under the correct patient profile.</w:t>
      </w:r>
    </w:p>
    <w:p>
      <w:pPr>
        <w:keepNext w:val="0"/>
        <w:spacing w:before="0" w:after="60" w:line="254" w:lineRule="auto"/>
        <w:ind w:left="389" w:hanging="245"/>
      </w:pPr>
      <w:r>
        <w:rPr>
          <w:rFonts w:ascii="Arial" w:hAnsi="Arial"/>
          <w:color w:val="1B2733"/>
          <w:sz w:val="18"/>
        </w:rPr>
        <w:t>2.  The kiosk displays only the patient's name and the AI chat. No medical history, documents, prescriptions, appointments or dashboard navigation is available.</w:t>
      </w:r>
    </w:p>
    <w:p>
      <w:pPr>
        <w:keepNext w:val="0"/>
        <w:spacing w:before="0" w:after="60" w:line="254" w:lineRule="auto"/>
        <w:ind w:left="389" w:hanging="245"/>
      </w:pPr>
      <w:r>
        <w:rPr>
          <w:rFonts w:ascii="Arial" w:hAnsi="Arial"/>
          <w:color w:val="1B2733"/>
          <w:sz w:val="18"/>
        </w:rPr>
        <w:t>3.  The patient completes the chat. Aarogyam stores the transcript and a clearly labelled patient-reported AI-assisted summary against the encounter.</w:t>
      </w:r>
    </w:p>
    <w:p>
      <w:pPr>
        <w:keepNext w:val="0"/>
        <w:spacing w:before="0" w:after="60" w:line="254" w:lineRule="auto"/>
        <w:ind w:left="389" w:hanging="245"/>
      </w:pPr>
      <w:r>
        <w:rPr>
          <w:rFonts w:ascii="Arial" w:hAnsi="Arial"/>
          <w:color w:val="1B2733"/>
          <w:sz w:val="18"/>
        </w:rPr>
        <w:t>4.  Aarogyam issues a temporary verification number for staff lookup. The screen shows the number and instructs the patient to proceed to hospital staff.</w:t>
      </w:r>
    </w:p>
    <w:p>
      <w:pPr>
        <w:keepNext w:val="0"/>
        <w:spacing w:before="0" w:after="60" w:line="254" w:lineRule="auto"/>
        <w:ind w:left="389" w:hanging="245"/>
      </w:pPr>
      <w:r>
        <w:rPr>
          <w:rFonts w:ascii="Arial" w:hAnsi="Arial"/>
          <w:color w:val="1B2733"/>
          <w:sz w:val="18"/>
        </w:rPr>
        <w:t>5.  The kiosk automatically signs out and clears visible session data when the conversation ends, is cancelled, times out or the app restarts.</w:t>
      </w:r>
    </w:p>
    <w:p>
      <w:pPr>
        <w:pStyle w:val="Heading3"/>
      </w:pPr>
      <w:r>
        <w:t>Kiosk security requirements</w:t>
      </w:r>
    </w:p>
    <w:p>
      <w:pPr>
        <w:pStyle w:val="ListBullet"/>
        <w:keepNext w:val="0"/>
        <w:spacing w:before="0" w:after="40" w:line="254" w:lineRule="auto"/>
        <w:ind w:left="331" w:hanging="202"/>
      </w:pPr>
      <w:r>
        <w:rPr>
          <w:rFonts w:ascii="Arial" w:hAnsi="Arial"/>
          <w:color w:val="1B2733"/>
          <w:sz w:val="18"/>
        </w:rPr>
        <w:t>Auto-lock after a short inactivity interval, with a warning before the chat is abandoned.</w:t>
      </w:r>
    </w:p>
    <w:p>
      <w:pPr>
        <w:pStyle w:val="ListBullet"/>
        <w:keepNext w:val="0"/>
        <w:spacing w:before="0" w:after="40" w:line="254" w:lineRule="auto"/>
        <w:ind w:left="331" w:hanging="202"/>
      </w:pPr>
      <w:r>
        <w:rPr>
          <w:rFonts w:ascii="Arial" w:hAnsi="Arial"/>
          <w:color w:val="1B2733"/>
          <w:sz w:val="18"/>
        </w:rPr>
        <w:t>No browser history, back-navigation into a previous session, saved password, local transcript or downloadable document.</w:t>
      </w:r>
    </w:p>
    <w:p>
      <w:pPr>
        <w:pStyle w:val="ListBullet"/>
        <w:keepNext w:val="0"/>
        <w:spacing w:before="0" w:after="40" w:line="254" w:lineRule="auto"/>
        <w:ind w:left="331" w:hanging="202"/>
      </w:pPr>
      <w:r>
        <w:rPr>
          <w:rFonts w:ascii="Arial" w:hAnsi="Arial"/>
          <w:color w:val="1B2733"/>
          <w:sz w:val="18"/>
        </w:rPr>
        <w:t>A fresh server session for each patient; local cache and on-screen state cleared on logout, crash recovery and device restart.</w:t>
      </w:r>
    </w:p>
    <w:p>
      <w:pPr>
        <w:pStyle w:val="ListBullet"/>
        <w:keepNext w:val="0"/>
        <w:spacing w:before="0" w:after="40" w:line="254" w:lineRule="auto"/>
        <w:ind w:left="331" w:hanging="202"/>
      </w:pPr>
      <w:r>
        <w:rPr>
          <w:rFonts w:ascii="Arial" w:hAnsi="Arial"/>
          <w:color w:val="1B2733"/>
          <w:sz w:val="18"/>
        </w:rPr>
        <w:t>Privacy screen positioning, large visible 'End session' control and staff-assisted exit for accessibility cases.</w:t>
      </w:r>
    </w:p>
    <w:p>
      <w:pPr>
        <w:pStyle w:val="ListBullet"/>
        <w:keepNext w:val="0"/>
        <w:spacing w:before="0" w:after="40" w:line="254" w:lineRule="auto"/>
        <w:ind w:left="331" w:hanging="202"/>
      </w:pPr>
      <w:r>
        <w:rPr>
          <w:rFonts w:ascii="Arial" w:hAnsi="Arial"/>
          <w:color w:val="1B2733"/>
          <w:sz w:val="18"/>
        </w:rPr>
        <w:t>If the network drops, show a neutral recovery screen and never expose the previous patient's name or conversation.</w:t>
      </w:r>
    </w:p>
    <w:p>
      <w:pPr>
        <w:pStyle w:val="Heading2"/>
      </w:pPr>
      <w:r>
        <w:t>3.2 Patient phone path using a rotating hospital QR</w:t>
      </w:r>
    </w:p>
    <w:p>
      <w:pPr>
        <w:keepNext w:val="0"/>
        <w:spacing w:before="0" w:after="60" w:line="254" w:lineRule="auto"/>
        <w:ind w:left="389" w:hanging="245"/>
      </w:pPr>
      <w:r>
        <w:rPr>
          <w:rFonts w:ascii="Arial" w:hAnsi="Arial"/>
          <w:color w:val="1B2733"/>
          <w:sz w:val="18"/>
        </w:rPr>
        <w:t>1.  The hospital display presents a QR code unique to its hospital or branch. The signed QR payload changes every few seconds.</w:t>
      </w:r>
    </w:p>
    <w:p>
      <w:pPr>
        <w:keepNext w:val="0"/>
        <w:spacing w:before="0" w:after="60" w:line="254" w:lineRule="auto"/>
        <w:ind w:left="389" w:hanging="245"/>
      </w:pPr>
      <w:r>
        <w:rPr>
          <w:rFonts w:ascii="Arial" w:hAnsi="Arial"/>
          <w:color w:val="1B2733"/>
          <w:sz w:val="18"/>
        </w:rPr>
        <w:t>2.  The patient scans the QR. The server validates hospital, branch, expiry, signature and replay protection before granting AI-chat access.</w:t>
      </w:r>
    </w:p>
    <w:p>
      <w:pPr>
        <w:keepNext w:val="0"/>
        <w:spacing w:before="0" w:after="60" w:line="254" w:lineRule="auto"/>
        <w:ind w:left="389" w:hanging="245"/>
      </w:pPr>
      <w:r>
        <w:rPr>
          <w:rFonts w:ascii="Arial" w:hAnsi="Arial"/>
          <w:color w:val="1B2733"/>
          <w:sz w:val="18"/>
        </w:rPr>
        <w:t>3.  The patient authenticates or confirms identity in the app. The QR itself never acts as patient identity.</w:t>
      </w:r>
    </w:p>
    <w:p>
      <w:pPr>
        <w:keepNext w:val="0"/>
        <w:spacing w:before="0" w:after="60" w:line="254" w:lineRule="auto"/>
        <w:ind w:left="389" w:hanging="245"/>
      </w:pPr>
      <w:r>
        <w:rPr>
          <w:rFonts w:ascii="Arial" w:hAnsi="Arial"/>
          <w:color w:val="1B2733"/>
          <w:sz w:val="18"/>
        </w:rPr>
        <w:t>4.  A valid scan creates a server-side AI session bound to that hospital. Once the session begins, a later QR rotation does not interrupt the active session.</w:t>
      </w:r>
    </w:p>
    <w:p>
      <w:pPr>
        <w:keepNext w:val="0"/>
        <w:spacing w:before="0" w:after="60" w:line="254" w:lineRule="auto"/>
        <w:ind w:left="389" w:hanging="245"/>
      </w:pPr>
      <w:r>
        <w:rPr>
          <w:rFonts w:ascii="Arial" w:hAnsi="Arial"/>
          <w:color w:val="1B2733"/>
          <w:sz w:val="18"/>
        </w:rPr>
        <w:t>5.  The patient completes the AI chat and receives the same type of temporary verification number used by the kiosk path.</w:t>
      </w:r>
    </w:p>
    <w:p>
      <w:pPr>
        <w:pStyle w:val="Heading3"/>
      </w:pPr>
      <w:r>
        <w:t>QR acceptance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Condition</w:t>
            </w:r>
          </w:p>
        </w:tc>
        <w:tc>
          <w:tcPr>
            <w:tcW w:type="dxa" w:w="7416"/>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Expected result</w:t>
            </w:r>
          </w:p>
        </w:tc>
      </w:tr>
      <w:tr>
        <w:trPr>
          <w:cantSplit/>
        </w:trPr>
        <w:tc>
          <w:tcPr>
            <w:tcW w:type="dxa" w:w="25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Valid, current QR</w:t>
            </w:r>
          </w:p>
        </w:tc>
        <w:tc>
          <w:tcPr>
            <w:tcW w:type="dxa" w:w="74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Create one hospital-bound AI session after patient authentication.</w:t>
            </w:r>
          </w:p>
        </w:tc>
      </w:tr>
      <w:tr>
        <w:trPr>
          <w:cantSplit/>
        </w:trPr>
        <w:tc>
          <w:tcPr>
            <w:tcW w:type="dxa" w:w="25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Expired QR</w:t>
            </w:r>
          </w:p>
        </w:tc>
        <w:tc>
          <w:tcPr>
            <w:tcW w:type="dxa" w:w="741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Reject cleanly and ask the patient to scan the newly displayed code.</w:t>
            </w:r>
          </w:p>
        </w:tc>
      </w:tr>
      <w:tr>
        <w:trPr>
          <w:cantSplit/>
        </w:trPr>
        <w:tc>
          <w:tcPr>
            <w:tcW w:type="dxa" w:w="25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Replayed QR payload</w:t>
            </w:r>
          </w:p>
        </w:tc>
        <w:tc>
          <w:tcPr>
            <w:tcW w:type="dxa" w:w="74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Reject or ignore duplicate redemption according to one-time nonce policy.</w:t>
            </w:r>
          </w:p>
        </w:tc>
      </w:tr>
      <w:tr>
        <w:trPr>
          <w:cantSplit/>
        </w:trPr>
        <w:tc>
          <w:tcPr>
            <w:tcW w:type="dxa" w:w="25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Screenshot used remotely</w:t>
            </w:r>
          </w:p>
        </w:tc>
        <w:tc>
          <w:tcPr>
            <w:tcW w:type="dxa" w:w="741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Short validity, signed payload, hospital binding and optional proximity/device checks reduce remote use; log the attempt.</w:t>
            </w:r>
          </w:p>
        </w:tc>
      </w:tr>
      <w:tr>
        <w:trPr>
          <w:cantSplit/>
        </w:trPr>
        <w:tc>
          <w:tcPr>
            <w:tcW w:type="dxa" w:w="25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QR rotates during active chat</w:t>
            </w:r>
          </w:p>
        </w:tc>
        <w:tc>
          <w:tcPr>
            <w:tcW w:type="dxa" w:w="74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Continue the already authorized session until its own timeout or completion.</w:t>
            </w:r>
          </w:p>
        </w:tc>
      </w:tr>
      <w:tr>
        <w:trPr>
          <w:cantSplit/>
        </w:trPr>
        <w:tc>
          <w:tcPr>
            <w:tcW w:type="dxa" w:w="25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No phone / camera / accessibility need</w:t>
            </w:r>
          </w:p>
        </w:tc>
        <w:tc>
          <w:tcPr>
            <w:tcW w:type="dxa" w:w="741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Offer kiosk or staff-assisted intake without blocking care.</w:t>
            </w:r>
          </w:p>
        </w:tc>
      </w:tr>
    </w:tbl>
    <w:p>
      <w:pPr>
        <w:spacing w:after="20"/>
      </w:pPr>
    </w:p>
    <w:p>
      <w:pPr>
        <w:pStyle w:val="Heading1"/>
      </w:pPr>
      <w:r>
        <w:t>4. Staff portal and hospital handoff</w:t>
      </w:r>
    </w:p>
    <w:p>
      <w:pPr>
        <w:pStyle w:val="Heading2"/>
      </w:pPr>
      <w:r>
        <w:t>4.1 Recent AI intakes worklist</w:t>
      </w:r>
    </w:p>
    <w:p>
      <w:pPr>
        <w:keepNext w:val="0"/>
        <w:spacing w:before="0" w:after="80" w:line="259" w:lineRule="auto"/>
      </w:pPr>
      <w:r>
        <w:rPr>
          <w:rFonts w:ascii="Arial" w:hAnsi="Arial"/>
          <w:color w:val="1B2733"/>
          <w:sz w:val="18"/>
        </w:rPr>
        <w:t>The landing page displays the 10-15 most recent completed AI intakes for the current hospital. It is an arrival worklist, not a queue and not a promise of consultation order.</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12"/>
            <w:shd w:fill="147D7E"/>
            <w:tcMar>
              <w:top w:w="85" w:type="dxa"/>
              <w:start w:w="95" w:type="dxa"/>
              <w:bottom w:w="85" w:type="dxa"/>
              <w:end w:w="95" w:type="dxa"/>
            </w:tcMar>
            <w:vAlign w:val="center"/>
          </w:tcPr>
          <w:p>
            <w:pPr>
              <w:keepNext w:val="0"/>
              <w:spacing w:before="0" w:after="0" w:line="240" w:lineRule="auto"/>
            </w:pPr>
            <w:r>
              <w:rPr>
                <w:rFonts w:ascii="Arial" w:hAnsi="Arial"/>
                <w:b/>
                <w:color w:val="FFFFFF"/>
                <w:sz w:val="14"/>
              </w:rPr>
              <w:t>Verification no.</w:t>
            </w:r>
          </w:p>
        </w:tc>
        <w:tc>
          <w:tcPr>
            <w:tcW w:type="dxa" w:w="1512"/>
            <w:shd w:fill="147D7E"/>
            <w:tcMar>
              <w:top w:w="85" w:type="dxa"/>
              <w:start w:w="95" w:type="dxa"/>
              <w:bottom w:w="85" w:type="dxa"/>
              <w:end w:w="95" w:type="dxa"/>
            </w:tcMar>
            <w:vAlign w:val="center"/>
          </w:tcPr>
          <w:p>
            <w:pPr>
              <w:keepNext w:val="0"/>
              <w:spacing w:before="0" w:after="0" w:line="240" w:lineRule="auto"/>
            </w:pPr>
            <w:r>
              <w:rPr>
                <w:rFonts w:ascii="Arial" w:hAnsi="Arial"/>
                <w:b/>
                <w:color w:val="FFFFFF"/>
                <w:sz w:val="14"/>
              </w:rPr>
              <w:t>Patient</w:t>
            </w:r>
          </w:p>
        </w:tc>
        <w:tc>
          <w:tcPr>
            <w:tcW w:type="dxa" w:w="2376"/>
            <w:shd w:fill="147D7E"/>
            <w:tcMar>
              <w:top w:w="85" w:type="dxa"/>
              <w:start w:w="95" w:type="dxa"/>
              <w:bottom w:w="85" w:type="dxa"/>
              <w:end w:w="95" w:type="dxa"/>
            </w:tcMar>
            <w:vAlign w:val="center"/>
          </w:tcPr>
          <w:p>
            <w:pPr>
              <w:keepNext w:val="0"/>
              <w:spacing w:before="0" w:after="0" w:line="240" w:lineRule="auto"/>
            </w:pPr>
            <w:r>
              <w:rPr>
                <w:rFonts w:ascii="Arial" w:hAnsi="Arial"/>
                <w:b/>
                <w:color w:val="FFFFFF"/>
                <w:sz w:val="14"/>
              </w:rPr>
              <w:t>Basic information</w:t>
            </w:r>
          </w:p>
        </w:tc>
        <w:tc>
          <w:tcPr>
            <w:tcW w:type="dxa" w:w="1080"/>
            <w:shd w:fill="147D7E"/>
            <w:tcMar>
              <w:top w:w="85" w:type="dxa"/>
              <w:start w:w="95" w:type="dxa"/>
              <w:bottom w:w="85" w:type="dxa"/>
              <w:end w:w="95" w:type="dxa"/>
            </w:tcMar>
            <w:vAlign w:val="center"/>
          </w:tcPr>
          <w:p>
            <w:pPr>
              <w:keepNext w:val="0"/>
              <w:spacing w:before="0" w:after="0" w:line="240" w:lineRule="auto"/>
            </w:pPr>
            <w:r>
              <w:rPr>
                <w:rFonts w:ascii="Arial" w:hAnsi="Arial"/>
                <w:b/>
                <w:color w:val="FFFFFF"/>
                <w:sz w:val="14"/>
              </w:rPr>
              <w:t>Completed</w:t>
            </w:r>
          </w:p>
        </w:tc>
        <w:tc>
          <w:tcPr>
            <w:tcW w:type="dxa" w:w="1440"/>
            <w:shd w:fill="147D7E"/>
            <w:tcMar>
              <w:top w:w="85" w:type="dxa"/>
              <w:start w:w="95" w:type="dxa"/>
              <w:bottom w:w="85" w:type="dxa"/>
              <w:end w:w="95" w:type="dxa"/>
            </w:tcMar>
            <w:vAlign w:val="center"/>
          </w:tcPr>
          <w:p>
            <w:pPr>
              <w:keepNext w:val="0"/>
              <w:spacing w:before="0" w:after="0" w:line="240" w:lineRule="auto"/>
            </w:pPr>
            <w:r>
              <w:rPr>
                <w:rFonts w:ascii="Arial" w:hAnsi="Arial"/>
                <w:b/>
                <w:color w:val="FFFFFF"/>
                <w:sz w:val="14"/>
              </w:rPr>
              <w:t>Status</w:t>
            </w:r>
          </w:p>
        </w:tc>
        <w:tc>
          <w:tcPr>
            <w:tcW w:type="dxa" w:w="2016"/>
            <w:shd w:fill="147D7E"/>
            <w:tcMar>
              <w:top w:w="85" w:type="dxa"/>
              <w:start w:w="95" w:type="dxa"/>
              <w:bottom w:w="85" w:type="dxa"/>
              <w:end w:w="95" w:type="dxa"/>
            </w:tcMar>
            <w:vAlign w:val="center"/>
          </w:tcPr>
          <w:p>
            <w:pPr>
              <w:keepNext w:val="0"/>
              <w:spacing w:before="0" w:after="0" w:line="240" w:lineRule="auto"/>
            </w:pPr>
            <w:r>
              <w:rPr>
                <w:rFonts w:ascii="Arial" w:hAnsi="Arial"/>
                <w:b/>
                <w:color w:val="FFFFFF"/>
                <w:sz w:val="14"/>
              </w:rPr>
              <w:t>Actions</w:t>
            </w:r>
          </w:p>
        </w:tc>
      </w:tr>
      <w:tr>
        <w:trPr>
          <w:cantSplit/>
        </w:trPr>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A7K4-91Q</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R. Sharma</w:t>
            </w:r>
          </w:p>
        </w:tc>
        <w:tc>
          <w:tcPr>
            <w:tcW w:type="dxa" w:w="23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Age 42 | Mobile ...2187</w:t>
            </w:r>
          </w:p>
        </w:tc>
        <w:tc>
          <w:tcPr>
            <w:tcW w:type="dxa" w:w="108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10:34</w:t>
            </w:r>
          </w:p>
        </w:tc>
        <w:tc>
          <w:tcPr>
            <w:tcW w:type="dxa" w:w="14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AI complete</w:t>
            </w:r>
          </w:p>
        </w:tc>
        <w:tc>
          <w:tcPr>
            <w:tcW w:type="dxa" w:w="20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Update vitals | Upload document</w:t>
            </w:r>
          </w:p>
        </w:tc>
      </w:tr>
      <w:tr>
        <w:trPr>
          <w:cantSplit/>
        </w:trPr>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M2P8-6BX</w:t>
            </w:r>
          </w:p>
        </w:tc>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N. Verma</w:t>
            </w:r>
          </w:p>
        </w:tc>
        <w:tc>
          <w:tcPr>
            <w:tcW w:type="dxa" w:w="237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Age 27 | Mobile ...9041</w:t>
            </w:r>
          </w:p>
        </w:tc>
        <w:tc>
          <w:tcPr>
            <w:tcW w:type="dxa" w:w="108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10:29</w:t>
            </w:r>
          </w:p>
        </w:tc>
        <w:tc>
          <w:tcPr>
            <w:tcW w:type="dxa" w:w="14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OPD linked</w:t>
            </w:r>
          </w:p>
        </w:tc>
        <w:tc>
          <w:tcPr>
            <w:tcW w:type="dxa" w:w="201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Update vitals | Upload document</w:t>
            </w:r>
          </w:p>
        </w:tc>
      </w:tr>
      <w:tr>
        <w:trPr>
          <w:cantSplit/>
        </w:trPr>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Q9D3-4TN</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S. Khan</w:t>
            </w:r>
          </w:p>
        </w:tc>
        <w:tc>
          <w:tcPr>
            <w:tcW w:type="dxa" w:w="23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Age 65 | Mobile ...1770</w:t>
            </w:r>
          </w:p>
        </w:tc>
        <w:tc>
          <w:tcPr>
            <w:tcW w:type="dxa" w:w="108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10:21</w:t>
            </w:r>
          </w:p>
        </w:tc>
        <w:tc>
          <w:tcPr>
            <w:tcW w:type="dxa" w:w="14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Vitals updated</w:t>
            </w:r>
          </w:p>
        </w:tc>
        <w:tc>
          <w:tcPr>
            <w:tcW w:type="dxa" w:w="20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4"/>
              </w:rPr>
              <w:t>Update vitals | Upload document</w:t>
            </w:r>
          </w:p>
        </w:tc>
      </w:tr>
    </w:tbl>
    <w:p>
      <w:pPr>
        <w:spacing w:after="20"/>
      </w:pPr>
    </w:p>
    <w:p>
      <w:pPr>
        <w:keepNext w:val="0"/>
        <w:spacing w:before="0" w:after="80" w:line="259" w:lineRule="auto"/>
      </w:pPr>
      <w:r>
        <w:rPr>
          <w:rFonts w:ascii="Arial" w:hAnsi="Arial"/>
          <w:color w:val="5B6875"/>
          <w:sz w:val="17"/>
        </w:rPr>
        <w:t>Recommended additional row control: Open / Link OPD. This separates patient linking from clinical-data entry and avoids using an upload button as the only way to open the encounter.</w:t>
      </w:r>
    </w:p>
    <w:p>
      <w:pPr>
        <w:pStyle w:val="Heading2"/>
      </w:pPr>
      <w:r>
        <w:t>4.2 Staff verification and OPD linking</w:t>
      </w:r>
    </w:p>
    <w:p>
      <w:pPr>
        <w:keepNext w:val="0"/>
        <w:spacing w:before="0" w:after="60" w:line="254" w:lineRule="auto"/>
        <w:ind w:left="389" w:hanging="245"/>
      </w:pPr>
      <w:r>
        <w:rPr>
          <w:rFonts w:ascii="Arial" w:hAnsi="Arial"/>
          <w:color w:val="1B2733"/>
          <w:sz w:val="18"/>
        </w:rPr>
        <w:t>1.  Staff opens a recent intake or searches by verification number, patient ID, hospital OPD number, or name plus masked mobile information.</w:t>
      </w:r>
    </w:p>
    <w:p>
      <w:pPr>
        <w:keepNext w:val="0"/>
        <w:spacing w:before="0" w:after="60" w:line="254" w:lineRule="auto"/>
        <w:ind w:left="389" w:hanging="245"/>
      </w:pPr>
      <w:r>
        <w:rPr>
          <w:rFonts w:ascii="Arial" w:hAnsi="Arial"/>
          <w:color w:val="1B2733"/>
          <w:sz w:val="18"/>
        </w:rPr>
        <w:t>2.  Staff confirms the patient using at least two identifiers, such as full name plus date of birth or mobile number ending.</w:t>
      </w:r>
    </w:p>
    <w:p>
      <w:pPr>
        <w:keepNext w:val="0"/>
        <w:spacing w:before="0" w:after="60" w:line="254" w:lineRule="auto"/>
        <w:ind w:left="389" w:hanging="245"/>
      </w:pPr>
      <w:r>
        <w:rPr>
          <w:rFonts w:ascii="Arial" w:hAnsi="Arial"/>
          <w:color w:val="1B2733"/>
          <w:sz w:val="18"/>
        </w:rPr>
        <w:t>3.  The hospital completes payment verification outside Aarogyam and issues its OPD number according to hospital policy.</w:t>
      </w:r>
    </w:p>
    <w:p>
      <w:pPr>
        <w:keepNext w:val="0"/>
        <w:spacing w:before="0" w:after="60" w:line="254" w:lineRule="auto"/>
        <w:ind w:left="389" w:hanging="245"/>
      </w:pPr>
      <w:r>
        <w:rPr>
          <w:rFonts w:ascii="Arial" w:hAnsi="Arial"/>
          <w:color w:val="1B2733"/>
          <w:sz w:val="18"/>
        </w:rPr>
        <w:t>4.  Staff enters the OPD number and Aarogyam checks for duplicates before linking it to the current encounter.</w:t>
      </w:r>
    </w:p>
    <w:p>
      <w:pPr>
        <w:keepNext w:val="0"/>
        <w:spacing w:before="0" w:after="60" w:line="254" w:lineRule="auto"/>
        <w:ind w:left="389" w:hanging="245"/>
      </w:pPr>
      <w:r>
        <w:rPr>
          <w:rFonts w:ascii="Arial" w:hAnsi="Arial"/>
          <w:color w:val="1B2733"/>
          <w:sz w:val="18"/>
        </w:rPr>
        <w:t>5.  The worklist status changes to OPD linked. Aarogyam does not assign a queue position; hospital staff continues its normal room-calling process.</w:t>
      </w:r>
    </w:p>
    <w:p>
      <w:pPr>
        <w:pStyle w:val="Heading2"/>
      </w:pPr>
      <w:r>
        <w:t>4.3 Vitals entry in the same staff dashboard</w:t>
      </w:r>
    </w:p>
    <w:p>
      <w:pPr>
        <w:keepNext w:val="0"/>
        <w:spacing w:before="0" w:after="80" w:line="259" w:lineRule="auto"/>
      </w:pPr>
      <w:r>
        <w:rPr>
          <w:rFonts w:ascii="Arial" w:hAnsi="Arial"/>
          <w:color w:val="1B2733"/>
          <w:sz w:val="18"/>
        </w:rPr>
        <w:t>Vitals remain in the shared staff dashboard for the first release. Each observation must store the value, unit, time measured and staff user. The system should show the latest values to the doctor and preserve corrections in the audit history.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Vital</w:t>
            </w:r>
          </w:p>
        </w:tc>
        <w:tc>
          <w:tcPr>
            <w:tcW w:type="dxa" w:w="3672"/>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Entry rule</w:t>
            </w:r>
          </w:p>
        </w:tc>
        <w:tc>
          <w:tcPr>
            <w:tcW w:type="dxa" w:w="446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Safety behavior</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Blood pressure</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Systolic / diastolic with mmHg</w:t>
            </w:r>
          </w:p>
        </w:tc>
        <w:tc>
          <w:tcPr>
            <w:tcW w:type="dxa" w:w="44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Range and transposition checks; staff confirms unusual values.</w:t>
            </w:r>
          </w:p>
        </w:tc>
      </w:tr>
      <w:tr>
        <w:trPr>
          <w:cantSplit/>
        </w:trPr>
        <w:tc>
          <w:tcPr>
            <w:tcW w:type="dxa" w:w="180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Pulse</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Beats per minute</w:t>
            </w:r>
          </w:p>
        </w:tc>
        <w:tc>
          <w:tcPr>
            <w:tcW w:type="dxa" w:w="44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Flag implausible values and require confirmation.</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Temperature</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Value plus C or F</w:t>
            </w:r>
          </w:p>
        </w:tc>
        <w:tc>
          <w:tcPr>
            <w:tcW w:type="dxa" w:w="44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Unit is mandatory; never infer the unit.</w:t>
            </w:r>
          </w:p>
        </w:tc>
      </w:tr>
      <w:tr>
        <w:trPr>
          <w:cantSplit/>
        </w:trPr>
        <w:tc>
          <w:tcPr>
            <w:tcW w:type="dxa" w:w="180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SpO2</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Percent</w:t>
            </w:r>
          </w:p>
        </w:tc>
        <w:tc>
          <w:tcPr>
            <w:tcW w:type="dxa" w:w="446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Flag values outside configured hospital threshold.</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Height / weight</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Optional, unit required</w:t>
            </w:r>
          </w:p>
        </w:tc>
        <w:tc>
          <w:tcPr>
            <w:tcW w:type="dxa" w:w="446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Calculate derived values only after unit validation.</w:t>
            </w:r>
          </w:p>
        </w:tc>
      </w:tr>
    </w:tbl>
    <w:p>
      <w:pPr>
        <w:spacing w:after="20"/>
      </w:pPr>
    </w:p>
    <w:p>
      <w:pPr>
        <w:pStyle w:val="Heading2"/>
      </w:pPr>
      <w:r>
        <w:t>4.4 Staff document upload</w:t>
      </w:r>
    </w:p>
    <w:p>
      <w:pPr>
        <w:pStyle w:val="ListBullet"/>
        <w:keepNext w:val="0"/>
        <w:spacing w:before="0" w:after="40" w:line="254" w:lineRule="auto"/>
        <w:ind w:left="331" w:hanging="202"/>
      </w:pPr>
      <w:r>
        <w:rPr>
          <w:rFonts w:ascii="Arial" w:hAnsi="Arial"/>
          <w:color w:val="1B2733"/>
          <w:sz w:val="18"/>
        </w:rPr>
        <w:t>Staff selects the patient encounter already verified and linked to the hospital OPD number.</w:t>
      </w:r>
    </w:p>
    <w:p>
      <w:pPr>
        <w:pStyle w:val="ListBullet"/>
        <w:keepNext w:val="0"/>
        <w:spacing w:before="0" w:after="40" w:line="254" w:lineRule="auto"/>
        <w:ind w:left="331" w:hanging="202"/>
      </w:pPr>
      <w:r>
        <w:rPr>
          <w:rFonts w:ascii="Arial" w:hAnsi="Arial"/>
          <w:color w:val="1B2733"/>
          <w:sz w:val="18"/>
        </w:rPr>
        <w:t>Uploader chooses document type, source, document date and whether it is a paper prescription, hospital report or other clinical document.</w:t>
      </w:r>
    </w:p>
    <w:p>
      <w:pPr>
        <w:pStyle w:val="ListBullet"/>
        <w:keepNext w:val="0"/>
        <w:spacing w:before="0" w:after="40" w:line="254" w:lineRule="auto"/>
        <w:ind w:left="331" w:hanging="202"/>
      </w:pPr>
      <w:r>
        <w:rPr>
          <w:rFonts w:ascii="Arial" w:hAnsi="Arial"/>
          <w:color w:val="1B2733"/>
          <w:sz w:val="18"/>
        </w:rPr>
        <w:t>A preview and patient banner remain visible before confirmation. The confirmation screen repeats patient name, OPD number and document type.</w:t>
      </w:r>
    </w:p>
    <w:p>
      <w:pPr>
        <w:pStyle w:val="ListBullet"/>
        <w:keepNext w:val="0"/>
        <w:spacing w:before="0" w:after="40" w:line="254" w:lineRule="auto"/>
        <w:ind w:left="331" w:hanging="202"/>
      </w:pPr>
      <w:r>
        <w:rPr>
          <w:rFonts w:ascii="Arial" w:hAnsi="Arial"/>
          <w:color w:val="1B2733"/>
          <w:sz w:val="18"/>
        </w:rPr>
        <w:t>Aarogyam validates file type and size, scans for malicious content, records uploader and timestamp, and creates an audit event.</w:t>
      </w:r>
    </w:p>
    <w:p>
      <w:pPr>
        <w:pStyle w:val="ListBullet"/>
        <w:keepNext w:val="0"/>
        <w:spacing w:before="0" w:after="40" w:line="254" w:lineRule="auto"/>
        <w:ind w:left="331" w:hanging="202"/>
      </w:pPr>
      <w:r>
        <w:rPr>
          <w:rFonts w:ascii="Arial" w:hAnsi="Arial"/>
          <w:color w:val="1B2733"/>
          <w:sz w:val="18"/>
        </w:rPr>
        <w:t>Incorrect uploads are withdrawn with a reason and retained in audit history; they are not silently replaced.</w:t>
      </w:r>
    </w:p>
    <w:p>
      <w:pPr>
        <w:pStyle w:val="Heading1"/>
      </w:pPr>
      <w:r>
        <w:t>5. Doctor workflow</w:t>
      </w:r>
    </w:p>
    <w:p>
      <w:pPr>
        <w:pStyle w:val="Heading2"/>
      </w:pPr>
      <w:r>
        <w:t>5.1 Recommended patient search and identification</w:t>
      </w:r>
    </w:p>
    <w:p>
      <w:pPr>
        <w:keepNext w:val="0"/>
        <w:spacing w:before="0" w:after="80" w:line="259" w:lineRule="auto"/>
      </w:pPr>
      <w:r>
        <w:rPr>
          <w:rFonts w:ascii="Arial" w:hAnsi="Arial"/>
          <w:color w:val="1B2733"/>
          <w:sz w:val="18"/>
        </w:rPr>
        <w:t>Preferred lookup is the hospital OPD number because it represents the visit the hospital has already registered. Patient ID is the second option. The AI verification number is a fallback for locating an unlinked or recently linked intake, never the final identity check.</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728"/>
            <w:shd w:fill="EEF4F8"/>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SEARCH</w:t>
            </w:r>
            <w:r>
              <w:rPr>
                <w:rFonts w:ascii="Arial" w:hAnsi="Arial"/>
                <w:color w:val="5B6875"/>
                <w:sz w:val="15"/>
              </w:rPr>
              <w:br/>
              <w:t>OPD no. preferred</w:t>
            </w:r>
          </w:p>
        </w:tc>
        <w:tc>
          <w:tcPr>
            <w:tcW w:type="dxa" w:w="317"/>
            <w:tcMar>
              <w:top w:w="15" w:type="dxa"/>
              <w:start w:w="0" w:type="dxa"/>
              <w:bottom w:w="15" w:type="dxa"/>
              <w:end w:w="0" w:type="dxa"/>
            </w:tcMar>
          </w:tcPr>
          <w:p>
            <w:pPr>
              <w:keepNext w:val="0"/>
              <w:spacing w:before="0" w:after="0" w:line="240" w:lineRule="auto"/>
              <w:jc w:val="center"/>
            </w:pPr>
            <w:r>
              <w:rPr>
                <w:rFonts w:ascii="Arial" w:hAnsi="Arial"/>
                <w:b/>
                <w:color w:val="147D7E"/>
                <w:sz w:val="22"/>
              </w:rPr>
              <w:t>-&gt;</w:t>
            </w:r>
          </w:p>
        </w:tc>
        <w:tc>
          <w:tcPr>
            <w:tcW w:type="dxa" w:w="1728"/>
            <w:shd w:fill="FFFFFF"/>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SELECT</w:t>
            </w:r>
            <w:r>
              <w:rPr>
                <w:rFonts w:ascii="Arial" w:hAnsi="Arial"/>
                <w:color w:val="5B6875"/>
                <w:sz w:val="15"/>
              </w:rPr>
              <w:br/>
              <w:t>Basic demographics</w:t>
            </w:r>
          </w:p>
        </w:tc>
        <w:tc>
          <w:tcPr>
            <w:tcW w:type="dxa" w:w="317"/>
            <w:tcMar>
              <w:top w:w="15" w:type="dxa"/>
              <w:start w:w="0" w:type="dxa"/>
              <w:bottom w:w="15" w:type="dxa"/>
              <w:end w:w="0" w:type="dxa"/>
            </w:tcMar>
          </w:tcPr>
          <w:p>
            <w:pPr>
              <w:keepNext w:val="0"/>
              <w:spacing w:before="0" w:after="0" w:line="240" w:lineRule="auto"/>
              <w:jc w:val="center"/>
            </w:pPr>
            <w:r>
              <w:rPr>
                <w:rFonts w:ascii="Arial" w:hAnsi="Arial"/>
                <w:b/>
                <w:color w:val="147D7E"/>
                <w:sz w:val="22"/>
              </w:rPr>
              <w:t>-&gt;</w:t>
            </w:r>
          </w:p>
        </w:tc>
        <w:tc>
          <w:tcPr>
            <w:tcW w:type="dxa" w:w="1728"/>
            <w:shd w:fill="FFF7E6"/>
            <w:tcMar>
              <w:top w:w="105" w:type="dxa"/>
              <w:start w:w="110" w:type="dxa"/>
              <w:bottom w:w="105" w:type="dxa"/>
              <w:end w:w="110" w:type="dxa"/>
            </w:tcMar>
            <w:tcBorders>
              <w:top w:val="single" w:sz="10" w:color="B9770E"/>
              <w:bottom w:val="single" w:sz="10" w:color="B9770E"/>
              <w:start w:val="single" w:sz="10" w:color="B9770E"/>
              <w:end w:val="single" w:sz="10" w:color="B9770E"/>
            </w:tcBorders>
            <w:vAlign w:val="center"/>
          </w:tcPr>
          <w:p>
            <w:pPr>
              <w:keepNext w:val="0"/>
              <w:spacing w:before="0" w:after="0" w:line="245" w:lineRule="auto"/>
              <w:jc w:val="center"/>
            </w:pPr>
            <w:r>
              <w:rPr>
                <w:rFonts w:ascii="Arial" w:hAnsi="Arial"/>
                <w:b/>
                <w:color w:val="16324F"/>
                <w:sz w:val="18"/>
              </w:rPr>
              <w:t>VERIFY</w:t>
            </w:r>
            <w:r>
              <w:rPr>
                <w:rFonts w:ascii="Arial" w:hAnsi="Arial"/>
                <w:color w:val="5B6875"/>
                <w:sz w:val="15"/>
              </w:rPr>
              <w:br/>
              <w:t>Two identifiers</w:t>
            </w:r>
          </w:p>
        </w:tc>
        <w:tc>
          <w:tcPr>
            <w:tcW w:type="dxa" w:w="317"/>
            <w:tcMar>
              <w:top w:w="15" w:type="dxa"/>
              <w:start w:w="0" w:type="dxa"/>
              <w:bottom w:w="15" w:type="dxa"/>
              <w:end w:w="0" w:type="dxa"/>
            </w:tcMar>
          </w:tcPr>
          <w:p>
            <w:pPr>
              <w:keepNext w:val="0"/>
              <w:spacing w:before="0" w:after="0" w:line="240" w:lineRule="auto"/>
              <w:jc w:val="center"/>
            </w:pPr>
            <w:r>
              <w:rPr>
                <w:rFonts w:ascii="Arial" w:hAnsi="Arial"/>
                <w:b/>
                <w:color w:val="147D7E"/>
                <w:sz w:val="22"/>
              </w:rPr>
              <w:t>-&gt;</w:t>
            </w:r>
          </w:p>
        </w:tc>
        <w:tc>
          <w:tcPr>
            <w:tcW w:type="dxa" w:w="1728"/>
            <w:shd w:fill="EDF7F1"/>
            <w:tcMar>
              <w:top w:w="105" w:type="dxa"/>
              <w:start w:w="110" w:type="dxa"/>
              <w:bottom w:w="105" w:type="dxa"/>
              <w:end w:w="110" w:type="dxa"/>
            </w:tcMar>
            <w:tcBorders>
              <w:top w:val="single" w:sz="10" w:color="2E7D5B"/>
              <w:bottom w:val="single" w:sz="10" w:color="2E7D5B"/>
              <w:start w:val="single" w:sz="10" w:color="2E7D5B"/>
              <w:end w:val="single" w:sz="10" w:color="2E7D5B"/>
            </w:tcBorders>
            <w:vAlign w:val="center"/>
          </w:tcPr>
          <w:p>
            <w:pPr>
              <w:keepNext w:val="0"/>
              <w:spacing w:before="0" w:after="0" w:line="245" w:lineRule="auto"/>
              <w:jc w:val="center"/>
            </w:pPr>
            <w:r>
              <w:rPr>
                <w:rFonts w:ascii="Arial" w:hAnsi="Arial"/>
                <w:b/>
                <w:color w:val="16324F"/>
                <w:sz w:val="18"/>
              </w:rPr>
              <w:t>START</w:t>
            </w:r>
            <w:r>
              <w:rPr>
                <w:rFonts w:ascii="Arial" w:hAnsi="Arial"/>
                <w:color w:val="5B6875"/>
                <w:sz w:val="15"/>
              </w:rPr>
              <w:br/>
              <w:t>Bind encounter</w:t>
            </w:r>
          </w:p>
        </w:tc>
        <w:tc>
          <w:tcPr>
            <w:tcW w:type="dxa" w:w="317"/>
            <w:tcMar>
              <w:top w:w="15" w:type="dxa"/>
              <w:start w:w="0" w:type="dxa"/>
              <w:bottom w:w="15" w:type="dxa"/>
              <w:end w:w="0" w:type="dxa"/>
            </w:tcMar>
          </w:tcPr>
          <w:p>
            <w:pPr>
              <w:keepNext w:val="0"/>
              <w:spacing w:before="0" w:after="0" w:line="240" w:lineRule="auto"/>
              <w:jc w:val="center"/>
            </w:pPr>
            <w:r>
              <w:rPr>
                <w:rFonts w:ascii="Arial" w:hAnsi="Arial"/>
                <w:b/>
                <w:color w:val="147D7E"/>
                <w:sz w:val="22"/>
              </w:rPr>
              <w:t>-&gt;</w:t>
            </w:r>
          </w:p>
        </w:tc>
        <w:tc>
          <w:tcPr>
            <w:tcW w:type="dxa" w:w="1728"/>
            <w:shd w:fill="FFFFFF"/>
            <w:tcMar>
              <w:top w:w="105" w:type="dxa"/>
              <w:start w:w="110" w:type="dxa"/>
              <w:bottom w:w="105" w:type="dxa"/>
              <w:end w:w="110" w:type="dxa"/>
            </w:tcMar>
            <w:tcBorders>
              <w:top w:val="single" w:sz="10" w:color="2E7D5B"/>
              <w:bottom w:val="single" w:sz="10" w:color="2E7D5B"/>
              <w:start w:val="single" w:sz="10" w:color="2E7D5B"/>
              <w:end w:val="single" w:sz="10" w:color="2E7D5B"/>
            </w:tcBorders>
            <w:vAlign w:val="center"/>
          </w:tcPr>
          <w:p>
            <w:pPr>
              <w:keepNext w:val="0"/>
              <w:spacing w:before="0" w:after="0" w:line="245" w:lineRule="auto"/>
              <w:jc w:val="center"/>
            </w:pPr>
            <w:r>
              <w:rPr>
                <w:rFonts w:ascii="Arial" w:hAnsi="Arial"/>
                <w:b/>
                <w:color w:val="16324F"/>
                <w:sz w:val="18"/>
              </w:rPr>
              <w:t>OPEN</w:t>
            </w:r>
            <w:r>
              <w:rPr>
                <w:rFonts w:ascii="Arial" w:hAnsi="Arial"/>
                <w:color w:val="5B6875"/>
                <w:sz w:val="15"/>
              </w:rPr>
              <w:br/>
              <w:t>Clinical record</w:t>
            </w:r>
          </w:p>
        </w:tc>
      </w:tr>
    </w:tbl>
    <w:p>
      <w:pPr>
        <w:spacing w:after="20"/>
      </w:pPr>
    </w:p>
    <w:p>
      <w:pPr>
        <w:pStyle w:val="Heading2"/>
      </w:pPr>
      <w:r>
        <w:t>5.2 Doctor consultation sequence</w:t>
      </w:r>
    </w:p>
    <w:p>
      <w:pPr>
        <w:keepNext w:val="0"/>
        <w:spacing w:before="0" w:after="60" w:line="254" w:lineRule="auto"/>
        <w:ind w:left="389" w:hanging="245"/>
      </w:pPr>
      <w:r>
        <w:rPr>
          <w:rFonts w:ascii="Arial" w:hAnsi="Arial"/>
          <w:color w:val="1B2733"/>
          <w:sz w:val="18"/>
        </w:rPr>
        <w:t>1.  Search by hospital OPD number, or use patient ID / AI verification number as a controlled fallback.</w:t>
      </w:r>
    </w:p>
    <w:p>
      <w:pPr>
        <w:keepNext w:val="0"/>
        <w:spacing w:before="0" w:after="60" w:line="254" w:lineRule="auto"/>
        <w:ind w:left="389" w:hanging="245"/>
      </w:pPr>
      <w:r>
        <w:rPr>
          <w:rFonts w:ascii="Arial" w:hAnsi="Arial"/>
          <w:color w:val="1B2733"/>
          <w:sz w:val="18"/>
        </w:rPr>
        <w:t>2.  Select the matching result from a minimal list containing basic demographics and visit status.</w:t>
      </w:r>
    </w:p>
    <w:p>
      <w:pPr>
        <w:keepNext w:val="0"/>
        <w:spacing w:before="0" w:after="60" w:line="254" w:lineRule="auto"/>
        <w:ind w:left="389" w:hanging="245"/>
      </w:pPr>
      <w:r>
        <w:rPr>
          <w:rFonts w:ascii="Arial" w:hAnsi="Arial"/>
          <w:color w:val="1B2733"/>
          <w:sz w:val="18"/>
        </w:rPr>
        <w:t>3.  Confirm two identifiers with the patient before opening sensitive records.</w:t>
      </w:r>
    </w:p>
    <w:p>
      <w:pPr>
        <w:keepNext w:val="0"/>
        <w:spacing w:before="0" w:after="60" w:line="254" w:lineRule="auto"/>
        <w:ind w:left="389" w:hanging="245"/>
      </w:pPr>
      <w:r>
        <w:rPr>
          <w:rFonts w:ascii="Arial" w:hAnsi="Arial"/>
          <w:color w:val="1B2733"/>
          <w:sz w:val="18"/>
        </w:rPr>
        <w:t>4.  Choose Start consultation. Aarogyam binds the doctor, timestamp and active encounter, preventing accidental entry into another open chart.</w:t>
      </w:r>
    </w:p>
    <w:p>
      <w:pPr>
        <w:keepNext w:val="0"/>
        <w:spacing w:before="0" w:after="60" w:line="254" w:lineRule="auto"/>
        <w:ind w:left="389" w:hanging="245"/>
      </w:pPr>
      <w:r>
        <w:rPr>
          <w:rFonts w:ascii="Arial" w:hAnsi="Arial"/>
          <w:color w:val="1B2733"/>
          <w:sz w:val="18"/>
        </w:rPr>
        <w:t>5.  Review the patient-reported AI summary, staff-entered vitals, relevant previous visits and permitted medical documents.</w:t>
      </w:r>
    </w:p>
    <w:p>
      <w:pPr>
        <w:keepNext w:val="0"/>
        <w:spacing w:before="0" w:after="60" w:line="254" w:lineRule="auto"/>
        <w:ind w:left="389" w:hanging="245"/>
      </w:pPr>
      <w:r>
        <w:rPr>
          <w:rFonts w:ascii="Arial" w:hAnsi="Arial"/>
          <w:color w:val="1B2733"/>
          <w:sz w:val="18"/>
        </w:rPr>
        <w:t>6.  Document findings and plan, then finalize the prescription or record that no prescription was issued.</w:t>
      </w:r>
    </w:p>
    <w:p>
      <w:pPr>
        <w:keepNext w:val="0"/>
        <w:spacing w:before="0" w:after="60" w:line="254" w:lineRule="auto"/>
        <w:ind w:left="389" w:hanging="245"/>
      </w:pPr>
      <w:r>
        <w:rPr>
          <w:rFonts w:ascii="Arial" w:hAnsi="Arial"/>
          <w:color w:val="1B2733"/>
          <w:sz w:val="18"/>
        </w:rPr>
        <w:t>7.  Choose End consultation. Aarogyam closes the encounter for normal editing and publishes finalized items to the patient's record.</w:t>
      </w:r>
    </w:p>
    <w:p>
      <w:pPr>
        <w:pStyle w:val="Heading2"/>
      </w:pPr>
      <w:r>
        <w:t>5.3 Simplified but safe prescription template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Field</w:t>
            </w:r>
          </w:p>
        </w:tc>
        <w:tc>
          <w:tcPr>
            <w:tcW w:type="dxa" w:w="7992"/>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Required behavior</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Medicine</w:t>
            </w:r>
          </w:p>
        </w:tc>
        <w:tc>
          <w:tcPr>
            <w:tcW w:type="dxa" w:w="799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Search/select or free-text with a clear unverified indicator.</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Dose and route</w:t>
            </w:r>
          </w:p>
        </w:tc>
        <w:tc>
          <w:tcPr>
            <w:tcW w:type="dxa" w:w="799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Separate structured fields; never auto-fill silently from a previous patient.</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Frequency</w:t>
            </w:r>
          </w:p>
        </w:tc>
        <w:tc>
          <w:tcPr>
            <w:tcW w:type="dxa" w:w="799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Human-readable schedule with optional machine-readable times for reminders.</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Duration</w:t>
            </w:r>
          </w:p>
        </w:tc>
        <w:tc>
          <w:tcPr>
            <w:tcW w:type="dxa" w:w="799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Required unless the doctor explicitly marks ongoing / as needed with instructions.</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Instructions</w:t>
            </w:r>
          </w:p>
        </w:tc>
        <w:tc>
          <w:tcPr>
            <w:tcW w:type="dxa" w:w="799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Food relation, special precautions and free-text notes where needed.</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Review step</w:t>
            </w:r>
          </w:p>
        </w:tc>
        <w:tc>
          <w:tcPr>
            <w:tcW w:type="dxa" w:w="799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 sees patient banner and full medicine list, then explicitly chooses Finalize and publish.</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Correction</w:t>
            </w:r>
          </w:p>
        </w:tc>
        <w:tc>
          <w:tcPr>
            <w:tcW w:type="dxa" w:w="799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Create a dated amendment showing who changed what and why; preserve the original.</w:t>
            </w:r>
          </w:p>
        </w:tc>
      </w:tr>
    </w:tbl>
    <w:p>
      <w:pPr>
        <w:spacing w:after="20"/>
      </w:pPr>
    </w:p>
    <w:p>
      <w:pPr>
        <w:pStyle w:val="Heading2"/>
      </w:pPr>
      <w:r>
        <w:t>5.4 Paper prescription option</w:t>
      </w:r>
    </w:p>
    <w:p>
      <w:pPr>
        <w:keepNext w:val="0"/>
        <w:spacing w:before="0" w:after="80" w:line="259" w:lineRule="auto"/>
      </w:pPr>
      <w:r>
        <w:rPr>
          <w:rFonts w:ascii="Arial" w:hAnsi="Arial"/>
          <w:color w:val="1B2733"/>
          <w:sz w:val="18"/>
        </w:rPr>
        <w:t>If the doctor hands a paper prescription to the patient, the encounter is still closed with 'paper prescription issued.' The patient may upload it in the app, or staff may scan it from the same dashboard. The uploaded image is labelled as a scanned paper prescription and linked to the OPD encounter after identity confirmation.</w:t>
      </w:r>
    </w:p>
    <w:p>
      <w:pPr>
        <w:pStyle w:val="Heading1"/>
      </w:pPr>
      <w:r>
        <w:t>6. Records, reports and follow-up</w:t>
      </w:r>
    </w:p>
    <w:tbl>
      <w:tblPr>
        <w:tblW w:type="auto" w:w="0"/>
        <w:jc w:val="center"/>
        <w:tblLayout w:type="fixed"/>
        <w:tblLook w:firstColumn="1" w:firstRow="1" w:lastColumn="0" w:lastRow="0" w:noHBand="0" w:noVBand="1" w:val="04A0"/>
      </w:tblPr>
      <w:tblGrid>
        <w:gridCol w:w="5083"/>
        <w:gridCol w:w="5083"/>
      </w:tblGrid>
      <w:tr>
        <w:tc>
          <w:tcPr>
            <w:tcW w:type="dxa" w:w="4824"/>
            <w:shd w:fill="EDF7F1"/>
            <w:tcMar>
              <w:top w:w="105" w:type="dxa"/>
              <w:start w:w="110" w:type="dxa"/>
              <w:bottom w:w="105" w:type="dxa"/>
              <w:end w:w="110" w:type="dxa"/>
            </w:tcMar>
            <w:tcBorders>
              <w:top w:val="single" w:sz="10" w:color="2E7D5B"/>
              <w:bottom w:val="single" w:sz="10" w:color="2E7D5B"/>
              <w:start w:val="single" w:sz="10" w:color="2E7D5B"/>
              <w:end w:val="single" w:sz="10" w:color="2E7D5B"/>
            </w:tcBorders>
            <w:vAlign w:val="center"/>
          </w:tcPr>
          <w:p>
            <w:pPr>
              <w:keepNext w:val="0"/>
              <w:spacing w:before="0" w:after="0" w:line="245" w:lineRule="auto"/>
              <w:jc w:val="center"/>
            </w:pPr>
            <w:r>
              <w:rPr>
                <w:rFonts w:ascii="Arial" w:hAnsi="Arial"/>
                <w:b/>
                <w:color w:val="16324F"/>
                <w:sz w:val="18"/>
              </w:rPr>
              <w:t>DIGITAL PRESCRIPTION</w:t>
            </w:r>
            <w:r>
              <w:rPr>
                <w:rFonts w:ascii="Arial" w:hAnsi="Arial"/>
                <w:color w:val="5B6875"/>
                <w:sz w:val="15"/>
              </w:rPr>
              <w:br/>
              <w:t>Doctor reviews and finalizes</w:t>
            </w:r>
          </w:p>
        </w:tc>
        <w:tc>
          <w:tcPr>
            <w:tcW w:type="dxa" w:w="4824"/>
            <w:shd w:fill="EEF4F8"/>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PAPER PRESCRIPTION</w:t>
            </w:r>
            <w:r>
              <w:rPr>
                <w:rFonts w:ascii="Arial" w:hAnsi="Arial"/>
                <w:color w:val="5B6875"/>
                <w:sz w:val="15"/>
              </w:rPr>
              <w:br/>
              <w:t>Patient uploads or staff scans</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FFFFFF"/>
            <w:tcMar>
              <w:top w:w="105" w:type="dxa"/>
              <w:start w:w="110" w:type="dxa"/>
              <w:bottom w:w="105" w:type="dxa"/>
              <w:end w:w="110" w:type="dxa"/>
            </w:tcMar>
            <w:tcBorders>
              <w:top w:val="single" w:sz="10" w:color="16324F"/>
              <w:bottom w:val="single" w:sz="10" w:color="16324F"/>
              <w:start w:val="single" w:sz="10" w:color="16324F"/>
              <w:end w:val="single" w:sz="10" w:color="16324F"/>
            </w:tcBorders>
            <w:vAlign w:val="center"/>
          </w:tcPr>
          <w:p>
            <w:pPr>
              <w:keepNext w:val="0"/>
              <w:spacing w:before="0" w:after="0" w:line="245" w:lineRule="auto"/>
              <w:jc w:val="center"/>
            </w:pPr>
            <w:r>
              <w:rPr>
                <w:rFonts w:ascii="Arial" w:hAnsi="Arial"/>
                <w:b/>
                <w:color w:val="16324F"/>
                <w:sz w:val="18"/>
              </w:rPr>
              <w:t>VERIFY PATIENT + ENCOUNTER</w:t>
            </w:r>
            <w:r>
              <w:rPr>
                <w:rFonts w:ascii="Arial" w:hAnsi="Arial"/>
                <w:color w:val="5B6875"/>
                <w:sz w:val="15"/>
              </w:rPr>
              <w:br/>
              <w:t>Confirm two identifiers and link to hospital OPD encounter</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4824"/>
            <w:shd w:fill="EAF6F5"/>
            <w:tcMar>
              <w:top w:w="105" w:type="dxa"/>
              <w:start w:w="110" w:type="dxa"/>
              <w:bottom w:w="105" w:type="dxa"/>
              <w:end w:w="110" w:type="dxa"/>
            </w:tcMar>
            <w:tcBorders>
              <w:top w:val="single" w:sz="10" w:color="147D7E"/>
              <w:bottom w:val="single" w:sz="10" w:color="147D7E"/>
              <w:start w:val="single" w:sz="10" w:color="147D7E"/>
              <w:end w:val="single" w:sz="10" w:color="147D7E"/>
            </w:tcBorders>
            <w:vAlign w:val="center"/>
          </w:tcPr>
          <w:p>
            <w:pPr>
              <w:keepNext w:val="0"/>
              <w:spacing w:before="0" w:after="0" w:line="245" w:lineRule="auto"/>
              <w:jc w:val="center"/>
            </w:pPr>
            <w:r>
              <w:rPr>
                <w:rFonts w:ascii="Arial" w:hAnsi="Arial"/>
                <w:b/>
                <w:color w:val="16324F"/>
                <w:sz w:val="18"/>
              </w:rPr>
              <w:t>HOSPITAL LAB REPORT</w:t>
            </w:r>
            <w:r>
              <w:rPr>
                <w:rFonts w:ascii="Arial" w:hAnsi="Arial"/>
                <w:color w:val="5B6875"/>
                <w:sz w:val="15"/>
              </w:rPr>
              <w:br/>
              <w:t>Authorized staff uploads</w:t>
            </w:r>
          </w:p>
        </w:tc>
        <w:tc>
          <w:tcPr>
            <w:tcW w:type="dxa" w:w="4824"/>
            <w:shd w:fill="FFF7E6"/>
            <w:tcMar>
              <w:top w:w="105" w:type="dxa"/>
              <w:start w:w="110" w:type="dxa"/>
              <w:bottom w:w="105" w:type="dxa"/>
              <w:end w:w="110" w:type="dxa"/>
            </w:tcMar>
            <w:tcBorders>
              <w:top w:val="single" w:sz="10" w:color="B9770E"/>
              <w:bottom w:val="single" w:sz="10" w:color="B9770E"/>
              <w:start w:val="single" w:sz="10" w:color="B9770E"/>
              <w:end w:val="single" w:sz="10" w:color="B9770E"/>
            </w:tcBorders>
            <w:vAlign w:val="center"/>
          </w:tcPr>
          <w:p>
            <w:pPr>
              <w:keepNext w:val="0"/>
              <w:spacing w:before="0" w:after="0" w:line="245" w:lineRule="auto"/>
              <w:jc w:val="center"/>
            </w:pPr>
            <w:r>
              <w:rPr>
                <w:rFonts w:ascii="Arial" w:hAnsi="Arial"/>
                <w:b/>
                <w:color w:val="16324F"/>
                <w:sz w:val="18"/>
              </w:rPr>
              <w:t>EXTERNAL LAB REPORT</w:t>
            </w:r>
            <w:r>
              <w:rPr>
                <w:rFonts w:ascii="Arial" w:hAnsi="Arial"/>
                <w:color w:val="5B6875"/>
                <w:sz w:val="15"/>
              </w:rPr>
              <w:br/>
              <w:t>Patient uploads; mark external / pending review</w:t>
            </w:r>
          </w:p>
        </w:tc>
      </w:tr>
      <w:tr>
        <w:tc>
          <w:tcPr>
            <w:tcW w:type="dxa" w:w="9648"/>
            <w:gridSpan w:val="2"/>
            <w:tcMar>
              <w:top w:w="15" w:type="dxa"/>
              <w:start w:w="0" w:type="dxa"/>
              <w:bottom w:w="15" w:type="dxa"/>
              <w:end w:w="0" w:type="dxa"/>
            </w:tcMar>
          </w:tcPr>
          <w:p>
            <w:pPr>
              <w:keepNext w:val="0"/>
              <w:spacing w:before="0" w:after="0" w:line="240" w:lineRule="auto"/>
              <w:jc w:val="center"/>
            </w:pPr>
            <w:r>
              <w:rPr>
                <w:rFonts w:ascii="Arial" w:hAnsi="Arial"/>
                <w:b/>
                <w:color w:val="147D7E"/>
                <w:sz w:val="22"/>
              </w:rPr>
              <w:t>v</w:t>
            </w:r>
          </w:p>
        </w:tc>
      </w:tr>
      <w:tr>
        <w:tc>
          <w:tcPr>
            <w:tcW w:type="dxa" w:w="9648"/>
            <w:gridSpan w:val="2"/>
            <w:shd w:fill="EDF7F1"/>
            <w:tcMar>
              <w:top w:w="105" w:type="dxa"/>
              <w:start w:w="110" w:type="dxa"/>
              <w:bottom w:w="105" w:type="dxa"/>
              <w:end w:w="110" w:type="dxa"/>
            </w:tcMar>
            <w:tcBorders>
              <w:top w:val="single" w:sz="10" w:color="2E7D5B"/>
              <w:bottom w:val="single" w:sz="10" w:color="2E7D5B"/>
              <w:start w:val="single" w:sz="10" w:color="2E7D5B"/>
              <w:end w:val="single" w:sz="10" w:color="2E7D5B"/>
            </w:tcBorders>
            <w:vAlign w:val="center"/>
          </w:tcPr>
          <w:p>
            <w:pPr>
              <w:keepNext w:val="0"/>
              <w:spacing w:before="0" w:after="0" w:line="245" w:lineRule="auto"/>
              <w:jc w:val="center"/>
            </w:pPr>
            <w:r>
              <w:rPr>
                <w:rFonts w:ascii="Arial" w:hAnsi="Arial"/>
                <w:b/>
                <w:color w:val="16324F"/>
                <w:sz w:val="18"/>
              </w:rPr>
              <w:t>PATIENT RECORD</w:t>
            </w:r>
            <w:r>
              <w:rPr>
                <w:rFonts w:ascii="Arial" w:hAnsi="Arial"/>
                <w:color w:val="5B6875"/>
                <w:sz w:val="15"/>
              </w:rPr>
              <w:br/>
              <w:t>Publish with document type, source, date, uploader and review status</w:t>
            </w:r>
          </w:p>
        </w:tc>
      </w:tr>
    </w:tbl>
    <w:p>
      <w:pPr>
        <w:spacing w:after="20"/>
      </w:pPr>
    </w:p>
    <w:p>
      <w:pPr>
        <w:pStyle w:val="Heading2"/>
      </w:pPr>
      <w:r>
        <w:t>6.1 Document source rules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Source</w:t>
            </w:r>
          </w:p>
        </w:tc>
        <w:tc>
          <w:tcPr>
            <w:tcW w:type="dxa" w:w="158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Uploader</w:t>
            </w:r>
          </w:p>
        </w:tc>
        <w:tc>
          <w:tcPr>
            <w:tcW w:type="dxa" w:w="324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Patient-facing label</w:t>
            </w:r>
          </w:p>
        </w:tc>
        <w:tc>
          <w:tcPr>
            <w:tcW w:type="dxa" w:w="3168"/>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Review state</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 digital prescription</w:t>
            </w:r>
          </w:p>
        </w:tc>
        <w:tc>
          <w:tcPr>
            <w:tcW w:type="dxa" w:w="158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w:t>
            </w:r>
          </w:p>
        </w:tc>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Finalized prescription</w:t>
            </w:r>
          </w:p>
        </w:tc>
        <w:tc>
          <w:tcPr>
            <w:tcW w:type="dxa" w:w="316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Final on publish; amendments versioned.</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 paper prescription</w:t>
            </w:r>
          </w:p>
        </w:tc>
        <w:tc>
          <w:tcPr>
            <w:tcW w:type="dxa" w:w="158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Patient or staff</w:t>
            </w:r>
          </w:p>
        </w:tc>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Scanned paper prescription</w:t>
            </w:r>
          </w:p>
        </w:tc>
        <w:tc>
          <w:tcPr>
            <w:tcW w:type="dxa" w:w="316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Source visible; linked to encounter.</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Hospital laboratory</w:t>
            </w:r>
          </w:p>
        </w:tc>
        <w:tc>
          <w:tcPr>
            <w:tcW w:type="dxa" w:w="158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Authorized hospital staff</w:t>
            </w:r>
          </w:p>
        </w:tc>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Hospital lab report</w:t>
            </w:r>
          </w:p>
        </w:tc>
        <w:tc>
          <w:tcPr>
            <w:tcW w:type="dxa" w:w="316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Final according to hospital process.</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External laboratory</w:t>
            </w:r>
          </w:p>
        </w:tc>
        <w:tc>
          <w:tcPr>
            <w:tcW w:type="dxa" w:w="158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Patient</w:t>
            </w:r>
          </w:p>
        </w:tc>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External report</w:t>
            </w:r>
          </w:p>
        </w:tc>
        <w:tc>
          <w:tcPr>
            <w:tcW w:type="dxa" w:w="316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Marked external / not yet reviewed until clinician review.</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Other clinical document</w:t>
            </w:r>
          </w:p>
        </w:tc>
        <w:tc>
          <w:tcPr>
            <w:tcW w:type="dxa" w:w="158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Patient or staff</w:t>
            </w:r>
          </w:p>
        </w:tc>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Document type + source</w:t>
            </w:r>
          </w:p>
        </w:tc>
        <w:tc>
          <w:tcPr>
            <w:tcW w:type="dxa" w:w="316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Status based on configured workflow.</w:t>
            </w:r>
          </w:p>
        </w:tc>
      </w:tr>
    </w:tbl>
    <w:p>
      <w:pPr>
        <w:spacing w:after="20"/>
      </w:pPr>
    </w:p>
    <w:p>
      <w:pPr>
        <w:pStyle w:val="Heading2"/>
      </w:pPr>
      <w:r>
        <w:t>6.2 Next appointment</w:t>
      </w:r>
    </w:p>
    <w:p>
      <w:pPr>
        <w:pStyle w:val="ListBullet"/>
        <w:keepNext w:val="0"/>
        <w:spacing w:before="0" w:after="40" w:line="254" w:lineRule="auto"/>
        <w:ind w:left="331" w:hanging="202"/>
      </w:pPr>
      <w:r>
        <w:rPr>
          <w:rFonts w:ascii="Arial" w:hAnsi="Arial"/>
          <w:color w:val="1B2733"/>
          <w:sz w:val="18"/>
        </w:rPr>
        <w:t>Doctor records a follow-up recommendation: timeframe, specialty and reason. This is a recommendation, not automatically a confirmed appointment.</w:t>
      </w:r>
    </w:p>
    <w:p>
      <w:pPr>
        <w:pStyle w:val="ListBullet"/>
        <w:keepNext w:val="0"/>
        <w:spacing w:before="0" w:after="40" w:line="254" w:lineRule="auto"/>
        <w:ind w:left="331" w:hanging="202"/>
      </w:pPr>
      <w:r>
        <w:rPr>
          <w:rFonts w:ascii="Arial" w:hAnsi="Arial"/>
          <w:color w:val="1B2733"/>
          <w:sz w:val="18"/>
        </w:rPr>
        <w:t>The hospital or patient confirms the actual appointment according to the hospital's booking process.</w:t>
      </w:r>
    </w:p>
    <w:p>
      <w:pPr>
        <w:pStyle w:val="ListBullet"/>
        <w:keepNext w:val="0"/>
        <w:spacing w:before="0" w:after="40" w:line="254" w:lineRule="auto"/>
        <w:ind w:left="331" w:hanging="202"/>
      </w:pPr>
      <w:r>
        <w:rPr>
          <w:rFonts w:ascii="Arial" w:hAnsi="Arial"/>
          <w:color w:val="1B2733"/>
          <w:sz w:val="18"/>
        </w:rPr>
        <w:t>Only a confirmed appointment receives scheduled reminders. Changes and cancellations update the same appointment record.</w:t>
      </w:r>
    </w:p>
    <w:p>
      <w:pPr>
        <w:pStyle w:val="ListBullet"/>
        <w:keepNext w:val="0"/>
        <w:spacing w:before="0" w:after="40" w:line="254" w:lineRule="auto"/>
        <w:ind w:left="331" w:hanging="202"/>
      </w:pPr>
      <w:r>
        <w:rPr>
          <w:rFonts w:ascii="Arial" w:hAnsi="Arial"/>
          <w:color w:val="1B2733"/>
          <w:sz w:val="18"/>
        </w:rPr>
        <w:t>The patient app clearly distinguishes 'doctor recommended follow-up' from 'appointment booked.'</w:t>
      </w:r>
    </w:p>
    <w:p>
      <w:pPr>
        <w:pStyle w:val="Heading2"/>
      </w:pPr>
      <w:r>
        <w:t>6.3 Medicine reminders</w:t>
      </w:r>
    </w:p>
    <w:p>
      <w:pPr>
        <w:pStyle w:val="ListBullet"/>
        <w:keepNext w:val="0"/>
        <w:spacing w:before="0" w:after="40" w:line="254" w:lineRule="auto"/>
        <w:ind w:left="331" w:hanging="202"/>
      </w:pPr>
      <w:r>
        <w:rPr>
          <w:rFonts w:ascii="Arial" w:hAnsi="Arial"/>
          <w:color w:val="1B2733"/>
          <w:sz w:val="18"/>
        </w:rPr>
        <w:t>For digital prescriptions, reminder suggestions are generated only from the doctor-finalized structured medicine schedule.</w:t>
      </w:r>
    </w:p>
    <w:p>
      <w:pPr>
        <w:pStyle w:val="ListBullet"/>
        <w:keepNext w:val="0"/>
        <w:spacing w:before="0" w:after="40" w:line="254" w:lineRule="auto"/>
        <w:ind w:left="331" w:hanging="202"/>
      </w:pPr>
      <w:r>
        <w:rPr>
          <w:rFonts w:ascii="Arial" w:hAnsi="Arial"/>
          <w:color w:val="1B2733"/>
          <w:sz w:val="18"/>
        </w:rPr>
        <w:t>For scanned paper prescriptions, the patient or authorized staff must confirm medicine, dose, frequency and duration before reminders activate.</w:t>
      </w:r>
    </w:p>
    <w:p>
      <w:pPr>
        <w:pStyle w:val="ListBullet"/>
        <w:keepNext w:val="0"/>
        <w:spacing w:before="0" w:after="40" w:line="254" w:lineRule="auto"/>
        <w:ind w:left="331" w:hanging="202"/>
      </w:pPr>
      <w:r>
        <w:rPr>
          <w:rFonts w:ascii="Arial" w:hAnsi="Arial"/>
          <w:color w:val="1B2733"/>
          <w:sz w:val="18"/>
        </w:rPr>
        <w:t>The patient can snooze, mark taken, pause or disable reminders. Missed reminders are engagement signals, not proof that medication was not taken.</w:t>
      </w:r>
    </w:p>
    <w:p>
      <w:pPr>
        <w:pStyle w:val="ListBullet"/>
        <w:keepNext w:val="0"/>
        <w:spacing w:before="0" w:after="40" w:line="254" w:lineRule="auto"/>
        <w:ind w:left="331" w:hanging="202"/>
      </w:pPr>
      <w:r>
        <w:rPr>
          <w:rFonts w:ascii="Arial" w:hAnsi="Arial"/>
          <w:color w:val="1B2733"/>
          <w:sz w:val="18"/>
        </w:rPr>
        <w:t>Prescription amendments update future reminders and clearly notify the patient of the change.</w:t>
      </w:r>
    </w:p>
    <w:p>
      <w:pPr>
        <w:pStyle w:val="Heading2"/>
      </w:pPr>
      <w:r>
        <w:t>6.4 Patient app record view</w:t>
      </w:r>
    </w:p>
    <w:p>
      <w:pPr>
        <w:pStyle w:val="ListBullet"/>
        <w:keepNext w:val="0"/>
        <w:spacing w:before="0" w:after="40" w:line="254" w:lineRule="auto"/>
        <w:ind w:left="331" w:hanging="202"/>
      </w:pPr>
      <w:r>
        <w:rPr>
          <w:rFonts w:ascii="Arial" w:hAnsi="Arial"/>
          <w:color w:val="1B2733"/>
          <w:sz w:val="18"/>
        </w:rPr>
        <w:t>Visit timeline grouped by encounter and hospital OPD number.</w:t>
      </w:r>
    </w:p>
    <w:p>
      <w:pPr>
        <w:pStyle w:val="ListBullet"/>
        <w:keepNext w:val="0"/>
        <w:spacing w:before="0" w:after="40" w:line="254" w:lineRule="auto"/>
        <w:ind w:left="331" w:hanging="202"/>
      </w:pPr>
      <w:r>
        <w:rPr>
          <w:rFonts w:ascii="Arial" w:hAnsi="Arial"/>
          <w:color w:val="1B2733"/>
          <w:sz w:val="18"/>
        </w:rPr>
        <w:t>Finalized prescriptions and reports with visible source, date and review status.</w:t>
      </w:r>
    </w:p>
    <w:p>
      <w:pPr>
        <w:pStyle w:val="ListBullet"/>
        <w:keepNext w:val="0"/>
        <w:spacing w:before="0" w:after="40" w:line="254" w:lineRule="auto"/>
        <w:ind w:left="331" w:hanging="202"/>
      </w:pPr>
      <w:r>
        <w:rPr>
          <w:rFonts w:ascii="Arial" w:hAnsi="Arial"/>
          <w:color w:val="1B2733"/>
          <w:sz w:val="18"/>
        </w:rPr>
        <w:t>Follow-up recommendation, confirmed appointment and reminders shown as separate concepts.</w:t>
      </w:r>
    </w:p>
    <w:p>
      <w:pPr>
        <w:pStyle w:val="ListBullet"/>
        <w:keepNext w:val="0"/>
        <w:spacing w:before="0" w:after="40" w:line="254" w:lineRule="auto"/>
        <w:ind w:left="331" w:hanging="202"/>
      </w:pPr>
      <w:r>
        <w:rPr>
          <w:rFonts w:ascii="Arial" w:hAnsi="Arial"/>
          <w:color w:val="1B2733"/>
          <w:sz w:val="18"/>
        </w:rPr>
        <w:t>Simple upload flow for external reports and paper prescriptions, with preview and confirmation.</w:t>
      </w:r>
    </w:p>
    <w:p>
      <w:pPr>
        <w:pStyle w:val="ListBullet"/>
        <w:keepNext w:val="0"/>
        <w:spacing w:before="0" w:after="40" w:line="254" w:lineRule="auto"/>
        <w:ind w:left="331" w:hanging="202"/>
      </w:pPr>
      <w:r>
        <w:rPr>
          <w:rFonts w:ascii="Arial" w:hAnsi="Arial"/>
          <w:color w:val="1B2733"/>
          <w:sz w:val="18"/>
        </w:rPr>
        <w:t>Multilingual labels and content where translations are clinically approved; the original clinical text remains available.</w:t>
      </w:r>
    </w:p>
    <w:p>
      <w:pPr>
        <w:pStyle w:val="Heading1"/>
      </w:pPr>
      <w:r>
        <w:t>7. Encounter statuses and exception handling</w:t>
      </w:r>
    </w:p>
    <w:p>
      <w:pPr>
        <w:pStyle w:val="Heading2"/>
      </w:pPr>
      <w:r>
        <w:t>7.1 Status model</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Status</w:t>
            </w:r>
          </w:p>
        </w:tc>
        <w:tc>
          <w:tcPr>
            <w:tcW w:type="dxa" w:w="4536"/>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Meaning</w:t>
            </w:r>
          </w:p>
        </w:tc>
        <w:tc>
          <w:tcPr>
            <w:tcW w:type="dxa" w:w="324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Permitted next state</w:t>
            </w:r>
          </w:p>
        </w:tc>
      </w:tr>
      <w:tr>
        <w:trPr>
          <w:cantSplit/>
        </w:trPr>
        <w:tc>
          <w:tcPr>
            <w:tcW w:type="dxa" w:w="216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AI in progress</w:t>
            </w:r>
          </w:p>
        </w:tc>
        <w:tc>
          <w:tcPr>
            <w:tcW w:type="dxa" w:w="453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Kiosk or phone chat is active.</w:t>
            </w:r>
          </w:p>
        </w:tc>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AI complete, Abandoned, Expired</w:t>
            </w:r>
          </w:p>
        </w:tc>
      </w:tr>
      <w:tr>
        <w:trPr>
          <w:cantSplit/>
        </w:trPr>
        <w:tc>
          <w:tcPr>
            <w:tcW w:type="dxa" w:w="216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AI complete</w:t>
            </w:r>
          </w:p>
        </w:tc>
        <w:tc>
          <w:tcPr>
            <w:tcW w:type="dxa" w:w="453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Summary stored and verification number issued.</w:t>
            </w:r>
          </w:p>
        </w:tc>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Identity verified, Abandoned, Expired</w:t>
            </w:r>
          </w:p>
        </w:tc>
      </w:tr>
      <w:tr>
        <w:trPr>
          <w:cantSplit/>
        </w:trPr>
        <w:tc>
          <w:tcPr>
            <w:tcW w:type="dxa" w:w="216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Identity verified</w:t>
            </w:r>
          </w:p>
        </w:tc>
        <w:tc>
          <w:tcPr>
            <w:tcW w:type="dxa" w:w="453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Staff matched the intake to the patient.</w:t>
            </w:r>
          </w:p>
        </w:tc>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OPD linked, Abandoned</w:t>
            </w:r>
          </w:p>
        </w:tc>
      </w:tr>
      <w:tr>
        <w:trPr>
          <w:cantSplit/>
        </w:trPr>
        <w:tc>
          <w:tcPr>
            <w:tcW w:type="dxa" w:w="216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OPD linked</w:t>
            </w:r>
          </w:p>
        </w:tc>
        <w:tc>
          <w:tcPr>
            <w:tcW w:type="dxa" w:w="453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Hospital-issued OPD number linked after hospital payment process.</w:t>
            </w:r>
          </w:p>
        </w:tc>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Vitals updated, Ready for doctor, Left before consultation</w:t>
            </w:r>
          </w:p>
        </w:tc>
      </w:tr>
      <w:tr>
        <w:trPr>
          <w:cantSplit/>
        </w:trPr>
        <w:tc>
          <w:tcPr>
            <w:tcW w:type="dxa" w:w="216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Vitals updated</w:t>
            </w:r>
          </w:p>
        </w:tc>
        <w:tc>
          <w:tcPr>
            <w:tcW w:type="dxa" w:w="453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Current observations recorded with provenance.</w:t>
            </w:r>
          </w:p>
        </w:tc>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Ready for doctor, Left before consultation</w:t>
            </w:r>
          </w:p>
        </w:tc>
      </w:tr>
      <w:tr>
        <w:trPr>
          <w:cantSplit/>
        </w:trPr>
        <w:tc>
          <w:tcPr>
            <w:tcW w:type="dxa" w:w="216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Consultation in progress</w:t>
            </w:r>
          </w:p>
        </w:tc>
        <w:tc>
          <w:tcPr>
            <w:tcW w:type="dxa" w:w="453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 has started the verified encounter.</w:t>
            </w:r>
          </w:p>
        </w:tc>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Consultation complete, Interrupted</w:t>
            </w:r>
          </w:p>
        </w:tc>
      </w:tr>
      <w:tr>
        <w:trPr>
          <w:cantSplit/>
        </w:trPr>
        <w:tc>
          <w:tcPr>
            <w:tcW w:type="dxa" w:w="216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Consultation complete</w:t>
            </w:r>
          </w:p>
        </w:tc>
        <w:tc>
          <w:tcPr>
            <w:tcW w:type="dxa" w:w="453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 ended consultation; finalized items published.</w:t>
            </w:r>
          </w:p>
        </w:tc>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Follow-up pending, Closed</w:t>
            </w:r>
          </w:p>
        </w:tc>
      </w:tr>
      <w:tr>
        <w:trPr>
          <w:cantSplit/>
        </w:trPr>
        <w:tc>
          <w:tcPr>
            <w:tcW w:type="dxa" w:w="216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Abandoned / expired</w:t>
            </w:r>
          </w:p>
        </w:tc>
        <w:tc>
          <w:tcPr>
            <w:tcW w:type="dxa" w:w="453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Patient did not complete the next required handoff within policy.</w:t>
            </w:r>
          </w:p>
        </w:tc>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Restart or staff-authorized recovery</w:t>
            </w:r>
          </w:p>
        </w:tc>
      </w:tr>
    </w:tbl>
    <w:p>
      <w:pPr>
        <w:spacing w:after="20"/>
      </w:pPr>
    </w:p>
    <w:p>
      <w:pPr>
        <w:pStyle w:val="Heading2"/>
      </w:pPr>
      <w:r>
        <w:t>7.2 Edge-case matrix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Situation</w:t>
            </w:r>
          </w:p>
        </w:tc>
        <w:tc>
          <w:tcPr>
            <w:tcW w:type="dxa" w:w="5976"/>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System response</w:t>
            </w:r>
          </w:p>
        </w:tc>
        <w:tc>
          <w:tcPr>
            <w:tcW w:type="dxa" w:w="1512"/>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Owner</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AI complete, patient never reaches staff</w:t>
            </w:r>
          </w:p>
        </w:tc>
        <w:tc>
          <w:tcPr>
            <w:tcW w:type="dxa" w:w="59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Leave as AI complete, then expire according to hospital retention policy. Do not create OPD or queue position.</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System / staff review</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Patient verified but leaves before payment / OPD</w:t>
            </w:r>
          </w:p>
        </w:tc>
        <w:tc>
          <w:tcPr>
            <w:tcW w:type="dxa" w:w="597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Mark abandoned before OPD. Preserve audit trail; allow staff-controlled restart if the patient returns.</w:t>
            </w:r>
          </w:p>
        </w:tc>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Staff</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OPD linked, patient never sees doctor</w:t>
            </w:r>
          </w:p>
        </w:tc>
        <w:tc>
          <w:tcPr>
            <w:tcW w:type="dxa" w:w="59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Mark left before consultation. Keep vitals and documents; do not create a completed consultation or prescription.</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Staff</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Duplicate AI intake for same patient</w:t>
            </w:r>
          </w:p>
        </w:tc>
        <w:tc>
          <w:tcPr>
            <w:tcW w:type="dxa" w:w="597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Show possible duplicate to staff; choose one encounter or merge only through an audited workflow.</w:t>
            </w:r>
          </w:p>
        </w:tc>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Staff supervisor</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Wrong OPD linked</w:t>
            </w:r>
          </w:p>
        </w:tc>
        <w:tc>
          <w:tcPr>
            <w:tcW w:type="dxa" w:w="59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Block reuse of the same OPD number; correction requires reason, two-identifier recheck and audit event.</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Authorized staff</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Doctor opens wrong patient</w:t>
            </w:r>
          </w:p>
        </w:tc>
        <w:tc>
          <w:tcPr>
            <w:tcW w:type="dxa" w:w="597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Patient banner remains visible; allow immediate cancel before documentation. Any entered data is quarantined for supervisor correction, not copied casually.</w:t>
            </w:r>
          </w:p>
        </w:tc>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Doctor / supervisor</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Kiosk crashes after completion</w:t>
            </w:r>
          </w:p>
        </w:tc>
        <w:tc>
          <w:tcPr>
            <w:tcW w:type="dxa" w:w="59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Server retains completed intake; kiosk returns to neutral screen. Patient can recover using identity and staff lookup.</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System / staff</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Network unavailable</w:t>
            </w:r>
          </w:p>
        </w:tc>
        <w:tc>
          <w:tcPr>
            <w:tcW w:type="dxa" w:w="597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Do not expose cached prior data. Show safe retry and staff-assistance path; urgent care proceeds outside AI workflow.</w:t>
            </w:r>
          </w:p>
        </w:tc>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System / hospital</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Child, elderly, caregiver or accessibility need</w:t>
            </w:r>
          </w:p>
        </w:tc>
        <w:tc>
          <w:tcPr>
            <w:tcW w:type="dxa" w:w="59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Permit staff-assisted path with relationship / consent recording according to hospital policy.</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Staff</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Urgent symptoms disclosed</w:t>
            </w:r>
          </w:p>
        </w:tc>
        <w:tc>
          <w:tcPr>
            <w:tcW w:type="dxa" w:w="597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Show an immediate instruction to contact hospital staff and raise an operational alert; AI intake must not delay emergency care.</w:t>
            </w:r>
          </w:p>
        </w:tc>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Hospital clinical policy</w:t>
            </w:r>
          </w:p>
        </w:tc>
      </w:tr>
      <w:tr>
        <w:trPr>
          <w:cantSplit/>
        </w:trPr>
        <w:tc>
          <w:tcPr>
            <w:tcW w:type="dxa" w:w="244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External report attached to wrong encounter</w:t>
            </w:r>
          </w:p>
        </w:tc>
        <w:tc>
          <w:tcPr>
            <w:tcW w:type="dxa" w:w="597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Withdraw visibility, record reason and re-upload to the verified encounter; preserve audit history.</w:t>
            </w:r>
          </w:p>
        </w:tc>
        <w:tc>
          <w:tcPr>
            <w:tcW w:type="dxa" w:w="151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Staff / patient support</w:t>
            </w:r>
          </w:p>
        </w:tc>
      </w:tr>
      <w:tr>
        <w:trPr>
          <w:cantSplit/>
        </w:trPr>
        <w:tc>
          <w:tcPr>
            <w:tcW w:type="dxa" w:w="244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Prescription correction after publish</w:t>
            </w:r>
          </w:p>
        </w:tc>
        <w:tc>
          <w:tcPr>
            <w:tcW w:type="dxa" w:w="597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Issue an amendment, notify patient and update future reminders. Preserve prior version.</w:t>
            </w:r>
          </w:p>
        </w:tc>
        <w:tc>
          <w:tcPr>
            <w:tcW w:type="dxa" w:w="151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Doctor</w:t>
            </w:r>
          </w:p>
        </w:tc>
      </w:tr>
    </w:tbl>
    <w:p>
      <w:pPr>
        <w:spacing w:after="20"/>
      </w:pPr>
    </w:p>
    <w:p>
      <w:pPr>
        <w:pStyle w:val="Heading1"/>
      </w:pPr>
      <w:r>
        <w:t>8. Access, audit and MVP acceptance</w:t>
      </w:r>
    </w:p>
    <w:p>
      <w:pPr>
        <w:pStyle w:val="Heading2"/>
      </w:pPr>
      <w:r>
        <w:t>8.1 Minimum access model</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Surface</w:t>
            </w:r>
          </w:p>
        </w:tc>
        <w:tc>
          <w:tcPr>
            <w:tcW w:type="dxa" w:w="432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May view</w:t>
            </w:r>
          </w:p>
        </w:tc>
        <w:tc>
          <w:tcPr>
            <w:tcW w:type="dxa" w:w="3816"/>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May change</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Kiosk</w:t>
            </w:r>
          </w:p>
        </w:tc>
        <w:tc>
          <w:tcPr>
            <w:tcW w:type="dxa" w:w="43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Current patient's name and active AI chat only.</w:t>
            </w:r>
          </w:p>
        </w:tc>
        <w:tc>
          <w:tcPr>
            <w:tcW w:type="dxa" w:w="38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Current chat until completion / timeout.</w:t>
            </w:r>
          </w:p>
        </w:tc>
      </w:tr>
      <w:tr>
        <w:trPr>
          <w:cantSplit/>
        </w:trPr>
        <w:tc>
          <w:tcPr>
            <w:tcW w:type="dxa" w:w="180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Patient app</w:t>
            </w:r>
          </w:p>
        </w:tc>
        <w:tc>
          <w:tcPr>
            <w:tcW w:type="dxa" w:w="43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Patient's own finalized records, uploads, appointments and reminders.</w:t>
            </w:r>
          </w:p>
        </w:tc>
        <w:tc>
          <w:tcPr>
            <w:tcW w:type="dxa" w:w="381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Own uploads, reminder preferences and permitted profile fields.</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Staff portal</w:t>
            </w:r>
          </w:p>
        </w:tc>
        <w:tc>
          <w:tcPr>
            <w:tcW w:type="dxa" w:w="43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Basic demographics, operational status, current encounter data needed for assigned tasks.</w:t>
            </w:r>
          </w:p>
        </w:tc>
        <w:tc>
          <w:tcPr>
            <w:tcW w:type="dxa" w:w="38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Identity link, OPD link, vitals and authorized document uploads.</w:t>
            </w:r>
          </w:p>
        </w:tc>
      </w:tr>
      <w:tr>
        <w:trPr>
          <w:cantSplit/>
        </w:trPr>
        <w:tc>
          <w:tcPr>
            <w:tcW w:type="dxa" w:w="180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 portal</w:t>
            </w:r>
          </w:p>
        </w:tc>
        <w:tc>
          <w:tcPr>
            <w:tcW w:type="dxa" w:w="43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Verified current encounter, relevant history, AI summary, vitals and documents.</w:t>
            </w:r>
          </w:p>
        </w:tc>
        <w:tc>
          <w:tcPr>
            <w:tcW w:type="dxa" w:w="381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Clinical note, prescription, follow-up recommendation and amendments.</w:t>
            </w:r>
          </w:p>
        </w:tc>
      </w:tr>
      <w:tr>
        <w:trPr>
          <w:cantSplit/>
        </w:trPr>
        <w:tc>
          <w:tcPr>
            <w:tcW w:type="dxa" w:w="180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Administrator</w:t>
            </w:r>
          </w:p>
        </w:tc>
        <w:tc>
          <w:tcPr>
            <w:tcW w:type="dxa" w:w="43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Operational and audit views according to hospital role.</w:t>
            </w:r>
          </w:p>
        </w:tc>
        <w:tc>
          <w:tcPr>
            <w:tcW w:type="dxa" w:w="381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Role assignments, policy configuration and supervised corrections.</w:t>
            </w:r>
          </w:p>
        </w:tc>
      </w:tr>
    </w:tbl>
    <w:p>
      <w:pPr>
        <w:spacing w:after="20"/>
      </w:pPr>
    </w:p>
    <w:p>
      <w:pPr>
        <w:pStyle w:val="Heading2"/>
      </w:pPr>
      <w:r>
        <w:t>8.2 Audit events</w:t>
      </w:r>
    </w:p>
    <w:p>
      <w:pPr>
        <w:pStyle w:val="ListBullet"/>
        <w:keepNext w:val="0"/>
        <w:spacing w:before="0" w:after="40" w:line="254" w:lineRule="auto"/>
        <w:ind w:left="331" w:hanging="202"/>
      </w:pPr>
      <w:r>
        <w:rPr>
          <w:rFonts w:ascii="Arial" w:hAnsi="Arial"/>
          <w:color w:val="1B2733"/>
          <w:sz w:val="18"/>
        </w:rPr>
        <w:t>Kiosk / phone session created, completed, expired or abandoned.</w:t>
      </w:r>
    </w:p>
    <w:p>
      <w:pPr>
        <w:pStyle w:val="ListBullet"/>
        <w:keepNext w:val="0"/>
        <w:spacing w:before="0" w:after="40" w:line="254" w:lineRule="auto"/>
        <w:ind w:left="331" w:hanging="202"/>
      </w:pPr>
      <w:r>
        <w:rPr>
          <w:rFonts w:ascii="Arial" w:hAnsi="Arial"/>
          <w:color w:val="1B2733"/>
          <w:sz w:val="18"/>
        </w:rPr>
        <w:t>Patient identity confirmed and intake linked or unlinked.</w:t>
      </w:r>
    </w:p>
    <w:p>
      <w:pPr>
        <w:pStyle w:val="ListBullet"/>
        <w:keepNext w:val="0"/>
        <w:spacing w:before="0" w:after="40" w:line="254" w:lineRule="auto"/>
        <w:ind w:left="331" w:hanging="202"/>
      </w:pPr>
      <w:r>
        <w:rPr>
          <w:rFonts w:ascii="Arial" w:hAnsi="Arial"/>
          <w:color w:val="1B2733"/>
          <w:sz w:val="18"/>
        </w:rPr>
        <w:t>Hospital OPD number entered, changed or rejected as duplicate.</w:t>
      </w:r>
    </w:p>
    <w:p>
      <w:pPr>
        <w:pStyle w:val="ListBullet"/>
        <w:keepNext w:val="0"/>
        <w:spacing w:before="0" w:after="40" w:line="254" w:lineRule="auto"/>
        <w:ind w:left="331" w:hanging="202"/>
      </w:pPr>
      <w:r>
        <w:rPr>
          <w:rFonts w:ascii="Arial" w:hAnsi="Arial"/>
          <w:color w:val="1B2733"/>
          <w:sz w:val="18"/>
        </w:rPr>
        <w:t>Vitals created or corrected, including previous value, unit, user and timestamp.</w:t>
      </w:r>
    </w:p>
    <w:p>
      <w:pPr>
        <w:pStyle w:val="ListBullet"/>
        <w:keepNext w:val="0"/>
        <w:spacing w:before="0" w:after="40" w:line="254" w:lineRule="auto"/>
        <w:ind w:left="331" w:hanging="202"/>
      </w:pPr>
      <w:r>
        <w:rPr>
          <w:rFonts w:ascii="Arial" w:hAnsi="Arial"/>
          <w:color w:val="1B2733"/>
          <w:sz w:val="18"/>
        </w:rPr>
        <w:t>Document uploaded, viewed, published, withdrawn or reclassified.</w:t>
      </w:r>
    </w:p>
    <w:p>
      <w:pPr>
        <w:pStyle w:val="ListBullet"/>
        <w:keepNext w:val="0"/>
        <w:spacing w:before="0" w:after="40" w:line="254" w:lineRule="auto"/>
        <w:ind w:left="331" w:hanging="202"/>
      </w:pPr>
      <w:r>
        <w:rPr>
          <w:rFonts w:ascii="Arial" w:hAnsi="Arial"/>
          <w:color w:val="1B2733"/>
          <w:sz w:val="18"/>
        </w:rPr>
        <w:t>Doctor consultation started, ended, interrupted or reopened by authorized policy.</w:t>
      </w:r>
    </w:p>
    <w:p>
      <w:pPr>
        <w:pStyle w:val="ListBullet"/>
        <w:keepNext w:val="0"/>
        <w:spacing w:before="0" w:after="40" w:line="254" w:lineRule="auto"/>
        <w:ind w:left="331" w:hanging="202"/>
      </w:pPr>
      <w:r>
        <w:rPr>
          <w:rFonts w:ascii="Arial" w:hAnsi="Arial"/>
          <w:color w:val="1B2733"/>
          <w:sz w:val="18"/>
        </w:rPr>
        <w:t>Prescription finalized, amended or withdrawn, including the responsible clinician.</w:t>
      </w:r>
    </w:p>
    <w:p>
      <w:pPr>
        <w:pStyle w:val="ListBullet"/>
        <w:keepNext w:val="0"/>
        <w:spacing w:before="0" w:after="40" w:line="254" w:lineRule="auto"/>
        <w:ind w:left="331" w:hanging="202"/>
      </w:pPr>
      <w:r>
        <w:rPr>
          <w:rFonts w:ascii="Arial" w:hAnsi="Arial"/>
          <w:color w:val="1B2733"/>
          <w:sz w:val="18"/>
        </w:rPr>
        <w:t>Access denied, expired QR used, repeated lookup failures and suspected cross-patient access.</w:t>
      </w:r>
    </w:p>
    <w:p>
      <w:pPr>
        <w:pStyle w:val="Heading2"/>
      </w:pPr>
      <w:r>
        <w:t>8.3 MVP acceptance checklist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Area</w:t>
            </w:r>
          </w:p>
        </w:tc>
        <w:tc>
          <w:tcPr>
            <w:tcW w:type="dxa" w:w="8208"/>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Acceptance criterion</w:t>
            </w:r>
          </w:p>
        </w:tc>
      </w:tr>
      <w:tr>
        <w:trPr>
          <w:cantSplit/>
        </w:trPr>
        <w:tc>
          <w:tcPr>
            <w:tcW w:type="dxa" w:w="172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Kiosk</w:t>
            </w:r>
          </w:p>
        </w:tc>
        <w:tc>
          <w:tcPr>
            <w:tcW w:type="dxa" w:w="820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Only name + AI chat are visible; completion, timeout and restart clear the session and return to neutral login.</w:t>
            </w:r>
          </w:p>
        </w:tc>
      </w:tr>
      <w:tr>
        <w:trPr>
          <w:cantSplit/>
        </w:trPr>
        <w:tc>
          <w:tcPr>
            <w:tcW w:type="dxa" w:w="172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Rotating QR</w:t>
            </w:r>
          </w:p>
        </w:tc>
        <w:tc>
          <w:tcPr>
            <w:tcW w:type="dxa" w:w="820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Hospital-bound signed QR rotates every few seconds; expired and replayed payloads fail; active authorized chat continues.</w:t>
            </w:r>
          </w:p>
        </w:tc>
      </w:tr>
      <w:tr>
        <w:trPr>
          <w:cantSplit/>
        </w:trPr>
        <w:tc>
          <w:tcPr>
            <w:tcW w:type="dxa" w:w="172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Recent worklist</w:t>
            </w:r>
          </w:p>
        </w:tc>
        <w:tc>
          <w:tcPr>
            <w:tcW w:type="dxa" w:w="820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Staff sees only the latest 10-15 hospital intakes with basic information, status and action buttons.</w:t>
            </w:r>
          </w:p>
        </w:tc>
      </w:tr>
      <w:tr>
        <w:trPr>
          <w:cantSplit/>
        </w:trPr>
        <w:tc>
          <w:tcPr>
            <w:tcW w:type="dxa" w:w="172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Identity</w:t>
            </w:r>
          </w:p>
        </w:tc>
        <w:tc>
          <w:tcPr>
            <w:tcW w:type="dxa" w:w="820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All staff and doctor opening flows require two identifiers; AI verification number alone never opens clinical records.</w:t>
            </w:r>
          </w:p>
        </w:tc>
      </w:tr>
      <w:tr>
        <w:trPr>
          <w:cantSplit/>
        </w:trPr>
        <w:tc>
          <w:tcPr>
            <w:tcW w:type="dxa" w:w="172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OPD</w:t>
            </w:r>
          </w:p>
        </w:tc>
        <w:tc>
          <w:tcPr>
            <w:tcW w:type="dxa" w:w="820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Staff can link the hospital-issued OPD number; Aarogyam does not assign queue order or process payment.</w:t>
            </w:r>
          </w:p>
        </w:tc>
      </w:tr>
      <w:tr>
        <w:trPr>
          <w:cantSplit/>
        </w:trPr>
        <w:tc>
          <w:tcPr>
            <w:tcW w:type="dxa" w:w="172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Vitals</w:t>
            </w:r>
          </w:p>
        </w:tc>
        <w:tc>
          <w:tcPr>
            <w:tcW w:type="dxa" w:w="820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Values require units and provenance; unusual entries require confirmation and all corrections are audited.</w:t>
            </w:r>
          </w:p>
        </w:tc>
      </w:tr>
      <w:tr>
        <w:trPr>
          <w:cantSplit/>
        </w:trPr>
        <w:tc>
          <w:tcPr>
            <w:tcW w:type="dxa" w:w="172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Doctor</w:t>
            </w:r>
          </w:p>
        </w:tc>
        <w:tc>
          <w:tcPr>
            <w:tcW w:type="dxa" w:w="820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OPD search, patient verification, Start consultation and End consultation are separate explicit actions.</w:t>
            </w:r>
          </w:p>
        </w:tc>
      </w:tr>
      <w:tr>
        <w:trPr>
          <w:cantSplit/>
        </w:trPr>
        <w:tc>
          <w:tcPr>
            <w:tcW w:type="dxa" w:w="172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Prescription</w:t>
            </w:r>
          </w:p>
        </w:tc>
        <w:tc>
          <w:tcPr>
            <w:tcW w:type="dxa" w:w="820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Digital prescription requires final review; paper scan path is supported; finalized corrections are versioned amendments.</w:t>
            </w:r>
          </w:p>
        </w:tc>
      </w:tr>
      <w:tr>
        <w:trPr>
          <w:cantSplit/>
        </w:trPr>
        <w:tc>
          <w:tcPr>
            <w:tcW w:type="dxa" w:w="172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Documents</w:t>
            </w:r>
          </w:p>
        </w:tc>
        <w:tc>
          <w:tcPr>
            <w:tcW w:type="dxa" w:w="820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All uploads show source and encounter linkage, validate files and create audit events.</w:t>
            </w:r>
          </w:p>
        </w:tc>
      </w:tr>
      <w:tr>
        <w:trPr>
          <w:cantSplit/>
        </w:trPr>
        <w:tc>
          <w:tcPr>
            <w:tcW w:type="dxa" w:w="172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Follow-up</w:t>
            </w:r>
          </w:p>
        </w:tc>
        <w:tc>
          <w:tcPr>
            <w:tcW w:type="dxa" w:w="8208"/>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Recommendation, confirmed appointment and medicine reminders are represented separately and clearly.</w:t>
            </w:r>
          </w:p>
        </w:tc>
      </w:tr>
      <w:tr>
        <w:trPr>
          <w:cantSplit/>
        </w:trPr>
        <w:tc>
          <w:tcPr>
            <w:tcW w:type="dxa" w:w="172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Exceptions</w:t>
            </w:r>
          </w:p>
        </w:tc>
        <w:tc>
          <w:tcPr>
            <w:tcW w:type="dxa" w:w="8208"/>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Abandoned, expired, duplicate, no-show and wrong-link recovery paths are implemented and auditable.</w:t>
            </w:r>
          </w:p>
        </w:tc>
      </w:tr>
    </w:tbl>
    <w:p>
      <w:pPr>
        <w:spacing w:after="20"/>
      </w:pPr>
    </w:p>
    <w:p>
      <w:pPr>
        <w:pStyle w:val="Heading2"/>
      </w:pPr>
      <w:r>
        <w:t>8.4 Hospital policy decisions required before production</w:t>
      </w:r>
    </w:p>
    <w:p>
      <w:pPr>
        <w:pStyle w:val="ListBullet"/>
        <w:keepNext w:val="0"/>
        <w:spacing w:before="0" w:after="40" w:line="254" w:lineRule="auto"/>
        <w:ind w:left="331" w:hanging="202"/>
      </w:pPr>
      <w:r>
        <w:rPr>
          <w:rFonts w:ascii="Arial" w:hAnsi="Arial"/>
          <w:color w:val="1B2733"/>
          <w:sz w:val="18"/>
        </w:rPr>
        <w:t>Exact QR rotation interval, AI session timeout and verification-number expiry.</w:t>
      </w:r>
    </w:p>
    <w:p>
      <w:pPr>
        <w:pStyle w:val="ListBullet"/>
        <w:keepNext w:val="0"/>
        <w:spacing w:before="0" w:after="40" w:line="254" w:lineRule="auto"/>
        <w:ind w:left="331" w:hanging="202"/>
      </w:pPr>
      <w:r>
        <w:rPr>
          <w:rFonts w:ascii="Arial" w:hAnsi="Arial"/>
          <w:color w:val="1B2733"/>
          <w:sz w:val="18"/>
        </w:rPr>
        <w:t>Retention period for incomplete AI chats and abandoned encounters.</w:t>
      </w:r>
    </w:p>
    <w:p>
      <w:pPr>
        <w:pStyle w:val="ListBullet"/>
        <w:keepNext w:val="0"/>
        <w:spacing w:before="0" w:after="40" w:line="254" w:lineRule="auto"/>
        <w:ind w:left="331" w:hanging="202"/>
      </w:pPr>
      <w:r>
        <w:rPr>
          <w:rFonts w:ascii="Arial" w:hAnsi="Arial"/>
          <w:color w:val="1B2733"/>
          <w:sz w:val="18"/>
        </w:rPr>
        <w:t>Which staff roles may verify identity, edit vitals, link OPD numbers and withdraw documents.</w:t>
      </w:r>
    </w:p>
    <w:p>
      <w:pPr>
        <w:pStyle w:val="ListBullet"/>
        <w:keepNext w:val="0"/>
        <w:spacing w:before="0" w:after="40" w:line="254" w:lineRule="auto"/>
        <w:ind w:left="331" w:hanging="202"/>
      </w:pPr>
      <w:r>
        <w:rPr>
          <w:rFonts w:ascii="Arial" w:hAnsi="Arial"/>
          <w:color w:val="1B2733"/>
          <w:sz w:val="18"/>
        </w:rPr>
        <w:t>Hospital-approved abnormal vital thresholds and emergency escalation procedure.</w:t>
      </w:r>
    </w:p>
    <w:p>
      <w:pPr>
        <w:pStyle w:val="ListBullet"/>
        <w:keepNext w:val="0"/>
        <w:spacing w:before="0" w:after="40" w:line="254" w:lineRule="auto"/>
        <w:ind w:left="331" w:hanging="202"/>
      </w:pPr>
      <w:r>
        <w:rPr>
          <w:rFonts w:ascii="Arial" w:hAnsi="Arial"/>
          <w:color w:val="1B2733"/>
          <w:sz w:val="18"/>
        </w:rPr>
        <w:t>Consent and representative-access rules for minors, caregivers and assisted use.</w:t>
      </w:r>
    </w:p>
    <w:p>
      <w:pPr>
        <w:pStyle w:val="ListBullet"/>
        <w:keepNext w:val="0"/>
        <w:spacing w:before="0" w:after="40" w:line="254" w:lineRule="auto"/>
        <w:ind w:left="331" w:hanging="202"/>
      </w:pPr>
      <w:r>
        <w:rPr>
          <w:rFonts w:ascii="Arial" w:hAnsi="Arial"/>
          <w:color w:val="1B2733"/>
          <w:sz w:val="18"/>
        </w:rPr>
        <w:t>Prescription content rules, digital-signature needs and local regulatory review.</w:t>
      </w:r>
    </w:p>
    <w:p>
      <w:pPr>
        <w:pStyle w:val="ListBullet"/>
        <w:keepNext w:val="0"/>
        <w:spacing w:before="0" w:after="40" w:line="254" w:lineRule="auto"/>
        <w:ind w:left="331" w:hanging="202"/>
      </w:pPr>
      <w:r>
        <w:rPr>
          <w:rFonts w:ascii="Arial" w:hAnsi="Arial"/>
          <w:color w:val="1B2733"/>
          <w:sz w:val="18"/>
        </w:rPr>
        <w:t>Notification channels, quiet hours, supported languages and approved clinical translations.</w:t>
      </w:r>
    </w:p>
    <w:p>
      <w:pPr>
        <w:pStyle w:val="Heading1"/>
      </w:pPr>
      <w:r>
        <w:t>9. Implementation handoff</w:t>
      </w:r>
    </w:p>
    <w:p>
      <w:pPr>
        <w:pStyle w:val="Heading2"/>
      </w:pPr>
      <w:r>
        <w:t>9.1 Recommended service boundaries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Capability</w:t>
            </w:r>
          </w:p>
        </w:tc>
        <w:tc>
          <w:tcPr>
            <w:tcW w:type="dxa" w:w="432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Primary data</w:t>
            </w:r>
          </w:p>
        </w:tc>
        <w:tc>
          <w:tcPr>
            <w:tcW w:type="dxa" w:w="3672"/>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5"/>
              </w:rPr>
              <w:t>Key rule</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Identity and access</w:t>
            </w:r>
          </w:p>
        </w:tc>
        <w:tc>
          <w:tcPr>
            <w:tcW w:type="dxa" w:w="43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Users, roles, hospital memberships, sessions</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Kiosk, patient, staff and doctor sessions have separate scopes.</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AI intake</w:t>
            </w:r>
          </w:p>
        </w:tc>
        <w:tc>
          <w:tcPr>
            <w:tcW w:type="dxa" w:w="43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Transcript, summary, hospital binding, completion state</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Summary is labelled patient-reported and cannot become a diagnosis automatically.</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Encounter</w:t>
            </w:r>
          </w:p>
        </w:tc>
        <w:tc>
          <w:tcPr>
            <w:tcW w:type="dxa" w:w="43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Patient, hospital, OPD number, status, timestamps</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One source of truth linking all visit artifacts.</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Clinical observations</w:t>
            </w:r>
          </w:p>
        </w:tc>
        <w:tc>
          <w:tcPr>
            <w:tcW w:type="dxa" w:w="43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Vitals, units, author, measurement time</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Corrections are append-only audit events.</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Documents</w:t>
            </w:r>
          </w:p>
        </w:tc>
        <w:tc>
          <w:tcPr>
            <w:tcW w:type="dxa" w:w="43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File, type, source, uploader, encounter, review state</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Source and provenance remain visible to patient and clinician.</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Prescription</w:t>
            </w:r>
          </w:p>
        </w:tc>
        <w:tc>
          <w:tcPr>
            <w:tcW w:type="dxa" w:w="43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Structured medicines, finalization, amendments</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Only doctor-finalized version activates authoritative medicine reminders.</w:t>
            </w:r>
          </w:p>
        </w:tc>
      </w:tr>
      <w:tr>
        <w:trPr>
          <w:cantSplit/>
        </w:trPr>
        <w:tc>
          <w:tcPr>
            <w:tcW w:type="dxa" w:w="1944"/>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Appointments and reminders</w:t>
            </w:r>
          </w:p>
        </w:tc>
        <w:tc>
          <w:tcPr>
            <w:tcW w:type="dxa" w:w="432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Recommendation, booking, schedule, preferences</w:t>
            </w:r>
          </w:p>
        </w:tc>
        <w:tc>
          <w:tcPr>
            <w:tcW w:type="dxa" w:w="3672"/>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Recommended follow-up is not shown as a confirmed booking.</w:t>
            </w:r>
          </w:p>
        </w:tc>
      </w:tr>
      <w:tr>
        <w:trPr>
          <w:cantSplit/>
        </w:trPr>
        <w:tc>
          <w:tcPr>
            <w:tcW w:type="dxa" w:w="1944"/>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Audit</w:t>
            </w:r>
          </w:p>
        </w:tc>
        <w:tc>
          <w:tcPr>
            <w:tcW w:type="dxa" w:w="432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Actor, action, target, time, hospital, reason</w:t>
            </w:r>
          </w:p>
        </w:tc>
        <w:tc>
          <w:tcPr>
            <w:tcW w:type="dxa" w:w="3672"/>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5"/>
              </w:rPr>
              <w:t>Immutable operational evidence with restricted access.</w:t>
            </w:r>
          </w:p>
        </w:tc>
      </w:tr>
    </w:tbl>
    <w:p>
      <w:pPr>
        <w:spacing w:after="20"/>
      </w:pPr>
    </w:p>
    <w:p>
      <w:pPr>
        <w:pStyle w:val="Heading2"/>
      </w:pPr>
      <w:r>
        <w:t>9.2 Suggested API-level invariants</w:t>
      </w:r>
    </w:p>
    <w:p>
      <w:pPr>
        <w:pStyle w:val="ListBullet"/>
        <w:keepNext w:val="0"/>
        <w:spacing w:before="0" w:after="40" w:line="254" w:lineRule="auto"/>
        <w:ind w:left="331" w:hanging="202"/>
      </w:pPr>
      <w:r>
        <w:rPr>
          <w:rFonts w:ascii="Arial" w:hAnsi="Arial"/>
          <w:color w:val="1B2733"/>
          <w:sz w:val="18"/>
        </w:rPr>
        <w:t>A QR redemption endpoint returns an AI-session grant only after signature, hospital, expiry and replay checks pass.</w:t>
      </w:r>
    </w:p>
    <w:p>
      <w:pPr>
        <w:pStyle w:val="ListBullet"/>
        <w:keepNext w:val="0"/>
        <w:spacing w:before="0" w:after="40" w:line="254" w:lineRule="auto"/>
        <w:ind w:left="331" w:hanging="202"/>
      </w:pPr>
      <w:r>
        <w:rPr>
          <w:rFonts w:ascii="Arial" w:hAnsi="Arial"/>
          <w:color w:val="1B2733"/>
          <w:sz w:val="18"/>
        </w:rPr>
        <w:t>A clinical-record endpoint requires patient identity plus encounter authorization; an AI verification number is never accepted alone.</w:t>
      </w:r>
    </w:p>
    <w:p>
      <w:pPr>
        <w:pStyle w:val="ListBullet"/>
        <w:keepNext w:val="0"/>
        <w:spacing w:before="0" w:after="40" w:line="254" w:lineRule="auto"/>
        <w:ind w:left="331" w:hanging="202"/>
      </w:pPr>
      <w:r>
        <w:rPr>
          <w:rFonts w:ascii="Arial" w:hAnsi="Arial"/>
          <w:color w:val="1B2733"/>
          <w:sz w:val="18"/>
        </w:rPr>
        <w:t>An OPD number cannot be linked to multiple active encounters within the same hospital context.</w:t>
      </w:r>
    </w:p>
    <w:p>
      <w:pPr>
        <w:pStyle w:val="ListBullet"/>
        <w:keepNext w:val="0"/>
        <w:spacing w:before="0" w:after="40" w:line="254" w:lineRule="auto"/>
        <w:ind w:left="331" w:hanging="202"/>
      </w:pPr>
      <w:r>
        <w:rPr>
          <w:rFonts w:ascii="Arial" w:hAnsi="Arial"/>
          <w:color w:val="1B2733"/>
          <w:sz w:val="18"/>
        </w:rPr>
        <w:t>Start consultation is idempotent and detects an encounter already claimed by another clinician.</w:t>
      </w:r>
    </w:p>
    <w:p>
      <w:pPr>
        <w:pStyle w:val="ListBullet"/>
        <w:keepNext w:val="0"/>
        <w:spacing w:before="0" w:after="40" w:line="254" w:lineRule="auto"/>
        <w:ind w:left="331" w:hanging="202"/>
      </w:pPr>
      <w:r>
        <w:rPr>
          <w:rFonts w:ascii="Arial" w:hAnsi="Arial"/>
          <w:color w:val="1B2733"/>
          <w:sz w:val="18"/>
        </w:rPr>
        <w:t>Finalize prescription is an explicit state transition that freezes the version and triggers patient publication / reminder update.</w:t>
      </w:r>
    </w:p>
    <w:p>
      <w:pPr>
        <w:pStyle w:val="ListBullet"/>
        <w:keepNext w:val="0"/>
        <w:spacing w:before="0" w:after="40" w:line="254" w:lineRule="auto"/>
        <w:ind w:left="331" w:hanging="202"/>
      </w:pPr>
      <w:r>
        <w:rPr>
          <w:rFonts w:ascii="Arial" w:hAnsi="Arial"/>
          <w:color w:val="1B2733"/>
          <w:sz w:val="18"/>
        </w:rPr>
        <w:t>Uploads remain non-clinical until patient, encounter, document type and source metadata are all present.</w:t>
      </w:r>
    </w:p>
    <w:p>
      <w:pPr>
        <w:pStyle w:val="ListBullet"/>
        <w:keepNext w:val="0"/>
        <w:spacing w:before="0" w:after="40" w:line="254" w:lineRule="auto"/>
        <w:ind w:left="331" w:hanging="202"/>
      </w:pPr>
      <w:r>
        <w:rPr>
          <w:rFonts w:ascii="Arial" w:hAnsi="Arial"/>
          <w:color w:val="1B2733"/>
          <w:sz w:val="18"/>
        </w:rPr>
        <w:t>Every mutation records actor, role, hospital, timestamp, target object and reason when correction or withdrawal is involved.</w:t>
      </w:r>
    </w:p>
    <w:p>
      <w:pPr>
        <w:pStyle w:val="Heading2"/>
      </w:pPr>
      <w:r>
        <w:t>9.3 Operational success measures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Measure</w:t>
            </w:r>
          </w:p>
        </w:tc>
        <w:tc>
          <w:tcPr>
            <w:tcW w:type="dxa" w:w="6696"/>
            <w:shd w:fill="16324F"/>
            <w:tcMar>
              <w:top w:w="85" w:type="dxa"/>
              <w:start w:w="95" w:type="dxa"/>
              <w:bottom w:w="85" w:type="dxa"/>
              <w:end w:w="95" w:type="dxa"/>
            </w:tcMar>
            <w:vAlign w:val="center"/>
          </w:tcPr>
          <w:p>
            <w:pPr>
              <w:keepNext w:val="0"/>
              <w:spacing w:before="0" w:after="0" w:line="240" w:lineRule="auto"/>
            </w:pPr>
            <w:r>
              <w:rPr>
                <w:rFonts w:ascii="Arial" w:hAnsi="Arial"/>
                <w:b/>
                <w:color w:val="FFFFFF"/>
                <w:sz w:val="16"/>
              </w:rPr>
              <w:t>Why it matters</w:t>
            </w:r>
          </w:p>
        </w:tc>
      </w:tr>
      <w:tr>
        <w:trPr>
          <w:cantSplit/>
        </w:trPr>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Median intake-to-OPD-link time</w:t>
            </w:r>
          </w:p>
        </w:tc>
        <w:tc>
          <w:tcPr>
            <w:tcW w:type="dxa" w:w="669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Reveals bottlenecks at the staff handoff without pretending to measure hospital queue order.</w:t>
            </w:r>
          </w:p>
        </w:tc>
      </w:tr>
      <w:tr>
        <w:trPr>
          <w:cantSplit/>
        </w:trPr>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Unlinked / expired intake rate</w:t>
            </w:r>
          </w:p>
        </w:tc>
        <w:tc>
          <w:tcPr>
            <w:tcW w:type="dxa" w:w="669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Shows whether patients are completing AI intake but failing to reach staff.</w:t>
            </w:r>
          </w:p>
        </w:tc>
      </w:tr>
      <w:tr>
        <w:trPr>
          <w:cantSplit/>
        </w:trPr>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Duplicate or corrected OPD-link rate</w:t>
            </w:r>
          </w:p>
        </w:tc>
        <w:tc>
          <w:tcPr>
            <w:tcW w:type="dxa" w:w="669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Tracks identity and encounter-linking quality.</w:t>
            </w:r>
          </w:p>
        </w:tc>
      </w:tr>
      <w:tr>
        <w:trPr>
          <w:cantSplit/>
        </w:trPr>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Wrong-patient near-miss reports</w:t>
            </w:r>
          </w:p>
        </w:tc>
        <w:tc>
          <w:tcPr>
            <w:tcW w:type="dxa" w:w="669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Measures effectiveness of two-identifier verification and patient banners.</w:t>
            </w:r>
          </w:p>
        </w:tc>
      </w:tr>
      <w:tr>
        <w:trPr>
          <w:cantSplit/>
        </w:trPr>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Prescription amendment rate</w:t>
            </w:r>
          </w:p>
        </w:tc>
        <w:tc>
          <w:tcPr>
            <w:tcW w:type="dxa" w:w="669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Highlights usability, training or template problems without penalizing legitimate clinical changes.</w:t>
            </w:r>
          </w:p>
        </w:tc>
      </w:tr>
      <w:tr>
        <w:trPr>
          <w:cantSplit/>
        </w:trPr>
        <w:tc>
          <w:tcPr>
            <w:tcW w:type="dxa" w:w="3240"/>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Document rejection / relink rate</w:t>
            </w:r>
          </w:p>
        </w:tc>
        <w:tc>
          <w:tcPr>
            <w:tcW w:type="dxa" w:w="6696"/>
            <w:shd w:fill="F5F7F9"/>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Shows upload quality and source-linking errors.</w:t>
            </w:r>
          </w:p>
        </w:tc>
      </w:tr>
      <w:tr>
        <w:trPr>
          <w:cantSplit/>
        </w:trPr>
        <w:tc>
          <w:tcPr>
            <w:tcW w:type="dxa" w:w="3240"/>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Reminder activation / opt-out rate</w:t>
            </w:r>
          </w:p>
        </w:tc>
        <w:tc>
          <w:tcPr>
            <w:tcW w:type="dxa" w:w="6696"/>
            <w:shd w:fill="FFFFFF"/>
            <w:tcMar>
              <w:top w:w="75" w:type="dxa"/>
              <w:start w:w="95" w:type="dxa"/>
              <w:bottom w:w="75" w:type="dxa"/>
              <w:end w:w="95" w:type="dxa"/>
            </w:tcMar>
            <w:vAlign w:val="top"/>
            <w:tcBorders>
              <w:top w:val="single" w:sz="4" w:color="D9E1E7"/>
              <w:bottom w:val="single" w:sz="4" w:color="D9E1E7"/>
              <w:start w:val="single" w:sz="4" w:color="D9E1E7"/>
              <w:end w:val="single" w:sz="4" w:color="D9E1E7"/>
            </w:tcBorders>
          </w:tcPr>
          <w:p>
            <w:pPr>
              <w:keepNext w:val="0"/>
              <w:spacing w:before="0" w:after="0" w:line="247" w:lineRule="auto"/>
            </w:pPr>
            <w:r>
              <w:rPr>
                <w:rFonts w:ascii="Arial" w:hAnsi="Arial"/>
                <w:color w:val="1B2733"/>
                <w:sz w:val="16"/>
              </w:rPr>
              <w:t>Measures usefulness without treating engagement as adherence.</w:t>
            </w:r>
          </w:p>
        </w:tc>
      </w:tr>
    </w:tbl>
    <w:p>
      <w:pPr>
        <w:spacing w:after="20"/>
      </w:pPr>
    </w:p>
    <w:p>
      <w:pPr>
        <w:pStyle w:val="Heading1"/>
      </w:pPr>
      <w:r>
        <w:t>References and validation note</w:t>
      </w:r>
    </w:p>
    <w:p>
      <w:pPr>
        <w:keepNext w:val="0"/>
        <w:spacing w:before="0" w:after="80" w:line="259" w:lineRule="auto"/>
      </w:pPr>
      <w:r>
        <w:rPr>
          <w:rFonts w:ascii="Arial" w:hAnsi="Arial"/>
          <w:color w:val="1B2733"/>
          <w:sz w:val="18"/>
        </w:rPr>
        <w:t>This workflow follows the patient-safety principle of verifying identity using at least two identifiers and separates access tokens from clinical identity. It should be reviewed against the hospital's policies, applicable Indian health-data requirements, ABDM participation rules where used, and local prescribing requirements before production deployment.</w:t>
      </w:r>
    </w:p>
    <w:p>
      <w:pPr>
        <w:pStyle w:val="ListBullet"/>
        <w:keepNext w:val="0"/>
        <w:spacing w:before="0" w:after="80" w:line="254" w:lineRule="auto"/>
        <w:ind w:left="331" w:hanging="202"/>
      </w:pPr>
      <w:r>
        <w:rPr>
          <w:rFonts w:ascii="Arial" w:hAnsi="Arial"/>
          <w:color w:val="1B2733"/>
          <w:sz w:val="18"/>
        </w:rPr>
        <w:t>World Health Organization. Patient Identification - Patient Safety Solution 2 (who.int).</w:t>
      </w:r>
    </w:p>
    <w:p>
      <w:pPr>
        <w:pStyle w:val="ListBullet"/>
        <w:keepNext w:val="0"/>
        <w:spacing w:before="0" w:after="80" w:line="254" w:lineRule="auto"/>
        <w:ind w:left="331" w:hanging="202"/>
      </w:pPr>
      <w:r>
        <w:rPr>
          <w:rFonts w:ascii="Arial" w:hAnsi="Arial"/>
          <w:color w:val="1B2733"/>
          <w:sz w:val="18"/>
        </w:rPr>
        <w:t>National Accreditation Board for Hospitals &amp; Healthcare Providers. Draft NABH Standards for HIS and EMR Systems, 23 July 2024 (portal.nabh.co).</w:t>
      </w:r>
    </w:p>
    <w:p>
      <w:pPr>
        <w:pStyle w:val="ListBullet"/>
        <w:keepNext w:val="0"/>
        <w:spacing w:before="0" w:after="80" w:line="254" w:lineRule="auto"/>
        <w:ind w:left="331" w:hanging="202"/>
      </w:pPr>
      <w:r>
        <w:rPr>
          <w:rFonts w:ascii="Arial" w:hAnsi="Arial"/>
          <w:color w:val="1B2733"/>
          <w:sz w:val="18"/>
        </w:rPr>
        <w:t>Ayushman Bharat Digital Mission. Personal Health Records and consent-based health-data management (ahpr.abdm.gov.in).</w:t>
      </w:r>
    </w:p>
    <w:p>
      <w:pPr>
        <w:keepNext w:val="0"/>
        <w:spacing w:before="320" w:after="0" w:line="240" w:lineRule="auto"/>
        <w:jc w:val="center"/>
      </w:pPr>
      <w:r>
        <w:rPr>
          <w:rFonts w:ascii="Arial" w:hAnsi="Arial"/>
          <w:b/>
          <w:color w:val="147D7E"/>
          <w:sz w:val="16"/>
        </w:rPr>
        <w:t>END OF SPECIFICATION</w:t>
      </w:r>
    </w:p>
    <w:sectPr w:rsidR="00FC693F" w:rsidRPr="0006063C" w:rsidSect="00034616">
      <w:headerReference w:type="default" r:id="rId9"/>
      <w:footerReference w:type="default" r:id="rId10"/>
      <w:pgSz w:w="12240" w:h="15840"/>
      <w:pgMar w:top="979" w:right="1037" w:bottom="893" w:left="1037"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color w:val="5B6875"/>
        <w:sz w:val="14"/>
      </w:rPr>
      <w:t xml:space="preserve">CONFIDENTIAL WORKFLOW SPECIFICATION   |   </w:t>
    </w:r>
    <w:r>
      <w:rPr>
        <w:rFonts w:ascii="Arial" w:hAnsi="Arial"/>
        <w:color w:val="5B6875"/>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40" w:line="240" w:lineRule="auto"/>
      <w:jc w:val="right"/>
      <w:pBdr>
        <w:bottom w:val="single" w:sz="6" w:space="3" w:color="D9E1E7"/>
      </w:pBdr>
    </w:pPr>
    <w:r>
      <w:rPr>
        <w:rFonts w:ascii="Arial" w:hAnsi="Arial"/>
        <w:b/>
        <w:color w:val="147D7E"/>
        <w:sz w:val="14"/>
      </w:rPr>
      <w:t>AAROGYAM  |  PATIENT INTAKE AND CLINICAL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B27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47D7E"/>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i/>
      <w:iCs/>
      <w:color w:val="5B68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Aarogyam Patient Intake and Clinical Workflow Specification</dc:title>
  <dc:subject>Hospital kiosk, patient app, staff portal and doctor workflow</dc:subject>
  <dc:creator>Aarogyam</dc:creator>
  <cp:keywords>Aarogyam, patient intake, kiosk, OPD, workflow, clinical documents</cp:keywords>
  <dc:description>Version 1.0</dc:description>
  <cp:lastModifiedBy/>
  <cp:revision>1</cp:revision>
  <dcterms:created xsi:type="dcterms:W3CDTF">2013-12-23T23:15:00Z</dcterms:created>
  <dcterms:modified xsi:type="dcterms:W3CDTF">2013-12-23T23:15:00Z</dcterms:modified>
  <cp:category/>
</cp:coreProperties>
</file>