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4338CA"/>
          <w:sz w:val="19"/>
        </w:rPr>
        <w:t>ENTERPRISE SOFTWARE SPECIFICATION &amp; ARCHITECTURE GUIDE</w:t>
      </w:r>
    </w:p>
    <w:p>
      <w:pPr>
        <w:spacing w:after="80"/>
      </w:pPr>
      <w:r>
        <w:rPr>
          <w:b/>
          <w:color w:val="1E3A8A"/>
          <w:sz w:val="48"/>
        </w:rPr>
        <w:t>ProFlow: Enterprise Project Controls &amp; Governance System</w:t>
      </w:r>
    </w:p>
    <w:p>
      <w:pPr>
        <w:spacing w:after="280"/>
      </w:pPr>
      <w:r>
        <w:rPr>
          <w:color w:val="1E293B"/>
          <w:sz w:val="24"/>
        </w:rPr>
        <w:t>Complete Functional Catalog of Advanced Engineering Management, Financial Controls, APQP Stage-Gate Governance, and Real-Time Collaboration Engines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Platform Name</w:t>
            </w:r>
          </w:p>
        </w:tc>
        <w:tc>
          <w:tcPr>
            <w:tcW w:type="dxa" w:w="66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1E293B"/>
                <w:sz w:val="20"/>
              </w:rPr>
              <w:t>ProFlow (Autonomous Project Controls &amp; APQP Governance Suite)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Industry Focus</w:t>
            </w:r>
          </w:p>
        </w:tc>
        <w:tc>
          <w:tcPr>
            <w:tcW w:type="dxa" w:w="66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1E293B"/>
                <w:sz w:val="20"/>
              </w:rPr>
              <w:t>Automotive, Aerospace, Defense, and Deep-Tech Hardware/Software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System Architecture</w:t>
            </w:r>
          </w:p>
        </w:tc>
        <w:tc>
          <w:tcPr>
            <w:tcW w:type="dxa" w:w="66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1E293B"/>
                <w:sz w:val="20"/>
              </w:rPr>
              <w:t>React 18 + Vite + TailwindCSS | Node.js Express | Prisma ORM | PostgreSQL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Executive Leadership</w:t>
            </w:r>
          </w:p>
        </w:tc>
        <w:tc>
          <w:tcPr>
            <w:tcW w:type="dxa" w:w="66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1E293B"/>
                <w:sz w:val="20"/>
              </w:rPr>
              <w:t>Parth Singh (Program Director &amp; Chief EV Architect)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Specification Version</w:t>
            </w:r>
          </w:p>
        </w:tc>
        <w:tc>
          <w:tcPr>
            <w:tcW w:type="dxa" w:w="662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1E293B"/>
                <w:sz w:val="20"/>
              </w:rPr>
              <w:t>v2.5 Enterprise Production Release (2026 Edition)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01 | </w:t>
      </w:r>
      <w:r>
        <w:rPr>
          <w:b/>
          <w:color w:val="1E3A8A"/>
          <w:sz w:val="30"/>
        </w:rPr>
        <w:t>Schedule &amp; Critical Path Management (CPM / Gantt)</w:t>
      </w:r>
    </w:p>
    <w:p>
      <w:r>
        <w:t>ProFlow features a mathematical scheduling engine that computes activity early/late dates, total float slack, and highlights critical path bottlenecks across complex multi-tier dependencies.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CPM Forward &amp; Backward Pass Algorithm: </w:t>
      </w:r>
      <w:r>
        <w:rPr>
          <w:color w:val="1E293B"/>
          <w:sz w:val="20"/>
        </w:rPr>
        <w:t>Automatically calculates Early Start (ES), Early Finish (EF), Late Start (LS), Late Finish (LF), and Total Float (TF) for all network activities.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Zero-Float Critical Path Highlighting: </w:t>
      </w:r>
      <w:r>
        <w:rPr>
          <w:color w:val="1E293B"/>
          <w:sz w:val="20"/>
        </w:rPr>
        <w:t>Interactive toggle on the Gantt chart renders critical bottleneck tasks in high-visibility crimson red with animated indicators.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4 Complete Dependency Types: </w:t>
      </w:r>
      <w:r>
        <w:rPr>
          <w:color w:val="1E293B"/>
          <w:sz w:val="20"/>
        </w:rPr>
        <w:t>Full support for Finish-to-Start (FS), Start-to-Start (SS), Finish-to-Finish (FF), and Start-to-Finish (SF) dependency links.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Configurable Lead &amp; Lag Offsets: </w:t>
      </w:r>
      <w:r>
        <w:rPr>
          <w:color w:val="1E293B"/>
          <w:sz w:val="20"/>
        </w:rPr>
        <w:t>Allows positive buffer delays (+days) or accelerated negative lead times (-days) between linked tasks.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Milestone Diamond Markers (◆): </w:t>
      </w:r>
      <w:r>
        <w:rPr>
          <w:color w:val="1E293B"/>
          <w:sz w:val="20"/>
        </w:rPr>
        <w:t>Zero-duration stage gates, regulatory submissions, and key customer deliverables displayed as distinctive diamond milestones.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Multi-Scale Timeline Zoom: </w:t>
      </w:r>
      <w:r>
        <w:rPr>
          <w:color w:val="1E293B"/>
          <w:sz w:val="20"/>
        </w:rPr>
        <w:t>Instant toggling between Day, Week, and Month zoom resolutions with dynamic month/week timeline header bars.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02 | </w:t>
      </w:r>
      <w:r>
        <w:rPr>
          <w:b/>
          <w:color w:val="1E3A8A"/>
          <w:sz w:val="30"/>
        </w:rPr>
        <w:t>Work Breakdown Structure (WBS Tree &amp; Rollups)</w:t>
      </w:r>
    </w:p>
    <w:p>
      <w:r>
        <w:t>Decomposes complex engineering programs into manageable hierarchical deliverables with automatic recursive aggregation of financial costs and physical completion percentages.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Hierarchical Code Generation: </w:t>
      </w:r>
      <w:r>
        <w:rPr>
          <w:color w:val="1E293B"/>
          <w:sz w:val="20"/>
        </w:rPr>
        <w:t>Automated multi-level recursive numbering hierarchy (e.g. 1.0 Vehicle Architecture -&gt; 1.1 Powertrain -&gt; 1.1.1 800V SiC Inverter).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Automated Cost Rollups: </w:t>
      </w:r>
      <w:r>
        <w:rPr>
          <w:color w:val="1E293B"/>
          <w:sz w:val="20"/>
        </w:rPr>
        <w:t>Child work package budgets and actual expenditures automatically aggregate up through intermediate deliverables to top-level phases.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Weighted Physical Progress Rollup: </w:t>
      </w:r>
      <w:r>
        <w:rPr>
          <w:color w:val="1E293B"/>
          <w:sz w:val="20"/>
        </w:rPr>
        <w:t>Phase-level completion percentages calculate dynamically based on the completion state of underlying child tasks.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Interactive Tree Expansion: </w:t>
      </w:r>
      <w:r>
        <w:rPr>
          <w:color w:val="1E293B"/>
          <w:sz w:val="20"/>
        </w:rPr>
        <w:t>One-click 'Expand All' and 'Collapse All' tree controls with visual indentation levels and progress bars.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Deliverable Classification: </w:t>
      </w:r>
      <w:r>
        <w:rPr>
          <w:color w:val="1E293B"/>
          <w:sz w:val="20"/>
        </w:rPr>
        <w:t>Categorization of nodes into Phases, Major Deliverables, Work Packages, or Execution Tasks.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03 | </w:t>
      </w:r>
      <w:r>
        <w:rPr>
          <w:b/>
          <w:color w:val="1E3A8A"/>
          <w:sz w:val="30"/>
        </w:rPr>
        <w:t>Resource Capacity &amp; Specialized Equipment Planning</w:t>
      </w:r>
    </w:p>
    <w:p>
      <w:r>
        <w:t>Manages human engineering capacity against standard weekly workloads while scheduling high-value hardware test rigs, dyno benches, and wind tunnels.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40h/Week Engineer Capacity Matrix: </w:t>
      </w:r>
      <w:r>
        <w:rPr>
          <w:color w:val="1E293B"/>
          <w:sz w:val="20"/>
        </w:rPr>
        <w:t>Tracks weekly workload allocations per engineer against standard 40-hour industrial capacity thresholds.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Automated Overload Bottleneck Alerts: </w:t>
      </w:r>
      <w:r>
        <w:rPr>
          <w:color w:val="1E293B"/>
          <w:sz w:val="20"/>
        </w:rPr>
        <w:t>Visual badges flag capacity states: Red for Overloaded (&gt;100%), Amber for Balanced (70-100%), and Green for Available (&lt;70%).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Engineering Skills &amp; Competency Matrix: </w:t>
      </w:r>
      <w:r>
        <w:rPr>
          <w:color w:val="1E293B"/>
          <w:sz w:val="20"/>
        </w:rPr>
        <w:t>Tags engineering proficiencies (e.g. 800V SiC Architecture, Immersion Cooling CFD, Solid-State LiDAR, ISO 26262 ASIL-D Audit).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Hourly Cost Rate Modeling: </w:t>
      </w:r>
      <w:r>
        <w:rPr>
          <w:color w:val="1E293B"/>
          <w:sz w:val="20"/>
        </w:rPr>
        <w:t>Calculates burn rates and labor costs based on specialized hourly financial profiles per engineer.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Hardware Test Rigs &amp; Equipment Ledger: </w:t>
      </w:r>
      <w:r>
        <w:rPr>
          <w:color w:val="1E293B"/>
          <w:sz w:val="20"/>
        </w:rPr>
        <w:t>Schedules specialized capital equipment (e.g. 500kW Dual-Motor Powertrain Dyno, Aeroacoustic Wind Tunnel, Immersion Safety Chamber).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04 | </w:t>
      </w:r>
      <w:r>
        <w:rPr>
          <w:b/>
          <w:color w:val="1E3A8A"/>
          <w:sz w:val="30"/>
        </w:rPr>
        <w:t>Financial Controls &amp; Earned Value Management (EVM)</w:t>
      </w:r>
    </w:p>
    <w:p>
      <w:r>
        <w:t>Industrial-standard EVM performance measurement baseline for monitoring cost efficiency, schedule progress, and forecasting project completion financials.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Core EVM Financial Metrics: </w:t>
      </w:r>
      <w:r>
        <w:rPr>
          <w:color w:val="1E293B"/>
          <w:sz w:val="20"/>
        </w:rPr>
        <w:t>Real-time calculation of Budget at Completion (BAC), Planned Value (PV), Earned Value (EV), and Actual Cost (AC).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Cost Performance Index (CPI = EV / AC): </w:t>
      </w:r>
      <w:r>
        <w:rPr>
          <w:color w:val="1E293B"/>
          <w:sz w:val="20"/>
        </w:rPr>
        <w:t>Calculates cost efficiency gauge (Green &gt; 1.0 indicates budget surplus; Red &lt; 1.0 indicates cost overrun).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Schedule Performance Index (SPI = EV / PV): </w:t>
      </w:r>
      <w:r>
        <w:rPr>
          <w:color w:val="1E293B"/>
          <w:sz w:val="20"/>
        </w:rPr>
        <w:t>Calculates schedule efficiency gauge (Green &gt; 1.0 indicates ahead of schedule; Amber &lt; 1.0 indicates schedule delay).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Estimate at Completion (EAC = BAC / CPI): </w:t>
      </w:r>
      <w:r>
        <w:rPr>
          <w:color w:val="1E293B"/>
          <w:sz w:val="20"/>
        </w:rPr>
        <w:t>Forecasts final total project expenditure based on observed historical performance.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Variance at Completion (VAC = BAC - EAC): </w:t>
      </w:r>
      <w:r>
        <w:rPr>
          <w:color w:val="1E293B"/>
          <w:sz w:val="20"/>
        </w:rPr>
        <w:t>Projects expected budget variance surplus or overrun at program closeout.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Historical EVM S-Curve Visualization: </w:t>
      </w:r>
      <w:r>
        <w:rPr>
          <w:color w:val="1E293B"/>
          <w:sz w:val="20"/>
        </w:rPr>
        <w:t>Interactive Recharts multi-line trend graph comparing Planned Value, Earned Value, and Actual Cost trajectories over time.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Cost Breakdown Structure (CBS) Ledger: </w:t>
      </w:r>
      <w:r>
        <w:rPr>
          <w:color w:val="1E293B"/>
          <w:sz w:val="20"/>
        </w:rPr>
        <w:t>Tracks purchase orders (POs), external supplier contracts, tooling invoices, and component reconciliations.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05 | </w:t>
      </w:r>
      <w:r>
        <w:rPr>
          <w:b/>
          <w:color w:val="1E3A8A"/>
          <w:sz w:val="30"/>
        </w:rPr>
        <w:t>Stage-Gate Governance &amp; Quality Gatekeeper (APQP G0 to G4)</w:t>
      </w:r>
    </w:p>
    <w:p>
      <w:r>
        <w:t>Structured automotive APQP (Advanced Product Quality Planning) stage-gate governance framework ensuring strict quality compliance prior to phase advancement.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5 Standardized Automotive Phase Gates: </w:t>
      </w:r>
      <w:r>
        <w:rPr>
          <w:color w:val="1E293B"/>
          <w:sz w:val="20"/>
        </w:rPr>
        <w:t>Includes G0 (Concept Feasibility), G1 (Detailed Design Freeze), G2 (Tooling Release), G3 (Homologation &amp; Crash Test Pass), and G4 (SOP Series Assembly).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Entry &amp; Exit Criteria Checklists: </w:t>
      </w:r>
      <w:r>
        <w:rPr>
          <w:color w:val="1E293B"/>
          <w:sz w:val="20"/>
        </w:rPr>
        <w:t>Mandatory quality checklists with real-time pass/fail toggle verification.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Executive Gate Sign-Off Modal: </w:t>
      </w:r>
      <w:r>
        <w:rPr>
          <w:color w:val="1E293B"/>
          <w:sz w:val="20"/>
        </w:rPr>
        <w:t>Audit-trailed approval workflows capturing Sign-Off Decision (APPROVED, CONDITIONAL_PASS, REJECTED), Signatory Name, Timestamp, and Steering Committee notes.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Readiness Score Indicators: </w:t>
      </w:r>
      <w:r>
        <w:rPr>
          <w:color w:val="1E293B"/>
          <w:sz w:val="20"/>
        </w:rPr>
        <w:t>Visual percentage progress indicators reflecting completed prerequisite criteria per gate.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06 | </w:t>
      </w:r>
      <w:r>
        <w:rPr>
          <w:b/>
          <w:color w:val="1E3A8A"/>
          <w:sz w:val="30"/>
        </w:rPr>
        <w:t>Engineering Change Orders (ECO) &amp; Change Control Board (CCB)</w:t>
      </w:r>
    </w:p>
    <w:p>
      <w:r>
        <w:t>Rigorous change management workflow evaluating the triple-constraint impact of design modifications before formal Change Control Board approval.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Engineering Change Request Ledger: </w:t>
      </w:r>
      <w:r>
        <w:rPr>
          <w:color w:val="1E293B"/>
          <w:sz w:val="20"/>
        </w:rPr>
        <w:t>Tracks all formal modifications (e.g. ECO-0104 Silicon Carbide MOSFET upgrade, ECO-0105 Dielectric immersion fluid change).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Triple-Constraint Impact Analysis: </w:t>
      </w:r>
      <w:r>
        <w:rPr>
          <w:color w:val="1E293B"/>
          <w:sz w:val="20"/>
        </w:rPr>
        <w:t>Quantifies financial delta (ΔCost in Lakhs), schedule impact (ΔSchedule in Days), and technical risk classification.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Formal CCB Voting Actions: </w:t>
      </w:r>
      <w:r>
        <w:rPr>
          <w:color w:val="1E293B"/>
          <w:sz w:val="20"/>
        </w:rPr>
        <w:t>In-line executive actions to Approve ECO, Reject Request, or Mark Changes as Formally Implemented.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Audit Trail &amp; Version Traceability: </w:t>
      </w:r>
      <w:r>
        <w:rPr>
          <w:color w:val="1E293B"/>
          <w:sz w:val="20"/>
        </w:rPr>
        <w:t>Maintains complete record of requesting engineer, reason for change, and approving authority.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07 | </w:t>
      </w:r>
      <w:r>
        <w:rPr>
          <w:b/>
          <w:color w:val="1E3A8A"/>
          <w:sz w:val="30"/>
        </w:rPr>
        <w:t>Risk Management &amp; 5x5 Probability-Impact Heatmap</w:t>
      </w:r>
    </w:p>
    <w:p>
      <w:r>
        <w:t>Visualizes program risks, quantifies exposure scores, and assigns proactive mitigation and contingency remediation plans.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5x5 Probability-Impact Heatmap Grid: </w:t>
      </w:r>
      <w:r>
        <w:rPr>
          <w:color w:val="1E293B"/>
          <w:sz w:val="20"/>
        </w:rPr>
        <w:t>Interactive visual risk matrix color-coded by severity (Crimson Extreme, Orange High, Yellow Moderate, Green Low).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Quantitative Risk Exposure Score: </w:t>
      </w:r>
      <w:r>
        <w:rPr>
          <w:color w:val="1E293B"/>
          <w:sz w:val="20"/>
        </w:rPr>
        <w:t>Calculated as Risk Score = Probability (1 to 5) x Impact (1 to 5).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Proactive Mitigation &amp; Contingency Strategy: </w:t>
      </w:r>
      <w:r>
        <w:rPr>
          <w:color w:val="1E293B"/>
          <w:sz w:val="20"/>
        </w:rPr>
        <w:t>Structured fields for root cause triggers, mitigation actions, fallback plans, and risk owners.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Interactive Matrix Cell Filtering: </w:t>
      </w:r>
      <w:r>
        <w:rPr>
          <w:color w:val="1E293B"/>
          <w:sz w:val="20"/>
        </w:rPr>
        <w:t>Clicking any cell in the 5x5 grid filters the risk ledger to display only matching items.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08 | </w:t>
      </w:r>
      <w:r>
        <w:rPr>
          <w:b/>
          <w:color w:val="1E3A8A"/>
          <w:sz w:val="30"/>
        </w:rPr>
        <w:t>Issue Management &amp; Corrective Action (CAPA / RCA)</w:t>
      </w:r>
    </w:p>
    <w:p>
      <w:r>
        <w:t>Tracks active engineering defects, non-conformances, and field anomalies with systematic Root Cause Analysis (RCA) and Corrective &amp; Preventive Actions (CAPA).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Severity-Based Issue Categorization: </w:t>
      </w:r>
      <w:r>
        <w:rPr>
          <w:color w:val="1E293B"/>
          <w:sz w:val="20"/>
        </w:rPr>
        <w:t>Categorizes blocking issues into Critical, High, Medium, and Low severity tiers.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Root Cause Analysis (RCA) Documentation: </w:t>
      </w:r>
      <w:r>
        <w:rPr>
          <w:color w:val="1E293B"/>
          <w:sz w:val="20"/>
        </w:rPr>
        <w:t>Captures detailed underlying systemic failure modes and physical causes.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CAPA Remediation Tracking: </w:t>
      </w:r>
      <w:r>
        <w:rPr>
          <w:color w:val="1E293B"/>
          <w:sz w:val="20"/>
        </w:rPr>
        <w:t>Logs corrective actions, preventative measures, assigned owners, and target resolution dates.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Lifecycle Status Progression: </w:t>
      </w:r>
      <w:r>
        <w:rPr>
          <w:color w:val="1E293B"/>
          <w:sz w:val="20"/>
        </w:rPr>
        <w:t>Manages issues through OPEN, IN_INVESTIGATION, CAPA_PENDING, and RESOLVED states.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09 | </w:t>
      </w:r>
      <w:r>
        <w:rPr>
          <w:b/>
          <w:color w:val="1E3A8A"/>
          <w:sz w:val="30"/>
        </w:rPr>
        <w:t>Decision Log &amp; Institutional Memory</w:t>
      </w:r>
    </w:p>
    <w:p>
      <w:r>
        <w:t>Maintains an immutable historical record of major technical trade-offs, architecture selections, and executive steering committee rulings.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Architectural Decision Registry: </w:t>
      </w:r>
      <w:r>
        <w:rPr>
          <w:color w:val="1E293B"/>
          <w:sz w:val="20"/>
        </w:rPr>
        <w:t>Logs formal decisions (e.g. DEC-001 Selection of 800V SiC over 400V IGBT, DEC-002 Direct Immersion Cooling).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Impact Quantifier Badges: </w:t>
      </w:r>
      <w:r>
        <w:rPr>
          <w:color w:val="1E293B"/>
          <w:sz w:val="20"/>
        </w:rPr>
        <w:t>Displays financial delta (ΔCost) and schedule variance (ΔWeeks) associated with each architectural choice.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Executive Approver Signatures: </w:t>
      </w:r>
      <w:r>
        <w:rPr>
          <w:color w:val="1E293B"/>
          <w:sz w:val="20"/>
        </w:rPr>
        <w:t>Links decisions directly to authorizing program directors and technical leads.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10 | </w:t>
      </w:r>
      <w:r>
        <w:rPr>
          <w:b/>
          <w:color w:val="1E3A8A"/>
          <w:sz w:val="30"/>
        </w:rPr>
        <w:t>Schedule Baseline (T0) &amp; Slippage Analysis</w:t>
      </w:r>
    </w:p>
    <w:p>
      <w:r>
        <w:t>Locks approved project timelines and tracks real-time schedule drift against the authorized baseline.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T0 Baseline Snapshot Freeze: </w:t>
      </w:r>
      <w:r>
        <w:rPr>
          <w:color w:val="1E293B"/>
          <w:sz w:val="20"/>
        </w:rPr>
        <w:t>Creates an immutable snapshot of task planned start and due dates.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Schedule Variance Slippage (ΔDays): </w:t>
      </w:r>
      <w:r>
        <w:rPr>
          <w:color w:val="1E293B"/>
          <w:sz w:val="20"/>
        </w:rPr>
        <w:t>Automatically calculates variance between current scheduled dates and locked baseline dates.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Historical Baseline Revisions: </w:t>
      </w:r>
      <w:r>
        <w:rPr>
          <w:color w:val="1E293B"/>
          <w:sz w:val="20"/>
        </w:rPr>
        <w:t>Supports managing multiple baseline revisions with date stamps and authorization notes.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11 | </w:t>
      </w:r>
      <w:r>
        <w:rPr>
          <w:b/>
          <w:color w:val="1E3A8A"/>
          <w:sz w:val="30"/>
        </w:rPr>
        <w:t>Agile Execution, Collaboration &amp; Enterprise Security</w:t>
      </w:r>
    </w:p>
    <w:p>
      <w:r>
        <w:t>Combines high-level project controls with granular day-to-day execution tools and security infrastructure.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Interactive Kanban Board: </w:t>
      </w:r>
      <w:r>
        <w:rPr>
          <w:color w:val="1E293B"/>
          <w:sz w:val="20"/>
        </w:rPr>
        <w:t>Drag-and-drop task movement across Concept, Simulation, Prototype, Track Testing, and Homologation columns.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Subtask Checklist Progress: </w:t>
      </w:r>
      <w:r>
        <w:rPr>
          <w:color w:val="1E293B"/>
          <w:sz w:val="20"/>
        </w:rPr>
        <w:t>Interactive checklists with automatic percentage completion progress bars.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Real-Time WebSockets (Socket.io): </w:t>
      </w:r>
      <w:r>
        <w:rPr>
          <w:color w:val="1E293B"/>
          <w:sz w:val="20"/>
        </w:rPr>
        <w:t>Instant two-way synchronization across all active browser sessions.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Role-Based Access Control (RBAC): </w:t>
      </w:r>
      <w:r>
        <w:rPr>
          <w:color w:val="1E293B"/>
          <w:sz w:val="20"/>
        </w:rPr>
        <w:t>Multi-tiered permissions supporting ADMIN, MANAGER, MEMBER, and VIEWER roles.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Live Time Tracking Widget: </w:t>
      </w:r>
      <w:r>
        <w:rPr>
          <w:color w:val="1E293B"/>
          <w:sz w:val="20"/>
        </w:rPr>
        <w:t>Integrated stopwatch timer allowing engineers to log billable hours directly against specific work packages.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FullCalendar Multi-View Timeline: </w:t>
      </w:r>
      <w:r>
        <w:rPr>
          <w:color w:val="1E293B"/>
          <w:sz w:val="20"/>
        </w:rPr>
        <w:t>Integrated calendar supporting Month, Week, Day, and List views with milestone diamond overlays.</w:t>
      </w:r>
    </w:p>
    <w:p>
      <w:pPr>
        <w:pStyle w:val="ListBullet"/>
        <w:spacing w:after="80"/>
      </w:pPr>
      <w:r>
        <w:rPr>
          <w:b/>
          <w:color w:val="1E293B"/>
          <w:sz w:val="20"/>
        </w:rPr>
        <w:t xml:space="preserve">User Profile &amp; Photo Customizer: </w:t>
      </w:r>
      <w:r>
        <w:rPr>
          <w:color w:val="1E293B"/>
          <w:sz w:val="20"/>
        </w:rPr>
        <w:t>Interactive profile settings supporting 1-click avatar presets, custom image URLs, and password encryption.</w:t>
      </w:r>
    </w:p>
    <w:p>
      <w:pPr>
        <w:keepNext/>
        <w:spacing w:before="360" w:after="120"/>
      </w:pPr>
      <w:r>
        <w:rPr>
          <w:b/>
          <w:color w:val="4338CA"/>
          <w:sz w:val="22"/>
        </w:rPr>
        <w:t xml:space="preserve">Module 12 | </w:t>
      </w:r>
      <w:r>
        <w:rPr>
          <w:b/>
          <w:color w:val="1E3A8A"/>
          <w:sz w:val="30"/>
        </w:rPr>
        <w:t>Pre-Configured Engineering Leadership Roster</w:t>
      </w:r>
    </w:p>
    <w:p>
      <w:r>
        <w:t>The platform includes a fully seeded, cross-functional automotive engineering leadership team with dedicated roles, access privileges, and specialized skills: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&amp; Title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Login Email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Parth Singh (Admin)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Program Director &amp; Chief EV Architect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Executive Engineering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admin@proflow.com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Kashish Motwani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Battery Systems &amp; Thermal Lead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Energy Storage Systems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kashish.motwani@proflow.com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Abhinav Kumar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Manufacturing &amp; Tooling Specialist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Advanced Manufacturing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abhinav.kumar@proflow.com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Rashika Sarawgi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ADAS Perception &amp; Autonomy Lead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Autonomous Driving &amp; SW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rashika.sarawgi@proflow.com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Ritik Raj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800V SiC Powertrain &amp; Inverter Lead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Powertrain &amp; Power Electronics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ritik.raj@proflow.com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Priyanshi Mandiya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Quality &amp; Homologation Gatekeeper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Quality &amp; Compliance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priyanshi.mandiya@proflow.com</w:t>
            </w:r>
          </w:p>
        </w:tc>
      </w:tr>
    </w:tbl>
    <w:p>
      <w:pPr>
        <w:spacing w:after="320"/>
      </w:pPr>
    </w:p>
    <w:p>
      <w:pPr>
        <w:jc w:val="center"/>
      </w:pPr>
      <w:r>
        <w:rPr>
          <w:i/>
          <w:color w:val="64748B"/>
          <w:sz w:val="17"/>
        </w:rPr>
        <w:t>© 2026 ProFlow Project Management Suite. All rights reserved. Generated automatically via Antigravity AI Engine.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