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CASE STUDIES OF MAJOR CYBERATTACKS</w:t>
      </w:r>
    </w:p>
    <w:p>
      <w:pPr>
        <w:jc w:val="center"/>
      </w:pPr>
      <w:r>
        <w:rPr>
          <w:i/>
          <w:sz w:val="24"/>
        </w:rPr>
        <w:t>Virus, ransomware and data-theft incidents affecting major organisations</w:t>
      </w:r>
    </w:p>
    <w:p/>
    <w:p>
      <w:pPr>
        <w:jc w:val="center"/>
      </w:pPr>
      <w:r>
        <w:rPr>
          <w:b/>
        </w:rPr>
        <w:t xml:space="preserve">Submitted by: </w:t>
      </w:r>
      <w:r>
        <w:t>Parth Soni</w:t>
      </w:r>
    </w:p>
    <w:p>
      <w:pPr>
        <w:jc w:val="center"/>
      </w:pPr>
      <w:r>
        <w:rPr>
          <w:b/>
        </w:rPr>
        <w:t xml:space="preserve">Enrollment No.: </w:t>
      </w:r>
      <w:r>
        <w:t>241105060130</w:t>
      </w:r>
    </w:p>
    <w:p/>
    <w:p>
      <w:pPr>
        <w:pStyle w:val="Heading1"/>
      </w:pPr>
      <w:r>
        <w:t>Introduction</w:t>
      </w:r>
    </w:p>
    <w:p>
      <w:r>
        <w:t>This report reviews five documented cyber incidents involving a hospital, a national health service, a global shipping company, a fuel pipeline operator and a credit-reporting company. It summarises when each incident occurred, its reported cause, the damage, recovery actions, known costs and practical prevention measures. Figures are taken from the sources linked in each case. Where a recovery cost or data-loss total was not publicly confirmed, that limitation is stated rather than guessed.</w:t>
      </w:r>
    </w:p>
    <w:p>
      <w:pPr>
        <w:pStyle w:val="Heading2"/>
      </w:pPr>
      <w:r>
        <w:t>Important note on evidence and images</w:t>
      </w:r>
    </w:p>
    <w:p>
      <w:r>
        <w:t>The linked articles and official reports are the primary evidence. Images are included where a usable image could be retrieved; image captions identify when a photo is illustrative rather than a direct photograph of the exact event. Please retain source credits if submitting this report.</w:t>
      </w:r>
    </w:p>
    <w:p>
      <w:r>
        <w:br w:type="page"/>
      </w:r>
    </w:p>
    <w:p>
      <w:pPr>
        <w:pStyle w:val="Heading1"/>
      </w:pPr>
      <w:r>
        <w:t>1. AIIMS Delhi, India — Ransomware attack on hospital servers</w:t>
      </w:r>
    </w:p>
    <w:p>
      <w:r>
        <w:rPr>
          <w:b/>
        </w:rPr>
        <w:t xml:space="preserve">Date and duration: </w:t>
      </w:r>
      <w:r>
        <w:t>23 November 2022; services disrupted for around two weeks</w:t>
      </w:r>
    </w:p>
    <w:p>
      <w:r>
        <w:t>Image unavailable for embedding in this file; use the linked source article for its photograph or illustration.</w:t>
      </w:r>
    </w:p>
    <w:p>
      <w:pPr>
        <w:spacing w:after="80"/>
      </w:pPr>
      <w:r>
        <w:rPr>
          <w:b/>
        </w:rPr>
        <w:t xml:space="preserve">What happened: </w:t>
      </w:r>
      <w:r>
        <w:t>AIIMS New Delhi reported a cyberattack affecting its e-Hospital system. India’s government later stated that five physical servers hosting the application were affected.</w:t>
      </w:r>
    </w:p>
    <w:p>
      <w:pPr>
        <w:spacing w:after="80"/>
      </w:pPr>
      <w:r>
        <w:rPr>
          <w:b/>
        </w:rPr>
        <w:t xml:space="preserve">Cause / entry point: </w:t>
      </w:r>
      <w:r>
        <w:t>The incident was investigated as a suspected ransomware attack. News reports describing the CERT-In review cited weaknesses in network security, firewall policies and management of network switches. Public reporting did not establish every technical detail conclusively.</w:t>
      </w:r>
    </w:p>
    <w:p>
      <w:pPr>
        <w:spacing w:after="80"/>
      </w:pPr>
      <w:r>
        <w:rPr>
          <w:b/>
        </w:rPr>
        <w:t xml:space="preserve">Damage and losses: </w:t>
      </w:r>
      <w:r>
        <w:t>Patient registration, appointments, admissions, discharge, billing, laboratory and report-generation services were disrupted. Staff reverted to manual processes. Reports raised concern that records of roughly 3–4 crore patients might have been exposed, but the exact extent of data compromise was not publicly confirmed in the sources cited here.</w:t>
      </w:r>
    </w:p>
    <w:p>
      <w:pPr>
        <w:spacing w:after="80"/>
      </w:pPr>
      <w:r>
        <w:rPr>
          <w:b/>
        </w:rPr>
        <w:t xml:space="preserve">How recovery happened: </w:t>
      </w:r>
      <w:r>
        <w:t>The Government of India stated that e-Hospital data was retrieved from an unaffected backup server and restored on new servers. Most major functions were restored after about two weeks; manual workflows were used during the interruption.</w:t>
      </w:r>
    </w:p>
    <w:p>
      <w:pPr>
        <w:spacing w:after="80"/>
      </w:pPr>
      <w:r>
        <w:rPr>
          <w:b/>
        </w:rPr>
        <w:t xml:space="preserve">Recovery cost / financial impact: </w:t>
      </w:r>
      <w:r>
        <w:t>A verified total recovery cost or ransom payment was not publicly confirmed in the cited government response. Do not treat reported ransom demands as money actually paid.</w:t>
      </w:r>
    </w:p>
    <w:p>
      <w:pPr>
        <w:spacing w:after="80"/>
      </w:pPr>
      <w:r>
        <w:rPr>
          <w:b/>
        </w:rPr>
        <w:t xml:space="preserve">Solutions and lessons: </w:t>
      </w:r>
      <w:r>
        <w:t>Keep offline/immutable backups and test restoration; segment hospital networks; enforce firewall rules and access controls; monitor servers; patch systems; maintain a rehearsed manual-care continuity plan; involve CERT-In and law enforcement promptly.</w:t>
      </w:r>
    </w:p>
    <w:p>
      <w:pPr>
        <w:pStyle w:val="Heading2"/>
      </w:pPr>
      <w:r>
        <w:t>Source articles and proof</w:t>
      </w:r>
    </w:p>
    <w:p>
      <w:pPr>
        <w:pStyle w:val="ListBullet"/>
      </w:pPr>
      <w:hyperlink r:id="rId9">
        <w:r>
          <w:rPr>
            <w:color w:val="0563C1"/>
            <w:u w:val="single"/>
          </w:rPr>
          <w:t>Government of India, Rajya Sabha answer (7 Feb 2023)</w:t>
        </w:r>
      </w:hyperlink>
    </w:p>
    <w:p>
      <w:pPr>
        <w:pStyle w:val="ListBullet"/>
      </w:pPr>
      <w:hyperlink r:id="rId10">
        <w:r>
          <w:rPr>
            <w:color w:val="0563C1"/>
            <w:u w:val="single"/>
          </w:rPr>
          <w:t>The Indian Express — CERT-In findings (4 Dec 2022)</w:t>
        </w:r>
      </w:hyperlink>
    </w:p>
    <w:p/>
    <w:p>
      <w:r>
        <w:br w:type="page"/>
      </w:r>
    </w:p>
    <w:p>
      <w:pPr>
        <w:pStyle w:val="Heading1"/>
      </w:pPr>
      <w:r>
        <w:t>2. UK National Health Service — WannaCry ransomware</w:t>
      </w:r>
    </w:p>
    <w:p>
      <w:r>
        <w:rPr>
          <w:b/>
        </w:rPr>
        <w:t xml:space="preserve">Date and duration: </w:t>
      </w:r>
      <w:r>
        <w:t>12 May 2017; major disruption over the following days</w:t>
      </w:r>
    </w:p>
    <w:p>
      <w:r>
        <w:t>Image unavailable for embedding in this file; use the linked source article for its photograph or illustration.</w:t>
      </w:r>
    </w:p>
    <w:p>
      <w:pPr>
        <w:spacing w:after="80"/>
      </w:pPr>
      <w:r>
        <w:rPr>
          <w:b/>
        </w:rPr>
        <w:t xml:space="preserve">What happened: </w:t>
      </w:r>
      <w:r>
        <w:t>The WannaCry ransomware spread internationally and encrypted files on vulnerable Windows computers. NHS organisations in England were among the most visible victims.</w:t>
      </w:r>
    </w:p>
    <w:p>
      <w:pPr>
        <w:spacing w:after="80"/>
      </w:pPr>
      <w:r>
        <w:rPr>
          <w:b/>
        </w:rPr>
        <w:t xml:space="preserve">Cause / entry point: </w:t>
      </w:r>
      <w:r>
        <w:t>Systems were vulnerable because operating systems were unsupported or had not received critical security updates; firewall exposure also increased risk. WannaCry spread automatically between vulnerable machines.</w:t>
      </w:r>
    </w:p>
    <w:p>
      <w:pPr>
        <w:spacing w:after="80"/>
      </w:pPr>
      <w:r>
        <w:rPr>
          <w:b/>
        </w:rPr>
        <w:t xml:space="preserve">Damage and losses: </w:t>
      </w:r>
      <w:r>
        <w:t>At least 81 of 236 NHS trusts were affected or disrupted, alongside 603 other NHS organisations. Thousands of appointments and operations were cancelled; the National Audit Office identified 6,912 cancellations recorded in the initial collection and estimated the total could exceed 19,000.</w:t>
      </w:r>
    </w:p>
    <w:p>
      <w:pPr>
        <w:spacing w:after="80"/>
      </w:pPr>
      <w:r>
        <w:rPr>
          <w:b/>
        </w:rPr>
        <w:t xml:space="preserve">How recovery happened: </w:t>
      </w:r>
      <w:r>
        <w:t>Hospitals prioritised emergency care, isolated affected systems, used paper records and phone/fax workflows, and restored systems. A cybersecurity researcher discovered a kill-switch that slowed the malware’s spread.</w:t>
      </w:r>
    </w:p>
    <w:p>
      <w:pPr>
        <w:spacing w:after="80"/>
      </w:pPr>
      <w:r>
        <w:rPr>
          <w:b/>
        </w:rPr>
        <w:t xml:space="preserve">Recovery cost / financial impact: </w:t>
      </w:r>
      <w:r>
        <w:t>The UK government’s health and social-care cybersecurity strategy cites an estimated £20 million cost during the outbreak plus £72 million to restore systems and data (about £92 million combined). NHS organisations did not pay the ransom, according to the National Audit Office.</w:t>
      </w:r>
    </w:p>
    <w:p>
      <w:pPr>
        <w:spacing w:after="80"/>
      </w:pPr>
      <w:r>
        <w:rPr>
          <w:b/>
        </w:rPr>
        <w:t xml:space="preserve">Solutions and lessons: </w:t>
      </w:r>
      <w:r>
        <w:t>Rapid patching and retirement of unsupported systems; firewall hardening; tested incident-response plans; offline backups; staff exercises; and resilient alternative communication and clinical workflows.</w:t>
      </w:r>
    </w:p>
    <w:p>
      <w:pPr>
        <w:pStyle w:val="Heading2"/>
      </w:pPr>
      <w:r>
        <w:t>Source articles and proof</w:t>
      </w:r>
    </w:p>
    <w:p>
      <w:pPr>
        <w:pStyle w:val="ListBullet"/>
      </w:pPr>
      <w:hyperlink r:id="rId11">
        <w:r>
          <w:rPr>
            <w:color w:val="0563C1"/>
            <w:u w:val="single"/>
          </w:rPr>
          <w:t>UK National Audit Office — Investigation: WannaCry and the NHS</w:t>
        </w:r>
      </w:hyperlink>
    </w:p>
    <w:p>
      <w:pPr>
        <w:pStyle w:val="ListBullet"/>
      </w:pPr>
      <w:hyperlink r:id="rId12">
        <w:r>
          <w:rPr>
            <w:color w:val="0563C1"/>
            <w:u w:val="single"/>
          </w:rPr>
          <w:t>UK Government — Health and social-care cyber security strategy</w:t>
        </w:r>
      </w:hyperlink>
    </w:p>
    <w:p/>
    <w:p>
      <w:r>
        <w:br w:type="page"/>
      </w:r>
    </w:p>
    <w:p>
      <w:pPr>
        <w:pStyle w:val="Heading1"/>
      </w:pPr>
      <w:r>
        <w:t>3. A.P. Moller–Maersk — NotPetya destructive malware</w:t>
      </w:r>
    </w:p>
    <w:p>
      <w:r>
        <w:rPr>
          <w:b/>
        </w:rPr>
        <w:t xml:space="preserve">Date and duration: </w:t>
      </w:r>
      <w:r>
        <w:t>27 June 2017; recovery took weeks</w:t>
      </w:r>
    </w:p>
    <w:p>
      <w:r>
        <w:t>Image unavailable for embedding in this file; use the linked source article for its photograph or illustration.</w:t>
      </w:r>
    </w:p>
    <w:p>
      <w:pPr>
        <w:spacing w:after="80"/>
      </w:pPr>
      <w:r>
        <w:rPr>
          <w:b/>
        </w:rPr>
        <w:t xml:space="preserve">What happened: </w:t>
      </w:r>
      <w:r>
        <w:t>Global shipping company Maersk was hit by NotPetya, a destructive malware outbreak that spread through corporate networks and disrupted shipping and port operations worldwide.</w:t>
      </w:r>
    </w:p>
    <w:p>
      <w:pPr>
        <w:spacing w:after="80"/>
      </w:pPr>
      <w:r>
        <w:rPr>
          <w:b/>
        </w:rPr>
        <w:t xml:space="preserve">Cause / entry point: </w:t>
      </w:r>
      <w:r>
        <w:t>Investigations linked the outbreak to a maliciously modified update of the Ukrainian tax-software package M.E.Doc. Once inside networks, the malware spread laterally. Although it displayed a ransom demand, it was destructive and not reliably recoverable by paying.</w:t>
      </w:r>
    </w:p>
    <w:p>
      <w:pPr>
        <w:spacing w:after="80"/>
      </w:pPr>
      <w:r>
        <w:rPr>
          <w:b/>
        </w:rPr>
        <w:t xml:space="preserve">Damage and losses: </w:t>
      </w:r>
      <w:r>
        <w:t>Maersk reported an estimated financial impact of US$250–300 million. Operations were disrupted, computers and applications had to be rebuilt, and port and booking processes were affected.</w:t>
      </w:r>
    </w:p>
    <w:p>
      <w:pPr>
        <w:spacing w:after="80"/>
      </w:pPr>
      <w:r>
        <w:rPr>
          <w:b/>
        </w:rPr>
        <w:t xml:space="preserve">How recovery happened: </w:t>
      </w:r>
      <w:r>
        <w:t>The company rebuilt large parts of its IT environment, restored systems from backups and worked with staff and partners to resume operations. Public accounts describe rebuilding thousands of servers and tens of thousands of PCs; full recovery took several weeks.</w:t>
      </w:r>
    </w:p>
    <w:p>
      <w:pPr>
        <w:spacing w:after="80"/>
      </w:pPr>
      <w:r>
        <w:rPr>
          <w:b/>
        </w:rPr>
        <w:t xml:space="preserve">Recovery cost / financial impact: </w:t>
      </w:r>
      <w:r>
        <w:t>Estimated business impact: US$250–300 million. This is the reported overall incident impact, not a separately disclosed recovery-only bill.</w:t>
      </w:r>
    </w:p>
    <w:p>
      <w:pPr>
        <w:spacing w:after="80"/>
      </w:pPr>
      <w:r>
        <w:rPr>
          <w:b/>
        </w:rPr>
        <w:t xml:space="preserve">Solutions and lessons: </w:t>
      </w:r>
      <w:r>
        <w:t>Verify software supply-chain updates; isolate critical systems; use segmented networks and offline backups; maintain tested disaster recovery; deploy endpoint detection; and practise rapid global incident coordination.</w:t>
      </w:r>
    </w:p>
    <w:p>
      <w:pPr>
        <w:pStyle w:val="Heading2"/>
      </w:pPr>
      <w:r>
        <w:t>Source articles and proof</w:t>
      </w:r>
    </w:p>
    <w:p>
      <w:pPr>
        <w:pStyle w:val="ListBullet"/>
      </w:pPr>
      <w:hyperlink r:id="rId13">
        <w:r>
          <w:rPr>
            <w:color w:val="0563C1"/>
            <w:u w:val="single"/>
          </w:rPr>
          <w:t>UK National Cyber Security Centre — Cyber threat to UK business (NotPetya case study)</w:t>
        </w:r>
      </w:hyperlink>
    </w:p>
    <w:p>
      <w:pPr>
        <w:pStyle w:val="ListBullet"/>
      </w:pPr>
      <w:hyperlink r:id="rId14">
        <w:r>
          <w:rPr>
            <w:color w:val="0563C1"/>
            <w:u w:val="single"/>
          </w:rPr>
          <w:t>U.S. Government Accountability Office — NotPetya impact on Maersk</w:t>
        </w:r>
      </w:hyperlink>
    </w:p>
    <w:p/>
    <w:p>
      <w:r>
        <w:br w:type="page"/>
      </w:r>
    </w:p>
    <w:p>
      <w:pPr>
        <w:pStyle w:val="Heading1"/>
      </w:pPr>
      <w:r>
        <w:t>4. Colonial Pipeline, United States — DarkSide ransomware</w:t>
      </w:r>
    </w:p>
    <w:p>
      <w:r>
        <w:rPr>
          <w:b/>
        </w:rPr>
        <w:t xml:space="preserve">Date and duration: </w:t>
      </w:r>
      <w:r>
        <w:t>7 May 2021; pipeline operations restarted on 12 May</w:t>
      </w:r>
    </w:p>
    <w:p>
      <w:r>
        <w:t>Image unavailable for embedding in this file; use the linked source article for its photograph or illustration.</w:t>
      </w:r>
    </w:p>
    <w:p>
      <w:pPr>
        <w:spacing w:after="80"/>
      </w:pPr>
      <w:r>
        <w:rPr>
          <w:b/>
        </w:rPr>
        <w:t xml:space="preserve">What happened: </w:t>
      </w:r>
      <w:r>
        <w:t>Colonial Pipeline, a major fuel pipeline operator, suffered a ransomware attack attributed to the DarkSide group. The company shut down parts of its operational pipeline system as a precaution while responding to the incident.</w:t>
      </w:r>
    </w:p>
    <w:p>
      <w:pPr>
        <w:spacing w:after="80"/>
      </w:pPr>
      <w:r>
        <w:rPr>
          <w:b/>
        </w:rPr>
        <w:t xml:space="preserve">Cause / entry point: </w:t>
      </w:r>
      <w:r>
        <w:t>The attack compromised the company’s IT environment. Public reporting described ransomware affecting business systems; the shutdown was a precautionary operational decision, rather than proof that pipeline control systems themselves were encrypted.</w:t>
      </w:r>
    </w:p>
    <w:p>
      <w:pPr>
        <w:spacing w:after="80"/>
      </w:pPr>
      <w:r>
        <w:rPr>
          <w:b/>
        </w:rPr>
        <w:t xml:space="preserve">Damage and losses: </w:t>
      </w:r>
      <w:r>
        <w:t>Fuel deliveries across parts of the eastern United States were disrupted, prompting fuel shortages and panic buying in some areas. Colonial said it paid about 75 bitcoin, then worth roughly US$4.4 million, to obtain a decryptor.</w:t>
      </w:r>
    </w:p>
    <w:p>
      <w:pPr>
        <w:spacing w:after="80"/>
      </w:pPr>
      <w:r>
        <w:rPr>
          <w:b/>
        </w:rPr>
        <w:t xml:space="preserve">How recovery happened: </w:t>
      </w:r>
      <w:r>
        <w:t>The company engaged cybersecurity specialists and worked with U.S. agencies. Pipeline operations restarted on 12 May, while broader IT recovery and investigation continued. The U.S. Department of Justice later seized part of the ransom payment.</w:t>
      </w:r>
    </w:p>
    <w:p>
      <w:pPr>
        <w:spacing w:after="80"/>
      </w:pPr>
      <w:r>
        <w:rPr>
          <w:b/>
        </w:rPr>
        <w:t xml:space="preserve">Recovery cost / financial impact: </w:t>
      </w:r>
      <w:r>
        <w:t>Reported ransom payment: approximately US$4.4 million. The FBI recovered 63.7 bitcoin valued at about US$2.3 million at the time of seizure; this does not represent the full business-loss figure, which is separate.</w:t>
      </w:r>
    </w:p>
    <w:p>
      <w:pPr>
        <w:spacing w:after="80"/>
      </w:pPr>
      <w:r>
        <w:rPr>
          <w:b/>
        </w:rPr>
        <w:t xml:space="preserve">Solutions and lessons: </w:t>
      </w:r>
      <w:r>
        <w:t>Use multifactor authentication; remove unused legacy remote access; segment IT from operational technology; keep tested backups; monitor for unusual access; rehearse shutdown/restart decisions; and coordinate with CISA, FBI and sector regulators.</w:t>
      </w:r>
    </w:p>
    <w:p>
      <w:pPr>
        <w:pStyle w:val="Heading2"/>
      </w:pPr>
      <w:r>
        <w:t>Source articles and proof</w:t>
      </w:r>
    </w:p>
    <w:p>
      <w:pPr>
        <w:pStyle w:val="ListBullet"/>
      </w:pPr>
      <w:hyperlink r:id="rId15">
        <w:r>
          <w:rPr>
            <w:color w:val="0563C1"/>
            <w:u w:val="single"/>
          </w:rPr>
          <w:t>U.S. Department of Justice — seizure of Colonial Pipeline ransom funds</w:t>
        </w:r>
      </w:hyperlink>
    </w:p>
    <w:p>
      <w:pPr>
        <w:pStyle w:val="ListBullet"/>
      </w:pPr>
      <w:hyperlink r:id="rId16">
        <w:r>
          <w:rPr>
            <w:color w:val="0563C1"/>
            <w:u w:val="single"/>
          </w:rPr>
          <w:t>CISA — DarkSide ransomware guidance</w:t>
        </w:r>
      </w:hyperlink>
    </w:p>
    <w:p/>
    <w:p>
      <w:r>
        <w:br w:type="page"/>
      </w:r>
    </w:p>
    <w:p>
      <w:pPr>
        <w:pStyle w:val="Heading1"/>
      </w:pPr>
      <w:r>
        <w:t>5. Equifax, United States — Personal data breach</w:t>
      </w:r>
    </w:p>
    <w:p>
      <w:r>
        <w:rPr>
          <w:b/>
        </w:rPr>
        <w:t xml:space="preserve">Date and duration: </w:t>
      </w:r>
      <w:r>
        <w:t>May–July 2017; publicly disclosed 7 September 2017</w:t>
      </w:r>
    </w:p>
    <w:p>
      <w:r>
        <w:t>Image unavailable for embedding in this file; use the linked source article for its photograph or illustration.</w:t>
      </w:r>
    </w:p>
    <w:p>
      <w:pPr>
        <w:spacing w:after="80"/>
      </w:pPr>
      <w:r>
        <w:rPr>
          <w:b/>
        </w:rPr>
        <w:t xml:space="preserve">What happened: </w:t>
      </w:r>
      <w:r>
        <w:t>Credit-reporting company Equifax disclosed a major breach after attackers accessed sensitive personal information through a vulnerable web application.</w:t>
      </w:r>
    </w:p>
    <w:p>
      <w:pPr>
        <w:spacing w:after="80"/>
      </w:pPr>
      <w:r>
        <w:rPr>
          <w:b/>
        </w:rPr>
        <w:t xml:space="preserve">Cause / entry point: </w:t>
      </w:r>
      <w:r>
        <w:t>The breach exploited a known vulnerability in Apache Struts. Equifax had not applied the required security patch in time, and the intrusion went undetected for weeks.</w:t>
      </w:r>
    </w:p>
    <w:p>
      <w:pPr>
        <w:spacing w:after="80"/>
      </w:pPr>
      <w:r>
        <w:rPr>
          <w:b/>
        </w:rPr>
        <w:t xml:space="preserve">Damage and losses: </w:t>
      </w:r>
      <w:r>
        <w:t>The breach affected about 147 million people. Exposed information included names, birth dates, addresses and Social Security numbers for many victims; some payment-card and dispute-document data were also involved.</w:t>
      </w:r>
    </w:p>
    <w:p>
      <w:pPr>
        <w:spacing w:after="80"/>
      </w:pPr>
      <w:r>
        <w:rPr>
          <w:b/>
        </w:rPr>
        <w:t xml:space="preserve">How recovery happened: </w:t>
      </w:r>
      <w:r>
        <w:t>Equifax investigated with external cybersecurity experts, notified affected consumers, offered credit-file monitoring and identity-theft protection, and made security and governance changes. The breach was not a ransomware event; its primary harm was theft/exposure of personal data.</w:t>
      </w:r>
    </w:p>
    <w:p>
      <w:pPr>
        <w:spacing w:after="80"/>
      </w:pPr>
      <w:r>
        <w:rPr>
          <w:b/>
        </w:rPr>
        <w:t xml:space="preserve">Recovery cost / financial impact: </w:t>
      </w:r>
      <w:r>
        <w:t>In 2019, Equifax agreed to a settlement of at least US$575 million and potentially up to US$700 million with U.S. authorities and states. This settlement is not the same as the company’s total internal remediation cost.</w:t>
      </w:r>
    </w:p>
    <w:p>
      <w:pPr>
        <w:spacing w:after="80"/>
      </w:pPr>
      <w:r>
        <w:rPr>
          <w:b/>
        </w:rPr>
        <w:t xml:space="preserve">Solutions and lessons: </w:t>
      </w:r>
      <w:r>
        <w:t>Maintain a complete asset inventory; patch internet-facing applications quickly; use vulnerability scanning; monitor and log access; encrypt sensitive data; minimise data retention; and test incident detection and disclosure procedures.</w:t>
      </w:r>
    </w:p>
    <w:p>
      <w:pPr>
        <w:pStyle w:val="Heading2"/>
      </w:pPr>
      <w:r>
        <w:t>Source articles and proof</w:t>
      </w:r>
    </w:p>
    <w:p>
      <w:pPr>
        <w:pStyle w:val="ListBullet"/>
      </w:pPr>
      <w:hyperlink r:id="rId17">
        <w:r>
          <w:rPr>
            <w:color w:val="0563C1"/>
            <w:u w:val="single"/>
          </w:rPr>
          <w:t>U.S. Federal Trade Commission — Equifax data breach settlement</w:t>
        </w:r>
      </w:hyperlink>
    </w:p>
    <w:p>
      <w:pPr>
        <w:pStyle w:val="ListBullet"/>
      </w:pPr>
      <w:hyperlink r:id="rId18">
        <w:r>
          <w:rPr>
            <w:color w:val="0563C1"/>
            <w:u w:val="single"/>
          </w:rPr>
          <w:t>U.S. Government Accountability Office — Actions taken after the Equifax breach</w:t>
        </w:r>
      </w:hyperlink>
    </w:p>
    <w:p/>
    <w:p>
      <w:r>
        <w:br w:type="page"/>
      </w:r>
    </w:p>
    <w:p>
      <w:pPr>
        <w:pStyle w:val="Heading1"/>
      </w:pPr>
      <w:r>
        <w:t>Overall conclusion</w:t>
      </w:r>
    </w:p>
    <w:p>
      <w:r>
        <w:t>These incidents show that cyberattacks can interrupt healthcare, shipping, fuel supply and expose personal information. Common weaknesses include delayed security updates, poor network separation, insufficient monitoring and untested recovery plans. The strongest general protections are timely patching, multifactor authentication, least-privilege access, network segmentation, offline or immutable backups, tested disaster-recovery plans, staff awareness and rapid coordination with cybersecurity authorities.</w:t>
      </w:r>
    </w:p>
    <w:p>
      <w:pPr>
        <w:pStyle w:val="Heading1"/>
      </w:pPr>
      <w:r>
        <w:t>References</w:t>
      </w:r>
    </w:p>
    <w:p>
      <w:pPr>
        <w:pStyle w:val="ListBullet"/>
      </w:pPr>
      <w:hyperlink r:id="rId9">
        <w:r>
          <w:rPr>
            <w:color w:val="0563C1"/>
            <w:u w:val="single"/>
          </w:rPr>
          <w:t>Government of India, Rajya Sabha answer (7 Feb 2023)</w:t>
        </w:r>
      </w:hyperlink>
    </w:p>
    <w:p>
      <w:pPr>
        <w:pStyle w:val="ListBullet"/>
      </w:pPr>
      <w:hyperlink r:id="rId10">
        <w:r>
          <w:rPr>
            <w:color w:val="0563C1"/>
            <w:u w:val="single"/>
          </w:rPr>
          <w:t>The Indian Express — CERT-In findings (4 Dec 2022)</w:t>
        </w:r>
      </w:hyperlink>
    </w:p>
    <w:p>
      <w:pPr>
        <w:pStyle w:val="ListBullet"/>
      </w:pPr>
      <w:hyperlink r:id="rId11">
        <w:r>
          <w:rPr>
            <w:color w:val="0563C1"/>
            <w:u w:val="single"/>
          </w:rPr>
          <w:t>UK National Audit Office — Investigation: WannaCry and the NHS</w:t>
        </w:r>
      </w:hyperlink>
    </w:p>
    <w:p>
      <w:pPr>
        <w:pStyle w:val="ListBullet"/>
      </w:pPr>
      <w:hyperlink r:id="rId12">
        <w:r>
          <w:rPr>
            <w:color w:val="0563C1"/>
            <w:u w:val="single"/>
          </w:rPr>
          <w:t>UK Government — Health and social-care cyber security strategy</w:t>
        </w:r>
      </w:hyperlink>
    </w:p>
    <w:p>
      <w:pPr>
        <w:pStyle w:val="ListBullet"/>
      </w:pPr>
      <w:hyperlink r:id="rId13">
        <w:r>
          <w:rPr>
            <w:color w:val="0563C1"/>
            <w:u w:val="single"/>
          </w:rPr>
          <w:t>UK National Cyber Security Centre — Cyber threat to UK business (NotPetya case study)</w:t>
        </w:r>
      </w:hyperlink>
    </w:p>
    <w:p>
      <w:pPr>
        <w:pStyle w:val="ListBullet"/>
      </w:pPr>
      <w:hyperlink r:id="rId14">
        <w:r>
          <w:rPr>
            <w:color w:val="0563C1"/>
            <w:u w:val="single"/>
          </w:rPr>
          <w:t>U.S. Government Accountability Office — NotPetya impact on Maersk</w:t>
        </w:r>
      </w:hyperlink>
    </w:p>
    <w:p>
      <w:pPr>
        <w:pStyle w:val="ListBullet"/>
      </w:pPr>
      <w:hyperlink r:id="rId15">
        <w:r>
          <w:rPr>
            <w:color w:val="0563C1"/>
            <w:u w:val="single"/>
          </w:rPr>
          <w:t>U.S. Department of Justice — seizure of Colonial Pipeline ransom funds</w:t>
        </w:r>
      </w:hyperlink>
    </w:p>
    <w:p>
      <w:pPr>
        <w:pStyle w:val="ListBullet"/>
      </w:pPr>
      <w:hyperlink r:id="rId16">
        <w:r>
          <w:rPr>
            <w:color w:val="0563C1"/>
            <w:u w:val="single"/>
          </w:rPr>
          <w:t>CISA — DarkSide ransomware guidance</w:t>
        </w:r>
      </w:hyperlink>
    </w:p>
    <w:p>
      <w:pPr>
        <w:pStyle w:val="ListBullet"/>
      </w:pPr>
      <w:hyperlink r:id="rId17">
        <w:r>
          <w:rPr>
            <w:color w:val="0563C1"/>
            <w:u w:val="single"/>
          </w:rPr>
          <w:t>U.S. Federal Trade Commission — Equifax data breach settlement</w:t>
        </w:r>
      </w:hyperlink>
    </w:p>
    <w:p>
      <w:pPr>
        <w:pStyle w:val="ListBullet"/>
      </w:pPr>
      <w:hyperlink r:id="rId18">
        <w:r>
          <w:rPr>
            <w:color w:val="0563C1"/>
            <w:u w:val="single"/>
          </w:rPr>
          <w:t>U.S. Government Accountability Office — Actions taken after the Equifax breach</w:t>
        </w:r>
      </w:hyperlink>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ansad.in/getFile/annex/259/AU592.pdf?source=pqars" TargetMode="External"/><Relationship Id="rId10" Type="http://schemas.openxmlformats.org/officeDocument/2006/relationships/hyperlink" Target="https://indianexpress.com/article/cities/delhi/probing-server-attack-cert-in-finds-holes-in-aiims-cyber-security-8304657/" TargetMode="External"/><Relationship Id="rId11" Type="http://schemas.openxmlformats.org/officeDocument/2006/relationships/hyperlink" Target="https://www.nao.org.uk/reports/investigation-wannacry-cyber-attack-and-the-nhs/" TargetMode="External"/><Relationship Id="rId12" Type="http://schemas.openxmlformats.org/officeDocument/2006/relationships/hyperlink" Target="https://www.gov.uk/government/publications/cyber-security-strategy-for-health-and-social-care-2023-to-2030/a-cyber-resilient-health-and-adult-social-care-system-in-england-cyber-security-strategy-to-2030" TargetMode="External"/><Relationship Id="rId13" Type="http://schemas.openxmlformats.org/officeDocument/2006/relationships/hyperlink" Target="https://www.ncsc.gov.uk/files/ncsc_nca_report.pdf" TargetMode="External"/><Relationship Id="rId14" Type="http://schemas.openxmlformats.org/officeDocument/2006/relationships/hyperlink" Target="https://files.gao.gov/reports/GAO-25-107244/index.html" TargetMode="External"/><Relationship Id="rId15" Type="http://schemas.openxmlformats.org/officeDocument/2006/relationships/hyperlink" Target="https://www.justice.gov/opa/pr/department-justice-seizes-23-million-cryptocurrency-paid-ransomware-extortionists-darkside" TargetMode="External"/><Relationship Id="rId16" Type="http://schemas.openxmlformats.org/officeDocument/2006/relationships/hyperlink" Target="https://www.cisa.gov/news-events/cybersecurity-advisories/aa21-131a" TargetMode="External"/><Relationship Id="rId17" Type="http://schemas.openxmlformats.org/officeDocument/2006/relationships/hyperlink" Target="https://www.ftc.gov/enforcement/refunds/equifax-data-breach-settlement" TargetMode="External"/><Relationship Id="rId18" Type="http://schemas.openxmlformats.org/officeDocument/2006/relationships/hyperlink" Target="https://www.gao.gov/products/gao-18-5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