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ID: RM-DOC-0503</w:t>
      </w:r>
    </w:p>
    <w:p>
      <w:r>
        <w:t>Headline: Trucks and feeders fill part of the gap</w:t>
      </w:r>
    </w:p>
    <w:p>
      <w:r>
        <w:t>Publisher: Freight &amp; Ledger</w:t>
      </w:r>
    </w:p>
    <w:p>
      <w:r>
        <w:t>Date: 2025-04-05</w:t>
      </w:r>
    </w:p>
    <w:p>
      <w:r>
        <w:t>Doc Type: trade_press</w:t>
      </w:r>
    </w:p>
    <w:p>
      <w:r>
        <w:t>Event_ID: EVT-D</w:t>
      </w:r>
    </w:p>
    <w:p>
      <w:r>
        <w:t>Countries: Brenmark; Corvenia</w:t>
      </w:r>
    </w:p>
    <w:p>
      <w:r>
        <w:t>Sectors: automotive</w:t>
      </w:r>
    </w:p>
    <w:p>
      <w:r>
        <w:t>Reliability: 2</w:t>
      </w:r>
    </w:p>
    <w:p/>
    <w:p>
      <w:r>
        <w:t>Road hauliers and coastal feeders can absorb about 40 percent of the diverted automotive freight, forwarders say.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