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ID: RM-DOC-0114</w:t>
      </w:r>
    </w:p>
    <w:p>
      <w:r>
        <w:t>Title: Canal closure: March trade data confirm a sharp drop</w:t>
      </w:r>
    </w:p>
    <w:p>
      <w:r>
        <w:t>Source: Halvard Analytics</w:t>
      </w:r>
    </w:p>
    <w:p>
      <w:r>
        <w:t>Published: 2025-04-08</w:t>
      </w:r>
    </w:p>
    <w:p>
      <w:r>
        <w:t>Type: analyst_note</w:t>
      </w:r>
    </w:p>
    <w:p>
      <w:r>
        <w:t>Event: EVT-A</w:t>
      </w:r>
    </w:p>
    <w:p>
      <w:r>
        <w:t>Country: Brenmark</w:t>
      </w:r>
    </w:p>
    <w:p>
      <w:r>
        <w:t>Sector: electronics</w:t>
      </w:r>
    </w:p>
    <w:p>
      <w:r>
        <w:t>Tier: 3</w:t>
      </w:r>
    </w:p>
    <w:p/>
    <w:p>
      <w:r>
        <w:t>Preliminary March figures show Brenmark's electronics imports fell sharply as canal traffic stopped.</w:t>
      </w:r>
    </w:p>
    <w:p>
      <w:r>
        <w:t>Rail deliveries from Corvenia rose, offsetting part of the loss. We now see the reopening in late May as the base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