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0847E" w:sz="36" w:space="1"/>
        </w:pBdr>
        <w:spacing w:before="0" w:after="480"/>
      </w:pPr>
    </w:p>
    <w:p>
      <w:pPr>
        <w:spacing w:before="1200" w:after="80"/>
        <w:jc w:val="center"/>
      </w:pPr>
      <w:r>
        <w:rPr>
          <w:rFonts w:ascii="Arial" w:cs="Arial" w:eastAsia="Arial" w:hAnsi="Arial"/>
          <w:b/>
          <w:bCs/>
          <w:color w:val="10847E"/>
          <w:sz w:val="72"/>
          <w:szCs w:val="72"/>
        </w:rPr>
        <w:t xml:space="preserve">OmniSensus Medical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Clinical Intelligence Infrastructure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3.0  |  2026</w:t>
      </w:r>
    </w:p>
    <w:p>
      <w:pPr>
        <w:pBdr>
          <w:bottom w:val="single" w:color="D1D5DB" w:sz="4" w:space="1"/>
        </w:pBdr>
        <w:spacing w:before="0" w:after="6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Product Overview &amp; Purpose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Automated Clinical Decision Support &amp;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Integrated Health Intelligence Platform</w:t>
      </w:r>
    </w:p>
    <w:p>
      <w:pPr>
        <w:pBdr>
          <w:bottom w:val="single" w:color="D1D5DB" w:sz="4" w:space="1"/>
        </w:pBdr>
        <w:spacing w:before="0" w:after="3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Prepared By</w:t>
            </w:r>
          </w:p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Parth Vadodariya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Enrollment: 230043107015</w:t>
            </w:r>
          </w:p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B.E. Computer Engineering — Semester 8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Guide &amp; Organisation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Mr. Harsh Mehta Amitbhai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Microsoft Elevate Programme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March 2026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1.  Executive Summary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OmniSensus Medical is an AI-powered, web-based clinical decision support platform designed to transform how healthcare institutions assess, monitor, and manage patient health risk. Built on a modern full-stack architecture, it integrates machine learning models, real-time biomarker analysis, and role-based clinical workflows into a single unified interface accessible to administrators, doctors, and patients alike.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platform addresses a critical gap in routine healthcare: the absence of timely, data-driven risk stratification. By automating the analysis of vitals, biomarkers, and patient history, OmniSensus reduces diagnostic delays, supports clinical decision-making, and empowers patients with transparent insight into their own health status.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This document describes the purpose, functionality, target users, technical architecture, and real-world impact of the OmniSensus platform. It is intended for academic review, project evaluation, and institutional onboarding.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2.  Problem Statement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Modern healthcare systems face mounting pressure from increasing patient volumes, resource constraints, and the growing complexity of chronic disease management. Several critical gaps exist in current clinical practice: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 Area</w:t>
            </w:r>
          </w:p>
        </w:tc>
        <w:tc>
          <w:tcPr>
            <w:tcW w:type="dxa" w:w="5426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Impact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Delayed Risk Identification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Patients with deteriorating biomarkers go undetected until an acute event occurs, often requiring emergency intervention that could have been avoided.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Manual, Subjective Scoring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Risk assessment based on physician memory and intuition is inconsistent across practitioners and shifts, leading to unequal quality of care.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Fragmented Patient Records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Vital signs, lab results, medications, and visit history are stored in disconnected systems, making comprehensive longitudinal analysis nearly impossible.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Lack of Patient Transparency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Patients rarely receive clear explanations of their health score, risk factors, or medication purpose, leading to poor treatment adherence.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Predictive Capability</w:t>
            </w:r>
          </w:p>
        </w:tc>
        <w:tc>
          <w:tcPr>
            <w:tcW w:type="dxa" w:w="5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Most clinical tools are reactive rather than proactive. Conditions such as Type 2 Diabetes, CKD, and CVD have well-understood precursors that go unactioned.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3.  Product Purpose &amp; Vision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OmniSensus Medical was built with a clear and focused mission:</w:t>
      </w:r>
    </w:p>
    <w:p>
      <w:pPr>
        <w:pBdr>
          <w:top w:val="single" w:color="10847E" w:sz="2"/>
          <w:bottom w:val="single" w:color="10847E" w:sz="2"/>
          <w:left w:val="single" w:color="10847E" w:sz="20"/>
          <w:right w:val="single" w:color="10847E" w:sz="2"/>
        </w:pBdr>
        <w:shd w:fill="E6F3F2" w:val="clear"/>
        <w:spacing w:before="160" w:after="160"/>
        <w:ind w:left="360" w:right="360"/>
        <w:jc w:val="center"/>
      </w:pPr>
      <w:r>
        <w:rPr>
          <w:rFonts w:ascii="Arial" w:cs="Arial" w:eastAsia="Arial" w:hAnsi="Arial"/>
          <w:b/>
          <w:bCs/>
          <w:i/>
          <w:iCs/>
          <w:color w:val="10847E"/>
          <w:sz w:val="22"/>
          <w:szCs w:val="22"/>
        </w:rPr>
        <w:t xml:space="preserve">"To deliver automated, AI-driven clinical risk intelligence that enables earlier intervention, reduces diagnostic inconsistency, and puts patients at the centre of their own health journey."</w:t>
      </w:r>
    </w:p>
    <w:p>
      <w:pPr>
        <w:spacing w:before="160" w:after="8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platform achieves this through five core design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Automation over Manual Effort — Biomarker scoring, risk tier assignment, and report generation are fully automated using trained ML models, removing human inconsistency.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Role-Aware Intelligence — Every view, dataset, and workflow is tailored to the specific role of the user: administrator, doctor, or patient.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Longitudinal Focus — The platform tracks health trajectories over time, enabling trend detection and predictive forecasting via ARIMA modelling.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Transparency for Patients — Patients receive plain-language explanations of their health score, active medications, risk factors, and upcoming appointments.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Institutional Scalability — The architecture is designed to serve hospitals, clinics, and outpatient facilities with multi-department support.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4.  Key Features &amp; Capabilities</w:t>
      </w:r>
    </w:p>
    <w:p>
      <w:pPr>
        <w:pBdr>
          <w:bottom w:val="single" w:color="10847E" w:sz="8" w:space="1"/>
        </w:pBdr>
        <w:spacing w:before="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4.1  AI Risk Stratification Engine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diagnostic core of OmniSensus is a multi-domain ensemble ML model that computes a composite health score (0–100) for each patient based on three clinical domains: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Cardiovascular (CVD) Risk — Framingham + SCORE2 ensemble incorporating systolic BP, heart rate, cholesterol, LDL, smoking history, and family cardiac history.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Metabolic Risk — HbA1c, fasting glucose, BMI, and diabetes status assessed against ADA clinical thresholds.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Renal Risk — eGFR and creatinine analysis using CKD-EPI and MDRD equations.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Each domain score feeds into a weighted composite formula. Patients are automatically stratified into three tiers: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Tier</w:t>
            </w:r>
          </w:p>
        </w:tc>
        <w:tc>
          <w:tcPr>
            <w:tcW w:type="dxa" w:w="24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 Range</w:t>
            </w:r>
          </w:p>
        </w:tc>
        <w:tc>
          <w:tcPr>
            <w:tcW w:type="dxa" w:w="4826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Meaning</w:t>
            </w:r>
          </w:p>
        </w:tc>
      </w:tr>
      <w:tr>
        <w:tc>
          <w:tcPr>
            <w:tcW w:type="dxa" w:w="180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&lt; 50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Immediate clinical review required. Elevated probability of acute event within 90 days.</w:t>
            </w:r>
          </w:p>
        </w:tc>
      </w:tr>
      <w:tr>
        <w:tc>
          <w:tcPr>
            <w:tcW w:type="dxa" w:w="18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Borderline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50 – 69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Close monitoring recommended. Lifestyle and pharmacological intervention advised.</w:t>
            </w:r>
          </w:p>
        </w:tc>
      </w:tr>
      <w:tr>
        <w:tc>
          <w:tcPr>
            <w:tcW w:type="dxa" w:w="18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Stable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70 – 100</w:t>
            </w:r>
          </w:p>
        </w:tc>
        <w:tc>
          <w:tcPr>
            <w:tcW w:type="dxa" w:w="48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Parameters within acceptable clinical reference ranges. Routine follow-up sufficient.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4.2  3-Step Clinical Diagnostic Wizard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Doctors interact with a structured 3-step wizard to input patient parameters before triggering the AI diagnostic engine: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1 — Vitals: Heart rate, blood pressure (systolic/diastolic), SpO2, temperature, and respiratory rate via intuitive range sliders.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2 — Biomarkers: Fasting glucose, HbA1c, total cholesterol, LDL, eGFR, creatinine, BMI, and patient age via numeric input fields.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 3 — Clinical History: Smoking status, family cardiovascular history, and diabetes diagnosis via dropdown selectors.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Upon submission, the backend ML API computes all domain scores and returns a composite health score, risk tier, and recommended department for triage.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4.3  Pharma-Bot — AI Medical Assistant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Every portal includes an embedded conversational AI assistant (Pharma-Bot) powered by a large language model served via the OmniSensus ML API. Key capabilities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Health score interpretation in plain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Medication purpose, dosage, and interaction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Risk factor explanations (CVD, metabolic, renal)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Clinical term definitions and patient education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Session memory — the bot remembers the context of the conversation and provides continuity across multiple queries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bot falls back to a curated knowledge base when the live ML API is unavailable, ensuring 24/7 availability for patient and clinical queries.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4.4  PDF Diagnostic Report Generation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Doctors can generate formal clinical PDF reports for any patient directly from the platform. Each report contains: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Patient demographic and identification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Complete biomarker readings with clinical reference ranges and flag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Composite health score with domain breakdown (CVD, Metabolic, Renal)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AI-generated clinical recommendations and triage guidance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Barcode and QR code for laboratory record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Digital timestamping and model version metadata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Reports are stored against the patient record and are available for download by both the attending physician and the patient themselves.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4.5  Longitudinal Health Analytics (AI Lab)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AI Lab module provides physicians with a retrospective view of patient health over time: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Health Score Trend Chart — 6-month composite score plotted against a 70-point clinical target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Biomarker Trend Analysis — Fasting glucose and HbA1c visualised together to identify metabolic trajectory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Visit History Table — Every diagnostic run with date, visit type, scores, and domain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ARIMA Forecasting — Where sufficient historical data exists, the platform forecasts the next-visit health score using a time-series model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4.6  Administrative Intelligence Dashboard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Administrator Portal gives hospital management complete operational visibility: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Triage Monitor — Real-time table of all patients ranked by AI risk tier, score, and attending physician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Institutional Analytics — Weekly admission charts, risk distribution donut, CVD cohort trends, and HbA1c population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Model Accuracy Metrics — ROC curve, daily success rate trend, recent model failures, and population EDA statistics from the ML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System Audit Log — Live paginated stream of every database transaction, login event, and API call with role, IP, and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User Registry — Manage all institutional users (admins, doctors, patients) with role assignment and account suspension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Resource Allocation — Real-time bed occupancy across all wards and medical equipment utilisation tracking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5.  User Roles &amp; Access Control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OmniSensus enforces strict Role-Based Access Control (RBAC) through JWT authentication. Three primary roles exist: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4726"/>
      </w:tblGrid>
      <w:tr>
        <w:tc>
          <w:tcPr>
            <w:tcW w:type="dxa" w:w="18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Users</w:t>
            </w:r>
          </w:p>
        </w:tc>
        <w:tc>
          <w:tcPr>
            <w:tcW w:type="dxa" w:w="4726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Scope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Hospital management, IT staff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 platform access: triage, analytics, audit logs, user management, resource allocation, model performance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Doctor / Practitioner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Attending physicians, clinical staff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Diagnostic wizard, patient registry, longitudinal lab, report generation, appointment scheduling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Registered hospital patients</w:t>
            </w:r>
          </w:p>
        </w:tc>
        <w:tc>
          <w:tcPr>
            <w:tcW w:type="dxa" w:w="4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health dashboard, visit history, medications, appointment view, report downloads, Pharma-Bot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6.  Technical Architecture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OmniSensus is built on a distributed microservices architecture, separating frontend presentation, backend API logic, and ML inference into independently deployable services.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426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Deployment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Next.js 15, React, CSS (custom design system)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Netlify — omnisensus.tech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FastAPI (Python), JWT Auth, SQLAlchemy ORM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 — api.omnisensus.tech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ML API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Flask (Python), scikit-learn, XGBoost, ARIMA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Render — ml.omnisensus.tech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PostgreSQL (Neon serverless), bcrypt hashing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Neon Cloud — ap-southeast-1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Assistant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via ML API, session memory, intent classification</w:t>
            </w:r>
          </w:p>
        </w:tc>
        <w:tc>
          <w:tcPr>
            <w:tcW w:type="dxa" w:w="44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Proxied via Backend API</w:t>
            </w:r>
          </w:p>
        </w:tc>
      </w:tr>
    </w:tbl>
    <w:p>
      <w:pPr>
        <w:spacing w:before="20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6.1  Security &amp; Data Integrity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sessions are protected by signed JWT tokens with configurable expiry and automatic token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Passwords are hashed using bcrypt with a pinned version (4.0.1) to prevent known vulnerability exploits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API communication is encrypted via TLS 1.3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Role enforcement occurs at the API layer — frontend role checks are supplementary, not primary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Every database read, write, and login event is logged to the audit trail with IP address and timestamp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7.  Machine Learning Model Details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OmniSensus ML pipeline comprises three independently trained disease-specific models, each evaluated on a held-out test set using the OmniEvaluator class:</w:t>
      </w:r>
    </w:p>
    <w:p>
      <w:pPr>
        <w:spacing w:before="8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13"/>
        <w:gridCol w:w="2413"/>
      </w:tblGrid>
      <w:tr>
        <w:tc>
          <w:tcPr>
            <w:tcW w:type="dxa" w:w="22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Disease Model</w:t>
            </w:r>
          </w:p>
        </w:tc>
        <w:tc>
          <w:tcPr>
            <w:tcW w:type="dxa" w:w="22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Features</w:t>
            </w:r>
          </w:p>
        </w:tc>
        <w:tc>
          <w:tcPr>
            <w:tcW w:type="dxa" w:w="2213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Algorithm</w:t>
            </w:r>
          </w:p>
        </w:tc>
        <w:tc>
          <w:tcPr>
            <w:tcW w:type="dxa" w:w="2413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 (AUC-ROC)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Cardiovascular Disease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BP, HR, Cholesterol, LDL, Smoking, Family Hx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XGBoost + Framingham ensemble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0.963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Metabolic / Diabetes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HbA1c, Glucose, BMI, Diabetes status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Gradient Boosted Trees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0.912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Renal (CKD)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eGFR, Creatinine, BP, Glucose</w:t>
            </w:r>
          </w:p>
        </w:tc>
        <w:tc>
          <w:tcPr>
            <w:tcW w:type="dxa" w:w="22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CKD-EPI + MDRD regression</w:t>
            </w:r>
          </w:p>
        </w:tc>
        <w:tc>
          <w:tcPr>
            <w:tcW w:type="dxa" w:w="24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0.895</w:t>
            </w:r>
          </w:p>
        </w:tc>
      </w:tr>
    </w:tbl>
    <w:p>
      <w:pPr>
        <w:spacing w:before="160" w:after="8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models are evaluated with a lowered decision threshold of 0.35 (vs. the standard 0.5) to maximise clinical sensitivity — it is preferable to flag a false positive for urgent review than to miss a true critical case. The platform also exposes EDA (Exploratory Data Analysis) endpoints for administrators to monitor population-level biomarker distributions.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8.  Real-World Impact &amp; Value Proposition</w:t>
      </w:r>
    </w:p>
    <w:p>
      <w:pPr>
        <w:pBdr>
          <w:bottom w:val="single" w:color="10847E" w:sz="8" w:space="1"/>
        </w:pBdr>
        <w:spacing w:before="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8.1  For Hospitals &amp; Clinics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Reduces time-to-triage by automating risk classification, allowing staff to prioritise the most critical patients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Provides institutional analytics for quality improvement, resource planning, and compliance reporting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Enables non-specialist staff to perform preliminary screening with the same diagnostic accuracy as specialist assessment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8.2  For Doctors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Eliminates reliance on memory and manual calculation for complex multi-domain risk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Provides a longitudinal view that helps identify trends, treatment response, and disease progression over multiple visits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Reduces documentation burden with one-click PDF report generation containing all biomarker data and clinical recommendations</w:t>
      </w:r>
    </w:p>
    <w:p>
      <w:pPr>
        <w:spacing w:before="120"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D6E69"/>
          <w:sz w:val="28"/>
          <w:szCs w:val="28"/>
        </w:rPr>
        <w:t xml:space="preserve">8.3  For Patients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Provides clear, accessible information about their own health score, risk factors, and what the numbers mean in plain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Enables active participation in health management through medication tracking, appointment visibility, and AI-assisted health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Increases treatment adherence by demystifying clinical terminology through the Pharma-Bot interface</w:t>
      </w:r>
    </w:p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9.  Platform Navigation Overview</w:t>
      </w:r>
    </w:p>
    <w:p>
      <w:pPr>
        <w:pBdr>
          <w:bottom w:val="single" w:color="10847E" w:sz="8" w:space="1"/>
        </w:pBdr>
        <w:spacing w:before="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Portal</w:t>
            </w:r>
          </w:p>
        </w:tc>
        <w:tc>
          <w:tcPr>
            <w:tcW w:type="dxa" w:w="2200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 / Module</w:t>
            </w:r>
          </w:p>
        </w:tc>
        <w:tc>
          <w:tcPr>
            <w:tcW w:type="dxa" w:w="4626"/>
            <w:tcBorders>
              <w:top w:val="single" w:color="10847E" w:sz="1"/>
              <w:left w:val="single" w:color="10847E" w:sz="1"/>
              <w:bottom w:val="single" w:color="10847E" w:sz="1"/>
              <w:right w:val="single" w:color="10847E" w:sz="1"/>
            </w:tcBorders>
            <w:shd w:fill="1084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Triage Monitor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patient risk table sorted by AI severity score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Institutional charts: admissions, risk distribution, CVD, metabolic trends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Accuracy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ROC curve, success rate trend, failure events, EDA population stats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Audit Log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Paginated stream of all DB transactions and security events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 Registry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Manage all platform users with role assignment and status controls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Bed occupancy and equipment utilisation by ward and floor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Diagnostic Engine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3-step wizard for vitals, biomarkers, history — triggers ML scoring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Lab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Longitudinal charts and visit history per patient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 Patients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Searchable patient registry with risk filters and quick actions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Reports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and download AI clinical PDF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Doctor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Schedule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Appointment management with confirm, complete, and cancel actions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My Dashboard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Score ring, vitals, trend chart, medications, and appointments at a glance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Reports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Visit history and downloadable PDF reports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Active prescriptions with dosage, drug class, and due-soon alerts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6F3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Patient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Upcoming and historical appointment list with status tracking</w:t>
            </w:r>
          </w:p>
        </w:tc>
      </w:tr>
    </w:tbl>
    <w:p>
      <w:pPr>
        <w:spacing w:before="200"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0847E"/>
          <w:sz w:val="36"/>
          <w:szCs w:val="36"/>
        </w:rPr>
        <w:t xml:space="preserve">10.  Conclusion</w:t>
      </w:r>
    </w:p>
    <w:p>
      <w:pPr>
        <w:pBdr>
          <w:bottom w:val="single" w:color="10847E" w:sz="8" w:space="1"/>
        </w:pBdr>
        <w:spacing w:before="0" w:after="200"/>
      </w:pP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OmniSensus Medical represents a meaningful step forward in the application of artificial intelligence to routine clinical practice. By combining multi-domain ML risk scoring, longitudinal health analytics, conversational AI assistance, and a role-aware multi-portal interface, the platform addresses real and pressing problems in modern healthcare delivery.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The product is not designed to replace clinical judgement — it is designed to augment it. By surfacing the right information at the right time in the right format, OmniSensus enables doctors to make faster, better-informed decisions; administrators to manage institutions with greater operational clarity; and patients to engage meaningfully with their own health data.</w:t>
      </w:r>
    </w:p>
    <w:p>
      <w:pPr>
        <w:spacing w:before="60"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With a fully deployed cloud infrastructure, a trained ML model suite achieving AUC-ROC scores above 0.89 across all disease domains, and a complete user-facing application accessible at omnisensus.tech, OmniSensus Medical is a production-ready clinical intelligence platform built for the realities of contemporary healthcare.</w:t>
      </w:r>
    </w:p>
    <w:p>
      <w:pPr>
        <w:pBdr>
          <w:top w:val="single" w:color="10847E" w:sz="2"/>
          <w:bottom w:val="single" w:color="10847E" w:sz="2"/>
        </w:pBdr>
        <w:shd w:fill="E6F3F2" w:val="clear"/>
        <w:spacing w:before="400" w:after="160"/>
        <w:jc w:val="center"/>
      </w:pPr>
      <w:r>
        <w:rPr>
          <w:rFonts w:ascii="Arial" w:cs="Arial" w:eastAsia="Arial" w:hAnsi="Arial"/>
          <w:b/>
          <w:bCs/>
          <w:color w:val="10847E"/>
          <w:sz w:val="18"/>
          <w:szCs w:val="18"/>
        </w:rPr>
        <w:t xml:space="preserve">OmniSensus Medical  |  omnisensus.tech  |  © 2026 Parth Vadodariya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tabs>
        <w:tab w:val="right" w:pos="8748"/>
      </w:tabs>
      <w:spacing w:before="160" w:after="0"/>
    </w:pPr>
    <w:r>
      <w:rPr>
        <w:rFonts w:ascii="Arial" w:cs="Arial" w:eastAsia="Arial" w:hAnsi="Arial"/>
        <w:color w:val="6B7280"/>
        <w:sz w:val="16"/>
        <w:szCs w:val="16"/>
      </w:rPr>
      <w:t xml:space="preserve">© 2026 OmniSensus Medical. All rights reserved.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847E" w:sz="6" w:space="4"/>
      </w:pBdr>
      <w:tabs>
        <w:tab w:val="right" w:pos="8748"/>
      </w:tabs>
      <w:spacing w:before="0" w:after="160"/>
    </w:pPr>
    <w:r>
      <w:rPr>
        <w:rFonts w:ascii="Arial" w:cs="Arial" w:eastAsia="Arial" w:hAnsi="Arial"/>
        <w:color w:val="6B7280"/>
        <w:sz w:val="18"/>
        <w:szCs w:val="18"/>
      </w:rPr>
      <w:t xml:space="preserve">OmniSensus Medical  |  Product Overview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0847E"/>
        <w:sz w:val="18"/>
        <w:szCs w:val="18"/>
      </w:rPr>
      <w:t xml:space="preserve">Confidential —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color w:val="10847E"/>
        <w:sz w:val="20"/>
        <w:szCs w:val="20"/>
      </w:rPr>
    </w:lvl>
    <w:lvl w:ilvl="1" w15:tentative="1">
      <w:start w:val="1"/>
      <w:numFmt w:val="bullet"/>
      <w:lvlText w:val="◦"/>
      <w:lvlJc w:val="left"/>
      <w:pPr>
        <w:ind w:left="1020" w:hanging="300"/>
      </w:pPr>
      <w:rPr>
        <w:rFonts w:ascii="Arial" w:cs="Arial" w:eastAsia="Arial" w:hAnsi="Arial"/>
        <w:color w:val="6B728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0847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0D6E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2026-03-23T02:54:06.223Z</dcterms:created>
  <dcterms:modified xsi:type="dcterms:W3CDTF">2026-03-23T02:54:06.224Z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