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1970"/>
          <w:sz w:val="48"/>
        </w:rPr>
        <w:t>FY2025 Sales Analysis</w:t>
      </w:r>
    </w:p>
    <w:p>
      <w:pPr>
        <w:jc w:val="center"/>
      </w:pPr>
      <w:r>
        <w:rPr>
          <w:i/>
          <w:sz w:val="28"/>
        </w:rPr>
        <w:t>Data Story &amp; Hypothesis Testing Summary</w:t>
      </w:r>
    </w:p>
    <w:p>
      <w:pPr>
        <w:jc w:val="center"/>
      </w:pPr>
      <w:r>
        <w:rPr>
          <w:color w:val="808080"/>
          <w:sz w:val="20"/>
        </w:rPr>
        <w:t>ApexPlanet Data Analytics Internship | Task 4</w:t>
        <w:br/>
        <w:t>Author: Parth Varute | Date: 2026</w:t>
      </w:r>
    </w:p>
    <w:p/>
    <w:p>
      <w:pPr>
        <w:pStyle w:val="Heading1"/>
      </w:pPr>
      <w:r>
        <w:t>Executive Summary</w:t>
      </w:r>
    </w:p>
    <w:p>
      <w:r>
        <w:t>This analysis examines twelve months of transaction data (1,000 orders, Jan 2025–Jan 2026) across 8 cities, 5 categories, and 6 products. Using statistical hypothesis testing at 95% confidence level (α = 0.05), we validate key findings and provide actionable business recommendations.</w:t>
      </w:r>
    </w:p>
    <w:p>
      <w:pPr>
        <w:pStyle w:val="Heading2"/>
      </w:pPr>
      <w:r>
        <w:t>Headline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</w:tcPr>
          <w:p>
            <w:r>
              <w:t>Metric</w:t>
            </w:r>
          </w:p>
        </w:tc>
        <w:tc>
          <w:tcPr>
            <w:tcW w:type="dxa" w:w="5040"/>
            <w:shd w:fill="D9E8F5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Total Revenue</w:t>
            </w:r>
          </w:p>
        </w:tc>
        <w:tc>
          <w:tcPr>
            <w:tcW w:type="dxa" w:w="5040"/>
          </w:tcPr>
          <w:p>
            <w:r>
              <w:t>Rs 13.94 Crore (Rs 139,399,439.65)</w:t>
            </w:r>
          </w:p>
        </w:tc>
      </w:tr>
      <w:tr>
        <w:tc>
          <w:tcPr>
            <w:tcW w:type="dxa" w:w="5040"/>
          </w:tcPr>
          <w:p>
            <w:r>
              <w:t>Total Orders</w:t>
            </w:r>
          </w:p>
        </w:tc>
        <w:tc>
          <w:tcPr>
            <w:tcW w:type="dxa" w:w="5040"/>
          </w:tcPr>
          <w:p>
            <w:r>
              <w:t>1,000</w:t>
            </w:r>
          </w:p>
        </w:tc>
      </w:tr>
      <w:tr>
        <w:tc>
          <w:tcPr>
            <w:tcW w:type="dxa" w:w="5040"/>
          </w:tcPr>
          <w:p>
            <w:r>
              <w:t>Average Order Value</w:t>
            </w:r>
          </w:p>
        </w:tc>
        <w:tc>
          <w:tcPr>
            <w:tcW w:type="dxa" w:w="5040"/>
          </w:tcPr>
          <w:p>
            <w:r>
              <w:t>Rs 139,399</w:t>
            </w:r>
          </w:p>
        </w:tc>
      </w:tr>
      <w:tr>
        <w:tc>
          <w:tcPr>
            <w:tcW w:type="dxa" w:w="5040"/>
          </w:tcPr>
          <w:p>
            <w:r>
              <w:t>Unique Customers</w:t>
            </w:r>
          </w:p>
        </w:tc>
        <w:tc>
          <w:tcPr>
            <w:tcW w:type="dxa" w:w="5040"/>
          </w:tcPr>
          <w:p>
            <w:r>
              <w:t>947</w:t>
            </w:r>
          </w:p>
        </w:tc>
      </w:tr>
      <w:tr>
        <w:tc>
          <w:tcPr>
            <w:tcW w:type="dxa" w:w="5040"/>
          </w:tcPr>
          <w:p>
            <w:r>
              <w:t>Repeat Customers</w:t>
            </w:r>
          </w:p>
        </w:tc>
        <w:tc>
          <w:tcPr>
            <w:tcW w:type="dxa" w:w="5040"/>
          </w:tcPr>
          <w:p>
            <w:r>
              <w:t>52 (5.2%)</w:t>
            </w:r>
          </w:p>
        </w:tc>
      </w:tr>
    </w:tbl>
    <w:p/>
    <w:p>
      <w:pPr>
        <w:pStyle w:val="Heading2"/>
      </w:pPr>
      <w:r>
        <w:t>Key Insights from Data</w:t>
      </w:r>
    </w:p>
    <w:p>
      <w:pPr>
        <w:pStyle w:val="ListBullet"/>
      </w:pPr>
      <w:r>
        <w:rPr>
          <w:b/>
        </w:rPr>
        <w:t xml:space="preserve">Electronics Dominance: </w:t>
      </w:r>
      <w:r>
        <w:t>Electronics generates Rs 5.08 Cr (36.4% of revenue) from 354 orders. Laptop and Mobile are top products.</w:t>
      </w:r>
    </w:p>
    <w:p>
      <w:pPr>
        <w:pStyle w:val="ListBullet"/>
      </w:pPr>
      <w:r>
        <w:rPr>
          <w:b/>
        </w:rPr>
        <w:t xml:space="preserve">Geographic Balance: </w:t>
      </w:r>
      <w:r>
        <w:t>Revenue well-distributed. Gap between top and bottom city is only 31%.</w:t>
      </w:r>
    </w:p>
    <w:p>
      <w:pPr>
        <w:pStyle w:val="ListBullet"/>
      </w:pPr>
      <w:r>
        <w:rPr>
          <w:b/>
        </w:rPr>
        <w:t xml:space="preserve">Stable Monthly Revenue: </w:t>
      </w:r>
      <w:r>
        <w:t>Peaks in March, dips in Aug-Sep due to lower order volume, not AOV.</w:t>
      </w:r>
    </w:p>
    <w:p>
      <w:pPr>
        <w:pStyle w:val="ListBullet"/>
      </w:pPr>
      <w:r>
        <w:rPr>
          <w:b/>
        </w:rPr>
        <w:t xml:space="preserve">Weak Retention: </w:t>
      </w:r>
      <w:r>
        <w:t>Only 5.2% of customers repeat. Largest single growth opportunity.</w:t>
      </w:r>
    </w:p>
    <w:p/>
    <w:p>
      <w:pPr>
        <w:pStyle w:val="Heading1"/>
      </w:pPr>
      <w:r>
        <w:t>Hypothesis Testing Framework</w:t>
      </w:r>
    </w:p>
    <w:p>
      <w:r>
        <w:t>Five hypotheses tested at alpha = 0.05 (95% confidence). See detailed sections below for methodology, results, and implications.</w:t>
      </w:r>
    </w:p>
    <w:p/>
    <w:p>
      <w:pPr>
        <w:pStyle w:val="Heading2"/>
      </w:pPr>
      <w:r>
        <w:t>PRIMARY: Gender vs. Electronics Purchase Rate</w:t>
      </w:r>
    </w:p>
    <w:p>
      <w:r>
        <w:rPr>
          <w:b/>
        </w:rPr>
        <w:t xml:space="preserve">Status: </w:t>
      </w:r>
      <w:r>
        <w:rPr>
          <w:color w:val="228B22"/>
        </w:rPr>
        <w:t>STATISTICALLY SIGNIFICANT</w:t>
      </w:r>
      <w:r>
        <w:t xml:space="preserve"> (p = 0.0457)</w:t>
      </w:r>
    </w:p>
    <w:p>
      <w:pPr>
        <w:pStyle w:val="ListBullet"/>
      </w:pPr>
      <w:r>
        <w:t>Test Type: Two-Proportion Z-Test</w:t>
      </w:r>
    </w:p>
    <w:p>
      <w:pPr>
        <w:pStyle w:val="ListBullet"/>
      </w:pPr>
      <w:r>
        <w:t>Male Electronics Rate: 196/511 = 38.4%</w:t>
      </w:r>
    </w:p>
    <w:p>
      <w:pPr>
        <w:pStyle w:val="ListBullet"/>
      </w:pPr>
      <w:r>
        <w:t>Female Electronics Rate: 158/489 = 32.3%</w:t>
      </w:r>
    </w:p>
    <w:p>
      <w:pPr>
        <w:pStyle w:val="ListBullet"/>
      </w:pPr>
      <w:r>
        <w:t>Difference: 6.1 percentage points</w:t>
      </w:r>
    </w:p>
    <w:p>
      <w:pPr>
        <w:pStyle w:val="ListBullet"/>
      </w:pPr>
      <w:r>
        <w:t>Z-Statistic: 1.9983</w:t>
      </w:r>
    </w:p>
    <w:p>
      <w:pPr>
        <w:pStyle w:val="ListBullet"/>
      </w:pPr>
      <w:r>
        <w:t>P-Value: 0.0457</w:t>
      </w:r>
    </w:p>
    <w:p/>
    <w:p>
      <w:r>
        <w:rPr>
          <w:b/>
        </w:rPr>
        <w:t xml:space="preserve">Business Conclusion: </w:t>
      </w:r>
      <w:r>
        <w:t>Gender differences in Electronics purchasing are real and statistically significant. Pilot a gender-targeted campaign via A/B test BEFORE scaling investment.</w:t>
      </w:r>
    </w:p>
    <w:p/>
    <w:p/>
    <w:p>
      <w:pPr>
        <w:pStyle w:val="Heading2"/>
      </w:pPr>
      <w:r>
        <w:t>SUPPORTING TESTS: 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8F5"/>
          </w:tcPr>
          <w:p>
            <w:r>
              <w:t>Hypothesis</w:t>
            </w:r>
          </w:p>
        </w:tc>
        <w:tc>
          <w:tcPr>
            <w:tcW w:type="dxa" w:w="2520"/>
            <w:shd w:fill="D9E8F5"/>
          </w:tcPr>
          <w:p>
            <w:r>
              <w:t>Test</w:t>
            </w:r>
          </w:p>
        </w:tc>
        <w:tc>
          <w:tcPr>
            <w:tcW w:type="dxa" w:w="2520"/>
            <w:shd w:fill="D9E8F5"/>
          </w:tcPr>
          <w:p>
            <w:r>
              <w:t>Statistic</w:t>
            </w:r>
          </w:p>
        </w:tc>
        <w:tc>
          <w:tcPr>
            <w:tcW w:type="dxa" w:w="2520"/>
            <w:shd w:fill="D9E8F5"/>
          </w:tcPr>
          <w:p>
            <w:r>
              <w:t>P-Value</w:t>
            </w:r>
          </w:p>
        </w:tc>
      </w:tr>
      <w:tr>
        <w:tc>
          <w:tcPr>
            <w:tcW w:type="dxa" w:w="2520"/>
          </w:tcPr>
          <w:p>
            <w:r>
              <w:t>AOV by Gender</w:t>
            </w:r>
          </w:p>
        </w:tc>
        <w:tc>
          <w:tcPr>
            <w:tcW w:type="dxa" w:w="2520"/>
          </w:tcPr>
          <w:p>
            <w:r>
              <w:t>Welch's t-test</w:t>
            </w:r>
          </w:p>
        </w:tc>
        <w:tc>
          <w:tcPr>
            <w:tcW w:type="dxa" w:w="2520"/>
          </w:tcPr>
          <w:p>
            <w:r>
              <w:t>t=0.68</w:t>
            </w:r>
          </w:p>
        </w:tc>
        <w:tc>
          <w:tcPr>
            <w:tcW w:type="dxa" w:w="2520"/>
          </w:tcPr>
          <w:p>
            <w:r>
              <w:t>0.495</w:t>
            </w:r>
          </w:p>
        </w:tc>
      </w:tr>
      <w:tr>
        <w:tc>
          <w:tcPr>
            <w:tcW w:type="dxa" w:w="2520"/>
          </w:tcPr>
          <w:p>
            <w:r>
              <w:t>AOV Weekday vs Weekend</w:t>
            </w:r>
          </w:p>
        </w:tc>
        <w:tc>
          <w:tcPr>
            <w:tcW w:type="dxa" w:w="2520"/>
          </w:tcPr>
          <w:p>
            <w:r>
              <w:t>Welch's t-test</w:t>
            </w:r>
          </w:p>
        </w:tc>
        <w:tc>
          <w:tcPr>
            <w:tcW w:type="dxa" w:w="2520"/>
          </w:tcPr>
          <w:p>
            <w:r>
              <w:t>t=1.09</w:t>
            </w:r>
          </w:p>
        </w:tc>
        <w:tc>
          <w:tcPr>
            <w:tcW w:type="dxa" w:w="2520"/>
          </w:tcPr>
          <w:p>
            <w:r>
              <w:t>0.276</w:t>
            </w:r>
          </w:p>
        </w:tc>
      </w:tr>
      <w:tr>
        <w:tc>
          <w:tcPr>
            <w:tcW w:type="dxa" w:w="2520"/>
          </w:tcPr>
          <w:p>
            <w:r>
              <w:t>AOV Electronics vs Grocery</w:t>
            </w:r>
          </w:p>
        </w:tc>
        <w:tc>
          <w:tcPr>
            <w:tcW w:type="dxa" w:w="2520"/>
          </w:tcPr>
          <w:p>
            <w:r>
              <w:t>Welch's t-test</w:t>
            </w:r>
          </w:p>
        </w:tc>
        <w:tc>
          <w:tcPr>
            <w:tcW w:type="dxa" w:w="2520"/>
          </w:tcPr>
          <w:p>
            <w:r>
              <w:t>t=-0.17</w:t>
            </w:r>
          </w:p>
        </w:tc>
        <w:tc>
          <w:tcPr>
            <w:tcW w:type="dxa" w:w="2520"/>
          </w:tcPr>
          <w:p>
            <w:r>
              <w:t>0.868</w:t>
            </w:r>
          </w:p>
        </w:tc>
      </w:tr>
      <w:tr>
        <w:tc>
          <w:tcPr>
            <w:tcW w:type="dxa" w:w="2520"/>
          </w:tcPr>
          <w:p>
            <w:r>
              <w:t>City &amp; Category Association</w:t>
            </w:r>
          </w:p>
        </w:tc>
        <w:tc>
          <w:tcPr>
            <w:tcW w:type="dxa" w:w="2520"/>
          </w:tcPr>
          <w:p>
            <w:r>
              <w:t>Chi-squared</w:t>
            </w:r>
          </w:p>
        </w:tc>
        <w:tc>
          <w:tcPr>
            <w:tcW w:type="dxa" w:w="2520"/>
          </w:tcPr>
          <w:p>
            <w:r>
              <w:t>X2=34.15</w:t>
            </w:r>
          </w:p>
        </w:tc>
        <w:tc>
          <w:tcPr>
            <w:tcW w:type="dxa" w:w="2520"/>
          </w:tcPr>
          <w:p>
            <w:r>
              <w:t>0.196</w:t>
            </w:r>
          </w:p>
        </w:tc>
      </w:tr>
      <w:tr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/>
    <w:p>
      <w:r>
        <w:rPr>
          <w:b/>
        </w:rPr>
        <w:t xml:space="preserve">Key Finding: </w:t>
      </w:r>
      <w:r>
        <w:t>All supporting tests showed NO significant differences. Order value is consistent across genders, day-types, and categories. This means unified pricing and promotions are appropriate.</w:t>
      </w:r>
    </w:p>
    <w:p/>
    <w:p/>
    <w:p>
      <w:pPr>
        <w:pStyle w:val="Heading1"/>
      </w:pPr>
      <w:r>
        <w:t>Statistical Methodology</w:t>
      </w:r>
    </w:p>
    <w:p>
      <w:pPr>
        <w:pStyle w:val="ListBullet"/>
      </w:pPr>
      <w:r>
        <w:t>Tests conducted using Python (scipy.stats, statsmodels)</w:t>
      </w:r>
    </w:p>
    <w:p>
      <w:pPr>
        <w:pStyle w:val="ListBullet"/>
      </w:pPr>
      <w:r>
        <w:t>Confidence Level: 95% (alpha = 0.05)</w:t>
      </w:r>
    </w:p>
    <w:p>
      <w:pPr>
        <w:pStyle w:val="ListBullet"/>
      </w:pPr>
      <w:r>
        <w:t>Two-proportion Z-Test: For gender vs Electronics comparison</w:t>
      </w:r>
    </w:p>
    <w:p>
      <w:pPr>
        <w:pStyle w:val="ListBullet"/>
      </w:pPr>
      <w:r>
        <w:t>Welch's t-test: For AOV comparisons (unequal variances)</w:t>
      </w:r>
    </w:p>
    <w:p>
      <w:pPr>
        <w:pStyle w:val="ListBullet"/>
      </w:pPr>
      <w:r>
        <w:t>Chi-squared Test: For categorical associations</w:t>
      </w:r>
    </w:p>
    <w:p/>
    <w:p>
      <w:pPr>
        <w:pStyle w:val="Heading1"/>
      </w:pPr>
      <w:r>
        <w:t>Business Recommendations</w:t>
      </w:r>
    </w:p>
    <w:p>
      <w:pPr>
        <w:pStyle w:val="ListNumber"/>
      </w:pPr>
      <w:r>
        <w:t xml:space="preserve">1. </w:t>
      </w:r>
      <w:r>
        <w:rPr>
          <w:b/>
        </w:rPr>
        <w:t xml:space="preserve">PROTECT CORE BUSINESS: </w:t>
      </w:r>
      <w:r>
        <w:t>Electronics &amp; Education = 54% revenue. Prioritize supply chain and service.</w:t>
      </w:r>
    </w:p>
    <w:p>
      <w:pPr>
        <w:pStyle w:val="ListNumber"/>
      </w:pPr>
      <w:r>
        <w:t xml:space="preserve">2. </w:t>
      </w:r>
      <w:r>
        <w:rPr>
          <w:b/>
        </w:rPr>
        <w:t xml:space="preserve">TEST BEFORE SCALING: </w:t>
      </w:r>
      <w:r>
        <w:t>Pilot gender-targeted Electronics campaign via A/B test. Do NOT scale until validated.</w:t>
      </w:r>
    </w:p>
    <w:p>
      <w:pPr>
        <w:pStyle w:val="ListNumber"/>
      </w:pPr>
      <w:r>
        <w:t xml:space="preserve">3. </w:t>
      </w:r>
      <w:r>
        <w:rPr>
          <w:b/>
        </w:rPr>
        <w:t xml:space="preserve">UNIFY PRICING: </w:t>
      </w:r>
      <w:r>
        <w:t>AOV consistent across all segments. Maintain unified pricing strategy.</w:t>
      </w:r>
    </w:p>
    <w:p>
      <w:pPr>
        <w:pStyle w:val="ListNumber"/>
      </w:pPr>
      <w:r>
        <w:t xml:space="preserve">4. </w:t>
      </w:r>
      <w:r>
        <w:rPr>
          <w:b/>
        </w:rPr>
        <w:t xml:space="preserve">GEOGRAPHIC EXPANSION: </w:t>
      </w:r>
      <w:r>
        <w:t>No regional preferences detected. Expand with consistent product mix.</w:t>
      </w:r>
    </w:p>
    <w:p>
      <w:pPr>
        <w:pStyle w:val="ListNumber"/>
      </w:pPr>
      <w:r>
        <w:t xml:space="preserve">5. </w:t>
      </w:r>
      <w:r>
        <w:rPr>
          <w:b/>
        </w:rPr>
        <w:t xml:space="preserve">FIX RETENTION GAP (CRITICAL): </w:t>
      </w:r>
      <w:r>
        <w:t>Only 5.2% repeat rate. Highest leverage: loyalty program + win-back campaign.</w:t>
      </w:r>
    </w:p>
    <w:p>
      <w:pPr>
        <w:pStyle w:val="ListNumber"/>
      </w:pPr>
      <w:r>
        <w:t xml:space="preserve">6. </w:t>
      </w:r>
      <w:r>
        <w:rPr>
          <w:b/>
        </w:rPr>
        <w:t xml:space="preserve">OPTIMIZE SEASONALITY: </w:t>
      </w:r>
      <w:r>
        <w:t>Aug-Sep dip driven by order volume. Review Q3 promotional strategy.</w:t>
      </w:r>
    </w:p>
    <w:p/>
    <w:p/>
    <w:p>
      <w:pPr>
        <w:pStyle w:val="Heading1"/>
      </w:pPr>
      <w:r>
        <w:t>Conclusion</w:t>
      </w:r>
    </w:p>
    <w:p>
      <w:r>
        <w:t>The business has a healthy, diversified revenue base concentrated in Electronics and Education. Statistical analysis confirms that gender differences in Electronics purchasing are real and actionable. However, the single highest-impact opportunity is customer retention: converting 94.8% of single-purchase customers into repeat buyers through loyalty initiatives will generate exponentially more value than any demographic targeting strategy.</w:t>
      </w:r>
    </w:p>
    <w:p/>
    <w:p>
      <w:pPr>
        <w:jc w:val="center"/>
      </w:pPr>
      <w:r>
        <w:rPr>
          <w:i/>
          <w:color w:val="808080"/>
          <w:sz w:val="20"/>
        </w:rPr>
        <w:t>— END OF REPORT —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