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p>
    <w:p>
      <w:r/>
    </w:p>
    <w:p>
      <w:pPr>
        <w:pStyle w:val="Heading1"/>
      </w:pPr>
      <w:r>
        <w:t>Livre Nova - version officielle V1.6 intégrée</w:t>
      </w:r>
    </w:p>
    <w:p>
      <w:pPr>
        <w:spacing w:after="120"/>
      </w:pPr>
      <w:r>
        <w:t>Le Québec doit reprendre le contrôle de son avenir, et le peuple doit reprendre le contrôle de l’État.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6EEF2"/>
          </w:tcPr>
          <w:p>
            <w:r/>
            <w:r>
              <w:rPr>
                <w:b w:val="0"/>
                <w:color w:val="000000"/>
                <w:sz w:val="18"/>
              </w:rPr>
              <w:t>Nom</w:t>
            </w:r>
          </w:p>
        </w:tc>
        <w:tc>
          <w:tcPr>
            <w:tcW w:type="dxa" w:w="5040"/>
            <w:vAlign w:val="center"/>
          </w:tcPr>
          <w:p>
            <w:r/>
            <w:r>
              <w:rPr>
                <w:b w:val="0"/>
                <w:color w:val="000000"/>
                <w:sz w:val="18"/>
              </w:rPr>
              <w:t>Livre Nova</w:t>
            </w:r>
          </w:p>
        </w:tc>
      </w:tr>
      <w:tr>
        <w:tc>
          <w:tcPr>
            <w:tcW w:type="dxa" w:w="5040"/>
            <w:vAlign w:val="center"/>
            <w:shd w:fill="E6EEF2"/>
          </w:tcPr>
          <w:p>
            <w:r/>
            <w:r>
              <w:rPr>
                <w:b w:val="0"/>
                <w:color w:val="000000"/>
                <w:sz w:val="18"/>
              </w:rPr>
              <w:t>Version</w:t>
            </w:r>
          </w:p>
        </w:tc>
        <w:tc>
          <w:tcPr>
            <w:tcW w:type="dxa" w:w="5040"/>
            <w:vAlign w:val="center"/>
          </w:tcPr>
          <w:p>
            <w:r/>
            <w:r>
              <w:rPr>
                <w:b w:val="0"/>
                <w:color w:val="000000"/>
                <w:sz w:val="18"/>
              </w:rPr>
              <w:t>1.3 - intégration directe auditée et corrigée</w:t>
            </w:r>
          </w:p>
        </w:tc>
      </w:tr>
      <w:tr>
        <w:tc>
          <w:tcPr>
            <w:tcW w:type="dxa" w:w="5040"/>
            <w:vAlign w:val="center"/>
            <w:shd w:fill="E6EEF2"/>
          </w:tcPr>
          <w:p>
            <w:r/>
            <w:r>
              <w:rPr>
                <w:b w:val="0"/>
                <w:color w:val="000000"/>
                <w:sz w:val="18"/>
              </w:rPr>
              <w:t>Couleur principale</w:t>
            </w:r>
          </w:p>
        </w:tc>
        <w:tc>
          <w:tcPr>
            <w:tcW w:type="dxa" w:w="5040"/>
            <w:vAlign w:val="center"/>
          </w:tcPr>
          <w:p>
            <w:r/>
            <w:r>
              <w:rPr>
                <w:b w:val="0"/>
                <w:color w:val="000000"/>
                <w:sz w:val="18"/>
              </w:rPr>
              <w:t>Turquoise Nova #00A6A6</w:t>
            </w:r>
          </w:p>
        </w:tc>
      </w:tr>
      <w:tr>
        <w:tc>
          <w:tcPr>
            <w:tcW w:type="dxa" w:w="5040"/>
            <w:vAlign w:val="center"/>
            <w:shd w:fill="E6EEF2"/>
          </w:tcPr>
          <w:p>
            <w:r/>
            <w:r>
              <w:rPr>
                <w:b w:val="0"/>
                <w:color w:val="000000"/>
                <w:sz w:val="18"/>
              </w:rPr>
              <w:t>Couleur institutionnelle</w:t>
            </w:r>
          </w:p>
        </w:tc>
        <w:tc>
          <w:tcPr>
            <w:tcW w:type="dxa" w:w="5040"/>
            <w:vAlign w:val="center"/>
          </w:tcPr>
          <w:p>
            <w:r/>
            <w:r>
              <w:rPr>
                <w:b w:val="0"/>
                <w:color w:val="000000"/>
                <w:sz w:val="18"/>
              </w:rPr>
              <w:t>Bleu nuit #0B1F33</w:t>
            </w:r>
          </w:p>
        </w:tc>
      </w:tr>
      <w:tr>
        <w:tc>
          <w:tcPr>
            <w:tcW w:type="dxa" w:w="5040"/>
            <w:vAlign w:val="center"/>
            <w:shd w:fill="E6EEF2"/>
          </w:tcPr>
          <w:p>
            <w:r/>
            <w:r>
              <w:rPr>
                <w:b w:val="0"/>
                <w:color w:val="000000"/>
                <w:sz w:val="18"/>
              </w:rPr>
              <w:t>Statut</w:t>
            </w:r>
          </w:p>
        </w:tc>
        <w:tc>
          <w:tcPr>
            <w:tcW w:type="dxa" w:w="5040"/>
            <w:vAlign w:val="center"/>
          </w:tcPr>
          <w:p>
            <w:r/>
            <w:r>
              <w:rPr>
                <w:b w:val="0"/>
                <w:color w:val="000000"/>
                <w:sz w:val="18"/>
              </w:rPr>
              <w:t>Document public de doctrine, programme et gouvernance</w:t>
            </w:r>
          </w:p>
        </w:tc>
      </w:tr>
      <w:tr>
        <w:tc>
          <w:tcPr>
            <w:tcW w:type="dxa" w:w="5040"/>
            <w:vAlign w:val="center"/>
            <w:shd w:fill="E6EEF2"/>
          </w:tcPr>
          <w:p>
            <w:r/>
            <w:r>
              <w:rPr>
                <w:b w:val="0"/>
                <w:color w:val="000000"/>
                <w:sz w:val="18"/>
              </w:rPr>
              <w:t>Portée</w:t>
            </w:r>
          </w:p>
        </w:tc>
        <w:tc>
          <w:tcPr>
            <w:tcW w:type="dxa" w:w="5040"/>
            <w:vAlign w:val="center"/>
          </w:tcPr>
          <w:p>
            <w:r/>
            <w:r>
              <w:rPr>
                <w:b w:val="0"/>
                <w:color w:val="000000"/>
                <w:sz w:val="18"/>
              </w:rPr>
              <w:t>Ne remplace pas les formulaires officiels ni les avis juridiques requis</w:t>
            </w:r>
          </w:p>
        </w:tc>
      </w:tr>
    </w:tbl>
    <w:p/>
    <w:p>
      <w:pPr>
        <w:pStyle w:val="Heading1"/>
      </w:pPr>
      <w:r>
        <w:t>Table des matières générale</w:t>
      </w:r>
    </w:p>
    <w:p>
      <w:pPr>
        <w:spacing w:after="120"/>
      </w:pPr>
      <w:r>
        <w:t>1. Le constat national</w:t>
      </w:r>
    </w:p>
    <w:p>
      <w:pPr>
        <w:spacing w:after="120"/>
      </w:pPr>
      <w:r>
        <w:t>2. La mission Nova</w:t>
      </w:r>
    </w:p>
    <w:p>
      <w:pPr>
        <w:spacing w:after="120"/>
      </w:pPr>
      <w:r>
        <w:t>3. La méthode: auditer, publier, corriger</w:t>
      </w:r>
    </w:p>
    <w:p>
      <w:pPr>
        <w:spacing w:after="120"/>
      </w:pPr>
      <w:r>
        <w:t>4. Ce que Nova refuse</w:t>
      </w:r>
    </w:p>
    <w:p>
      <w:pPr>
        <w:spacing w:after="120"/>
      </w:pPr>
      <w:r>
        <w:t>5. Le pacte citoyen</w:t>
      </w:r>
    </w:p>
    <w:p>
      <w:pPr>
        <w:spacing w:after="120"/>
      </w:pPr>
      <w:r>
        <w:t>6. Souveraineté populaire</w:t>
      </w:r>
    </w:p>
    <w:p>
      <w:pPr>
        <w:spacing w:after="120"/>
      </w:pPr>
      <w:r>
        <w:t>7. Autorité électorale indépendante</w:t>
      </w:r>
    </w:p>
    <w:p>
      <w:pPr>
        <w:spacing w:after="120"/>
      </w:pPr>
      <w:r>
        <w:t>8. Référendums et initiatives citoyennes</w:t>
      </w:r>
    </w:p>
    <w:p>
      <w:pPr>
        <w:spacing w:after="120"/>
      </w:pPr>
      <w:r>
        <w:t>9. Révocation encadrée des élus</w:t>
      </w:r>
    </w:p>
    <w:p>
      <w:pPr>
        <w:spacing w:after="120"/>
      </w:pPr>
      <w:r>
        <w:t>10. Nominations sensibles indépendantes</w:t>
      </w:r>
    </w:p>
    <w:p>
      <w:pPr>
        <w:spacing w:after="120"/>
      </w:pPr>
      <w:r>
        <w:t>11. État simple et efficace</w:t>
      </w:r>
    </w:p>
    <w:p>
      <w:pPr>
        <w:spacing w:after="120"/>
      </w:pPr>
      <w:r>
        <w:t>12. Dépenses publiques et taxes cachées</w:t>
      </w:r>
    </w:p>
    <w:p>
      <w:pPr>
        <w:spacing w:after="120"/>
      </w:pPr>
      <w:r>
        <w:t>13. Financement public strictement public</w:t>
      </w:r>
    </w:p>
    <w:p>
      <w:pPr>
        <w:spacing w:after="120"/>
      </w:pPr>
      <w:r>
        <w:t>14. Contrats publics et anticorruption</w:t>
      </w:r>
    </w:p>
    <w:p>
      <w:pPr>
        <w:spacing w:after="120"/>
      </w:pPr>
      <w:r>
        <w:t>15. Code de conduite</w:t>
      </w:r>
    </w:p>
    <w:p>
      <w:pPr>
        <w:spacing w:after="120"/>
      </w:pPr>
      <w:r>
        <w:t>16. Santé</w:t>
      </w:r>
    </w:p>
    <w:p>
      <w:pPr>
        <w:spacing w:after="120"/>
      </w:pPr>
      <w:r>
        <w:t>17. Éducation</w:t>
      </w:r>
    </w:p>
    <w:p>
      <w:pPr>
        <w:spacing w:after="120"/>
      </w:pPr>
      <w:r>
        <w:t>18. Logement essentiel</w:t>
      </w:r>
    </w:p>
    <w:p>
      <w:pPr>
        <w:spacing w:after="120"/>
      </w:pPr>
      <w:r>
        <w:t>19. Familles, aînés et vulnérables</w:t>
      </w:r>
    </w:p>
    <w:p>
      <w:pPr>
        <w:spacing w:after="120"/>
      </w:pPr>
      <w:r>
        <w:t>20. Accès humain aux services</w:t>
      </w:r>
    </w:p>
    <w:p>
      <w:pPr>
        <w:spacing w:after="120"/>
      </w:pPr>
      <w:r>
        <w:t>21. Police civile</w:t>
      </w:r>
    </w:p>
    <w:p>
      <w:pPr>
        <w:spacing w:after="120"/>
      </w:pPr>
      <w:r>
        <w:t>22. Fin des quotas de contraventions</w:t>
      </w:r>
    </w:p>
    <w:p>
      <w:pPr>
        <w:spacing w:after="120"/>
      </w:pPr>
      <w:r>
        <w:t>23. Gangs et crime organisé</w:t>
      </w:r>
    </w:p>
    <w:p>
      <w:pPr>
        <w:spacing w:after="120"/>
      </w:pPr>
      <w:r>
        <w:t>24. Enquêtes indépendantes</w:t>
      </w:r>
    </w:p>
    <w:p>
      <w:pPr>
        <w:spacing w:after="120"/>
      </w:pPr>
      <w:r>
        <w:t>25. Force de défense</w:t>
      </w:r>
    </w:p>
    <w:p>
      <w:pPr>
        <w:spacing w:after="120"/>
      </w:pPr>
      <w:r>
        <w:t>26. Justice et droits</w:t>
      </w:r>
    </w:p>
    <w:p>
      <w:pPr>
        <w:spacing w:after="120"/>
      </w:pPr>
      <w:r>
        <w:t>27. Français langue commune</w:t>
      </w:r>
    </w:p>
    <w:p>
      <w:pPr>
        <w:spacing w:after="120"/>
      </w:pPr>
      <w:r>
        <w:t>28. Immigration et capacité d'accueil</w:t>
      </w:r>
    </w:p>
    <w:p>
      <w:pPr>
        <w:spacing w:after="120"/>
      </w:pPr>
      <w:r>
        <w:t>29. Intégration civique</w:t>
      </w:r>
    </w:p>
    <w:p>
      <w:pPr>
        <w:spacing w:after="120"/>
      </w:pPr>
      <w:r>
        <w:t>30. Liberté de conscience</w:t>
      </w:r>
    </w:p>
    <w:p>
      <w:pPr>
        <w:spacing w:after="120"/>
      </w:pPr>
      <w:r>
        <w:t>31. Sexe biologique et politiques publiques</w:t>
      </w:r>
    </w:p>
    <w:p>
      <w:pPr>
        <w:spacing w:after="120"/>
      </w:pPr>
      <w:r>
        <w:t>32. Laïcité institutionnelle</w:t>
      </w:r>
    </w:p>
    <w:p>
      <w:pPr>
        <w:spacing w:after="120"/>
      </w:pPr>
      <w:r>
        <w:t>33. Patrimoine culturel québécois</w:t>
      </w:r>
    </w:p>
    <w:p>
      <w:pPr>
        <w:spacing w:after="120"/>
      </w:pPr>
      <w:r>
        <w:t>34. Familles bâtisseuses</w:t>
      </w:r>
    </w:p>
    <w:p>
      <w:pPr>
        <w:spacing w:after="120"/>
      </w:pPr>
      <w:r>
        <w:t>35. Économie productive</w:t>
      </w:r>
    </w:p>
    <w:p>
      <w:pPr>
        <w:spacing w:after="120"/>
      </w:pPr>
      <w:r>
        <w:t>36. PME et entrepreneurs</w:t>
      </w:r>
    </w:p>
    <w:p>
      <w:pPr>
        <w:spacing w:after="120"/>
      </w:pPr>
      <w:r>
        <w:t>37. Régions, banlieues et municipalités</w:t>
      </w:r>
    </w:p>
    <w:p>
      <w:pPr>
        <w:spacing w:after="120"/>
      </w:pPr>
      <w:r>
        <w:t>38. MRC et structures régionales</w:t>
      </w:r>
    </w:p>
    <w:p>
      <w:pPr>
        <w:spacing w:after="120"/>
      </w:pPr>
      <w:r>
        <w:t>39. Agriculture et autonomie alimentaire</w:t>
      </w:r>
    </w:p>
    <w:p>
      <w:pPr>
        <w:spacing w:after="120"/>
      </w:pPr>
      <w:r>
        <w:t>40. Énergie et Hydro-Québec</w:t>
      </w:r>
    </w:p>
    <w:p>
      <w:pPr>
        <w:spacing w:after="120"/>
      </w:pPr>
      <w:r>
        <w:t>41. Eau et ressources naturelles</w:t>
      </w:r>
    </w:p>
    <w:p>
      <w:pPr>
        <w:spacing w:after="120"/>
      </w:pPr>
      <w:r>
        <w:t>42. Écologie de résultats</w:t>
      </w:r>
    </w:p>
    <w:p>
      <w:pPr>
        <w:spacing w:after="120"/>
      </w:pPr>
      <w:r>
        <w:t>43. Souveraineté numérique</w:t>
      </w:r>
    </w:p>
    <w:p>
      <w:pPr>
        <w:spacing w:after="120"/>
      </w:pPr>
      <w:r>
        <w:t>44. Données personnelles</w:t>
      </w:r>
    </w:p>
    <w:p>
      <w:pPr>
        <w:spacing w:after="120"/>
      </w:pPr>
      <w:r>
        <w:t>45. Intelligence artificielle publique</w:t>
      </w:r>
    </w:p>
    <w:p>
      <w:pPr>
        <w:spacing w:after="120"/>
      </w:pPr>
      <w:r>
        <w:t>46. Médias et information</w:t>
      </w:r>
    </w:p>
    <w:p>
      <w:pPr>
        <w:spacing w:after="120"/>
      </w:pPr>
      <w:r>
        <w:t>47. Constitution</w:t>
      </w:r>
    </w:p>
    <w:p>
      <w:pPr>
        <w:spacing w:after="120"/>
      </w:pPr>
      <w:r>
        <w:t>48. Transition constitutionnelle</w:t>
      </w:r>
    </w:p>
    <w:p>
      <w:pPr>
        <w:spacing w:after="120"/>
      </w:pPr>
      <w:r>
        <w:t>49. Relations avec le Canada</w:t>
      </w:r>
    </w:p>
    <w:p>
      <w:pPr>
        <w:spacing w:after="120"/>
      </w:pPr>
      <w:r>
        <w:t>50. Diplomatie et commerce</w:t>
      </w:r>
    </w:p>
    <w:p>
      <w:pPr>
        <w:spacing w:after="120"/>
      </w:pPr>
      <w:r>
        <w:t>51. Protection du nom Nova</w:t>
      </w:r>
    </w:p>
    <w:p>
      <w:pPr>
        <w:spacing w:after="120"/>
      </w:pPr>
      <w:r>
        <w:t>52. Les 100 premiers jours</w:t>
      </w:r>
    </w:p>
    <w:p>
      <w:pPr>
        <w:spacing w:after="120"/>
      </w:pPr>
      <w:r>
        <w:t>53. Déploiement</w:t>
      </w:r>
    </w:p>
    <w:p>
      <w:pPr>
        <w:spacing w:after="120"/>
      </w:pPr>
      <w:r>
        <w:t>54. Engagement final</w:t>
      </w:r>
    </w:p>
    <w:p>
      <w:pPr>
        <w:pStyle w:val="Heading1"/>
      </w:pPr>
      <w:r>
        <w:t>Avant-propos - Pourquoi un Livre Nova</w:t>
      </w:r>
    </w:p>
    <w:p>
      <w:pPr>
        <w:spacing w:after="120"/>
      </w:pPr>
      <w:r>
        <w:t>Le Livre Nova rassemble la vision publique du Projet Nova et du futur Parti Nova. Cette version officielle V1.6 corrige les incohérences repérées lors de l'audit, intègre directement les correctif intégrés précédents et renforce les protections institutionnelles.</w:t>
      </w:r>
    </w:p>
    <w:p>
      <w:pPr>
        <w:spacing w:after="120"/>
      </w:pPr>
      <w:r>
        <w:t>Le document n'est pas un simple manifeste. Il sert de livre politique de référence: il explique ce que Nova veut changer, pourquoi il veut le faire, comment il veut éviter l'improvisation et par quels mécanismes les citoyens pourront vérifier les résultats.</w:t>
      </w:r>
    </w:p>
    <w:p>
      <w:pPr>
        <w:spacing w:after="120"/>
      </w:pPr>
      <w:r>
        <w:t>Cette version ajoute explicitement la règle selon laquelle l'argent public doit servir le public: services essentiels, infrastructures vitales, sécurité, justice, santé, éducation fondamentale, logement essentiel, protection du territoire et dette publique. Les activités non essentielles relèvent du privé, de la contribution volontaire, de la billetterie, des dons, des mécènes, des commandites ou des fondations.</w:t>
      </w:r>
    </w:p>
    <w:p>
      <w:pPr>
        <w:spacing w:after="120"/>
      </w:pPr>
      <w:r>
        <w:t>Le Livre Nova intègre aussi les correctifs sur la police, l'armée, les nominations indépendantes, l'architecture territoriale, la proximité municipale, les MRC, la science et les faits, la laïcité institutionnelle, la liberté de conscience, la protection des données et la protection du nom Nova.</w:t>
      </w:r>
    </w:p>
    <w:p>
      <w:pPr>
        <w:pStyle w:val="Heading1"/>
      </w:pPr>
      <w:r>
        <w:t>Synthèse citoyenne en 12 piliers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F33"/>
          </w:tcPr>
          <w:p>
            <w:r/>
            <w:r>
              <w:rPr>
                <w:b/>
                <w:color w:val="FFFFFF"/>
                <w:sz w:val="18"/>
              </w:rPr>
              <w:t>Pilier</w:t>
            </w:r>
          </w:p>
        </w:tc>
        <w:tc>
          <w:tcPr>
            <w:tcW w:type="dxa" w:w="5040"/>
            <w:vAlign w:val="center"/>
            <w:shd w:fill="0B1F33"/>
          </w:tcPr>
          <w:p>
            <w:r/>
            <w:r>
              <w:rPr>
                <w:b/>
                <w:color w:val="FFFFFF"/>
                <w:sz w:val="18"/>
              </w:rPr>
              <w:t>Effet recherché</w:t>
            </w:r>
          </w:p>
        </w:tc>
      </w:tr>
      <w:tr>
        <w:tc>
          <w:tcPr>
            <w:tcW w:type="dxa" w:w="5040"/>
            <w:vAlign w:val="center"/>
            <w:shd w:fill="E6EEF2"/>
          </w:tcPr>
          <w:p>
            <w:r/>
            <w:r>
              <w:rPr>
                <w:b w:val="0"/>
                <w:color w:val="000000"/>
                <w:sz w:val="18"/>
              </w:rPr>
              <w:t>Souveraineté populaire</w:t>
            </w:r>
          </w:p>
        </w:tc>
        <w:tc>
          <w:tcPr>
            <w:tcW w:type="dxa" w:w="5040"/>
            <w:vAlign w:val="center"/>
          </w:tcPr>
          <w:p>
            <w:r/>
            <w:r>
              <w:rPr>
                <w:b w:val="0"/>
                <w:color w:val="000000"/>
                <w:sz w:val="18"/>
              </w:rPr>
              <w:t>Le pouvoir appartient au peuple et doit demeurer vérifiable.</w:t>
            </w:r>
          </w:p>
        </w:tc>
      </w:tr>
      <w:tr>
        <w:tc>
          <w:tcPr>
            <w:tcW w:type="dxa" w:w="5040"/>
            <w:vAlign w:val="center"/>
            <w:shd w:fill="E6EEF2"/>
          </w:tcPr>
          <w:p>
            <w:r/>
            <w:r>
              <w:rPr>
                <w:b w:val="0"/>
                <w:color w:val="000000"/>
                <w:sz w:val="18"/>
              </w:rPr>
              <w:t>État de droit</w:t>
            </w:r>
          </w:p>
        </w:tc>
        <w:tc>
          <w:tcPr>
            <w:tcW w:type="dxa" w:w="5040"/>
            <w:vAlign w:val="center"/>
          </w:tcPr>
          <w:p>
            <w:r/>
            <w:r>
              <w:rPr>
                <w:b w:val="0"/>
                <w:color w:val="000000"/>
                <w:sz w:val="18"/>
              </w:rPr>
              <w:t>Toute décision publique doit avoir une base légale, être motivée et contestable.</w:t>
            </w:r>
          </w:p>
        </w:tc>
      </w:tr>
      <w:tr>
        <w:tc>
          <w:tcPr>
            <w:tcW w:type="dxa" w:w="5040"/>
            <w:vAlign w:val="center"/>
            <w:shd w:fill="E6EEF2"/>
          </w:tcPr>
          <w:p>
            <w:r/>
            <w:r>
              <w:rPr>
                <w:b w:val="0"/>
                <w:color w:val="000000"/>
                <w:sz w:val="18"/>
              </w:rPr>
              <w:t>Services essentiels</w:t>
            </w:r>
          </w:p>
        </w:tc>
        <w:tc>
          <w:tcPr>
            <w:tcW w:type="dxa" w:w="5040"/>
            <w:vAlign w:val="center"/>
          </w:tcPr>
          <w:p>
            <w:r/>
            <w:r>
              <w:rPr>
                <w:b w:val="0"/>
                <w:color w:val="000000"/>
                <w:sz w:val="18"/>
              </w:rPr>
              <w:t>Santé, éducation fondamentale, sécurité, justice, eau, énergie, logement essentiel, territoire et communications critiques sont prioritaires.</w:t>
            </w:r>
          </w:p>
        </w:tc>
      </w:tr>
      <w:tr>
        <w:tc>
          <w:tcPr>
            <w:tcW w:type="dxa" w:w="5040"/>
            <w:vAlign w:val="center"/>
            <w:shd w:fill="E6EEF2"/>
          </w:tcPr>
          <w:p>
            <w:r/>
            <w:r>
              <w:rPr>
                <w:b w:val="0"/>
                <w:color w:val="000000"/>
                <w:sz w:val="18"/>
              </w:rPr>
              <w:t>Argent public</w:t>
            </w:r>
          </w:p>
        </w:tc>
        <w:tc>
          <w:tcPr>
            <w:tcW w:type="dxa" w:w="5040"/>
            <w:vAlign w:val="center"/>
          </w:tcPr>
          <w:p>
            <w:r/>
            <w:r>
              <w:rPr>
                <w:b w:val="0"/>
                <w:color w:val="000000"/>
                <w:sz w:val="18"/>
              </w:rPr>
              <w:t>Les fonds publics servent le public, les services essentiels, les infrastructures vitales et la dette; les activités non essentielles relèvent du privé ou du volontaire.</w:t>
            </w:r>
          </w:p>
        </w:tc>
      </w:tr>
      <w:tr>
        <w:tc>
          <w:tcPr>
            <w:tcW w:type="dxa" w:w="5040"/>
            <w:vAlign w:val="center"/>
            <w:shd w:fill="E6EEF2"/>
          </w:tcPr>
          <w:p>
            <w:r/>
            <w:r>
              <w:rPr>
                <w:b w:val="0"/>
                <w:color w:val="000000"/>
                <w:sz w:val="18"/>
              </w:rPr>
              <w:t>Proximité démocratique</w:t>
            </w:r>
          </w:p>
        </w:tc>
        <w:tc>
          <w:tcPr>
            <w:tcW w:type="dxa" w:w="5040"/>
            <w:vAlign w:val="center"/>
          </w:tcPr>
          <w:p>
            <w:r/>
            <w:r>
              <w:rPr>
                <w:b w:val="0"/>
                <w:color w:val="000000"/>
                <w:sz w:val="18"/>
              </w:rPr>
              <w:t>Le palier national et le palier local doivent être les deux axes principaux; ce qui peut être local doit rester local.</w:t>
            </w:r>
          </w:p>
        </w:tc>
      </w:tr>
      <w:tr>
        <w:tc>
          <w:tcPr>
            <w:tcW w:type="dxa" w:w="5040"/>
            <w:vAlign w:val="center"/>
            <w:shd w:fill="E6EEF2"/>
          </w:tcPr>
          <w:p>
            <w:r/>
            <w:r>
              <w:rPr>
                <w:b w:val="0"/>
                <w:color w:val="000000"/>
                <w:sz w:val="18"/>
              </w:rPr>
              <w:t>Français</w:t>
            </w:r>
          </w:p>
        </w:tc>
        <w:tc>
          <w:tcPr>
            <w:tcW w:type="dxa" w:w="5040"/>
            <w:vAlign w:val="center"/>
          </w:tcPr>
          <w:p>
            <w:r/>
            <w:r>
              <w:rPr>
                <w:b w:val="0"/>
                <w:color w:val="000000"/>
                <w:sz w:val="18"/>
              </w:rPr>
              <w:t>Le français demeure la langue officielle, commune et publique du Québec.</w:t>
            </w:r>
          </w:p>
        </w:tc>
      </w:tr>
      <w:tr>
        <w:tc>
          <w:tcPr>
            <w:tcW w:type="dxa" w:w="5040"/>
            <w:vAlign w:val="center"/>
            <w:shd w:fill="E6EEF2"/>
          </w:tcPr>
          <w:p>
            <w:r/>
            <w:r>
              <w:rPr>
                <w:b w:val="0"/>
                <w:color w:val="000000"/>
                <w:sz w:val="18"/>
              </w:rPr>
              <w:t>Science et faits</w:t>
            </w:r>
          </w:p>
        </w:tc>
        <w:tc>
          <w:tcPr>
            <w:tcW w:type="dxa" w:w="5040"/>
            <w:vAlign w:val="center"/>
          </w:tcPr>
          <w:p>
            <w:r/>
            <w:r>
              <w:rPr>
                <w:b w:val="0"/>
                <w:color w:val="000000"/>
                <w:sz w:val="18"/>
              </w:rPr>
              <w:t>Les politiques publiques reposent sur faits vérifiables, données probantes et distinction claire entre sexe biologique, identité personnelle et droits civils.</w:t>
            </w:r>
          </w:p>
        </w:tc>
      </w:tr>
      <w:tr>
        <w:tc>
          <w:tcPr>
            <w:tcW w:type="dxa" w:w="5040"/>
            <w:vAlign w:val="center"/>
            <w:shd w:fill="E6EEF2"/>
          </w:tcPr>
          <w:p>
            <w:r/>
            <w:r>
              <w:rPr>
                <w:b w:val="0"/>
                <w:color w:val="000000"/>
                <w:sz w:val="18"/>
              </w:rPr>
              <w:t>Neutralité</w:t>
            </w:r>
          </w:p>
        </w:tc>
        <w:tc>
          <w:tcPr>
            <w:tcW w:type="dxa" w:w="5040"/>
            <w:vAlign w:val="center"/>
          </w:tcPr>
          <w:p>
            <w:r/>
            <w:r>
              <w:rPr>
                <w:b w:val="0"/>
                <w:color w:val="000000"/>
                <w:sz w:val="18"/>
              </w:rPr>
              <w:t>L'État est neutre, non aligné, laïque institutionnellement et ne finance pas des conflits étrangers.</w:t>
            </w:r>
          </w:p>
        </w:tc>
      </w:tr>
      <w:tr>
        <w:tc>
          <w:tcPr>
            <w:tcW w:type="dxa" w:w="5040"/>
            <w:vAlign w:val="center"/>
            <w:shd w:fill="E6EEF2"/>
          </w:tcPr>
          <w:p>
            <w:r/>
            <w:r>
              <w:rPr>
                <w:b w:val="0"/>
                <w:color w:val="000000"/>
                <w:sz w:val="18"/>
              </w:rPr>
              <w:t>Sécurité réelle</w:t>
            </w:r>
          </w:p>
        </w:tc>
        <w:tc>
          <w:tcPr>
            <w:tcW w:type="dxa" w:w="5040"/>
            <w:vAlign w:val="center"/>
          </w:tcPr>
          <w:p>
            <w:r/>
            <w:r>
              <w:rPr>
                <w:b w:val="0"/>
                <w:color w:val="000000"/>
                <w:sz w:val="18"/>
              </w:rPr>
              <w:t>Priorité au crime organisé, à la violence, à la fraude, à la cybercriminalité et aux abus institutionnels.</w:t>
            </w:r>
          </w:p>
        </w:tc>
      </w:tr>
      <w:tr>
        <w:tc>
          <w:tcPr>
            <w:tcW w:type="dxa" w:w="5040"/>
            <w:vAlign w:val="center"/>
            <w:shd w:fill="E6EEF2"/>
          </w:tcPr>
          <w:p>
            <w:r/>
            <w:r>
              <w:rPr>
                <w:b w:val="0"/>
                <w:color w:val="000000"/>
                <w:sz w:val="18"/>
              </w:rPr>
              <w:t>Souveraineté numérique</w:t>
            </w:r>
          </w:p>
        </w:tc>
        <w:tc>
          <w:tcPr>
            <w:tcW w:type="dxa" w:w="5040"/>
            <w:vAlign w:val="center"/>
          </w:tcPr>
          <w:p>
            <w:r/>
            <w:r>
              <w:rPr>
                <w:b w:val="0"/>
                <w:color w:val="000000"/>
                <w:sz w:val="18"/>
              </w:rPr>
              <w:t>Données, infrastructures critiques, chiffrement et recours humains sont protégés.</w:t>
            </w:r>
          </w:p>
        </w:tc>
      </w:tr>
      <w:tr>
        <w:tc>
          <w:tcPr>
            <w:tcW w:type="dxa" w:w="5040"/>
            <w:vAlign w:val="center"/>
            <w:shd w:fill="E6EEF2"/>
          </w:tcPr>
          <w:p>
            <w:r/>
            <w:r>
              <w:rPr>
                <w:b w:val="0"/>
                <w:color w:val="000000"/>
                <w:sz w:val="18"/>
              </w:rPr>
              <w:t>Économie productive</w:t>
            </w:r>
          </w:p>
        </w:tc>
        <w:tc>
          <w:tcPr>
            <w:tcW w:type="dxa" w:w="5040"/>
            <w:vAlign w:val="center"/>
          </w:tcPr>
          <w:p>
            <w:r/>
            <w:r>
              <w:rPr>
                <w:b w:val="0"/>
                <w:color w:val="000000"/>
                <w:sz w:val="18"/>
              </w:rPr>
              <w:t>L'État protège la concurrence, les PME, la production locale et l'anti-capture.</w:t>
            </w:r>
          </w:p>
        </w:tc>
      </w:tr>
      <w:tr>
        <w:tc>
          <w:tcPr>
            <w:tcW w:type="dxa" w:w="5040"/>
            <w:vAlign w:val="center"/>
            <w:shd w:fill="E6EEF2"/>
          </w:tcPr>
          <w:p>
            <w:r/>
            <w:r>
              <w:rPr>
                <w:b w:val="0"/>
                <w:color w:val="000000"/>
                <w:sz w:val="18"/>
              </w:rPr>
              <w:t>Transition sans chaos</w:t>
            </w:r>
          </w:p>
        </w:tc>
        <w:tc>
          <w:tcPr>
            <w:tcW w:type="dxa" w:w="5040"/>
            <w:vAlign w:val="center"/>
          </w:tcPr>
          <w:p>
            <w:r/>
            <w:r>
              <w:rPr>
                <w:b w:val="0"/>
                <w:color w:val="000000"/>
                <w:sz w:val="18"/>
              </w:rPr>
              <w:t>La souveraineté se prépare par phases, audits, continuité juridique et validation démocratique.</w:t>
            </w:r>
          </w:p>
        </w:tc>
      </w:tr>
    </w:tbl>
    <w:p/>
    <w:p>
      <w:pPr>
        <w:pStyle w:val="Heading1"/>
      </w:pPr>
      <w:r>
        <w:t>Principes non négociables</w:t>
      </w:r>
    </w:p>
    <w:p>
      <w:pPr>
        <w:pStyle w:val="ListBullet"/>
      </w:pPr>
      <w:r>
        <w:t>refus du culte du chef et des décisions personnelles non contrôlées</w:t>
      </w:r>
    </w:p>
    <w:p>
      <w:pPr>
        <w:pStyle w:val="ListBullet"/>
      </w:pPr>
      <w:r>
        <w:t>refus de la corruption, du favoritisme, du copinage et des portes tournantes</w:t>
      </w:r>
    </w:p>
    <w:p>
      <w:pPr>
        <w:pStyle w:val="ListBullet"/>
      </w:pPr>
      <w:r>
        <w:t>refus des taxes cachées et du financement obligatoire de projets non essentiels</w:t>
      </w:r>
    </w:p>
    <w:p>
      <w:pPr>
        <w:pStyle w:val="ListBullet"/>
      </w:pPr>
      <w:r>
        <w:t>refus du score social, de la surveillance de masse et des décisions automatisées sans recours humain</w:t>
      </w:r>
    </w:p>
    <w:p>
      <w:pPr>
        <w:pStyle w:val="ListBullet"/>
      </w:pPr>
      <w:r>
        <w:t>refus des quotas policiers de contraventions et de la police comme outil de revenus</w:t>
      </w:r>
    </w:p>
    <w:p>
      <w:pPr>
        <w:pStyle w:val="ListBullet"/>
      </w:pPr>
      <w:r>
        <w:t>refus de l'armée comme police politique ou outil de contrôle intérieur ordinaire</w:t>
      </w:r>
    </w:p>
    <w:p>
      <w:pPr>
        <w:pStyle w:val="ListBullet"/>
      </w:pPr>
      <w:r>
        <w:t>refus des mégastructures opaques qui éloignent les citoyens du pouvoir local</w:t>
      </w:r>
    </w:p>
    <w:p>
      <w:pPr>
        <w:pStyle w:val="ListBullet"/>
      </w:pPr>
      <w:r>
        <w:t>refus de la propagande d'État, de la pensée obligatoire et du langage imposé par sanction politique</w:t>
      </w:r>
    </w:p>
    <w:p>
      <w:pPr>
        <w:pStyle w:val="ListBullet"/>
      </w:pPr>
      <w:r>
        <w:t>refus de l'improvisation constitutionnelle et des ruptures de services essentiels</w:t>
      </w:r>
    </w:p>
    <w:p>
      <w:r/>
    </w:p>
    <w:p>
      <w:pPr>
        <w:pStyle w:val="Heading1"/>
      </w:pPr>
      <w:r>
        <w:t>Chapitre 1 - Le constat national</w:t>
      </w:r>
    </w:p>
    <w:p>
      <w:pPr>
        <w:spacing w:after="120"/>
      </w:pPr>
      <w:r>
        <w:rPr>
          <w:b/>
          <w:color w:val="00A6A6"/>
        </w:rPr>
        <w:t xml:space="preserve">Idée centrale. </w:t>
      </w:r>
      <w:r/>
    </w:p>
    <w:p>
      <w:pPr>
        <w:spacing w:after="120"/>
      </w:pPr>
      <w:r>
        <w:t>Le Québec souffre d'une crise de confiance, de complexité administrative et de perte de contrôle citoyen. Nova répond par une méthode de vérification, de transparence et de correction.</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Le constat national: une règle claire, vérifiable et au service du peuple.</w:t>
      </w:r>
    </w:p>
    <w:p>
      <w:pPr>
        <w:pStyle w:val="Heading1"/>
      </w:pPr>
      <w:r>
        <w:t>Chapitre 2 - La mission Nova</w:t>
      </w:r>
    </w:p>
    <w:p>
      <w:pPr>
        <w:spacing w:after="120"/>
      </w:pPr>
      <w:r>
        <w:rPr>
          <w:b/>
          <w:color w:val="00A6A6"/>
        </w:rPr>
        <w:t xml:space="preserve">Idée centrale. </w:t>
      </w:r>
      <w:r/>
    </w:p>
    <w:p>
      <w:pPr>
        <w:spacing w:after="120"/>
      </w:pPr>
      <w:r>
        <w:t>Reprendre le contrôle démocratique, institutionnel, économique et juridique du Québec sans improvisation ni culte du chef.</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La mission Nova: une règle claire, vérifiable et au service du peuple.</w:t>
      </w:r>
    </w:p>
    <w:p>
      <w:pPr>
        <w:pStyle w:val="Heading1"/>
      </w:pPr>
      <w:r>
        <w:t>Chapitre 3 - La méthode: auditer, publier, corriger</w:t>
      </w:r>
    </w:p>
    <w:p>
      <w:pPr>
        <w:spacing w:after="120"/>
      </w:pPr>
      <w:r>
        <w:rPr>
          <w:b/>
          <w:color w:val="00A6A6"/>
        </w:rPr>
        <w:t xml:space="preserve">Idée centrale. </w:t>
      </w:r>
      <w:r/>
    </w:p>
    <w:p>
      <w:pPr>
        <w:spacing w:after="120"/>
      </w:pPr>
      <w:r>
        <w:t>Chaque réforme doit partir de données, d'un audit, d'un responsable identifié, d'un échéancier et d'un mécanisme de correction.</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La méthode: auditer, publier, corriger: une règle claire, vérifiable et au service du peuple.</w:t>
      </w:r>
    </w:p>
    <w:p>
      <w:pPr>
        <w:pStyle w:val="Heading1"/>
      </w:pPr>
      <w:r>
        <w:t>Chapitre 4 - Ce que Nova refuse</w:t>
      </w:r>
    </w:p>
    <w:p>
      <w:pPr>
        <w:spacing w:after="120"/>
      </w:pPr>
      <w:r>
        <w:rPr>
          <w:b/>
          <w:color w:val="00A6A6"/>
        </w:rPr>
        <w:t xml:space="preserve">Idée centrale. </w:t>
      </w:r>
      <w:r/>
    </w:p>
    <w:p>
      <w:pPr>
        <w:spacing w:after="120"/>
      </w:pPr>
      <w:r>
        <w:t>Nova refuse la corruption, les privilèges, les taxes cachées, la propagande d'État, la surveillance de masse, le score social et le financement public obligatoire de projets non essentiels.</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Ce que Nova refuse: une règle claire, vérifiable et au service du peuple.</w:t>
      </w:r>
    </w:p>
    <w:p>
      <w:pPr>
        <w:pStyle w:val="Heading1"/>
      </w:pPr>
      <w:r>
        <w:t>Chapitre 5 - Le pacte citoyen</w:t>
      </w:r>
    </w:p>
    <w:p>
      <w:pPr>
        <w:spacing w:after="120"/>
      </w:pPr>
      <w:r>
        <w:rPr>
          <w:b/>
          <w:color w:val="00A6A6"/>
        </w:rPr>
        <w:t xml:space="preserve">Idée centrale. </w:t>
      </w:r>
      <w:r/>
    </w:p>
    <w:p>
      <w:pPr>
        <w:spacing w:after="120"/>
      </w:pPr>
      <w:r>
        <w:t>Nova ne demande pas une confiance aveugle: il accepte d'être vérifié par les citoyens, les médias, les tribunaux et les mécanismes d'audit.</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Le pacte citoyen: une règle claire, vérifiable et au service du peuple.</w:t>
      </w:r>
    </w:p>
    <w:p>
      <w:r/>
    </w:p>
    <w:p>
      <w:pPr>
        <w:pStyle w:val="Heading1"/>
      </w:pPr>
      <w:r>
        <w:t>Chapitre 6 - Souveraineté populaire</w:t>
      </w:r>
    </w:p>
    <w:p>
      <w:pPr>
        <w:spacing w:after="120"/>
      </w:pPr>
      <w:r>
        <w:rPr>
          <w:b/>
          <w:color w:val="00A6A6"/>
        </w:rPr>
        <w:t xml:space="preserve">Idée centrale. </w:t>
      </w:r>
      <w:r/>
    </w:p>
    <w:p>
      <w:pPr>
        <w:spacing w:after="120"/>
      </w:pPr>
      <w:r>
        <w:t>Les grandes décisions appartiennent au peuple; l'acceptabilité sociale ne remplace pas un vote direct lorsque l'enjeu exige un mandat clair.</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Souveraineté populaire: une règle claire, vérifiable et au service du peuple.</w:t>
      </w:r>
    </w:p>
    <w:p>
      <w:pPr>
        <w:pStyle w:val="Heading1"/>
      </w:pPr>
      <w:r>
        <w:t>Chapitre 7 - Autorité électorale indépendante</w:t>
      </w:r>
    </w:p>
    <w:p>
      <w:pPr>
        <w:spacing w:after="120"/>
      </w:pPr>
      <w:r>
        <w:rPr>
          <w:b/>
          <w:color w:val="00A6A6"/>
        </w:rPr>
        <w:t xml:space="preserve">Idée centrale. </w:t>
      </w:r>
      <w:r/>
    </w:p>
    <w:p>
      <w:pPr>
        <w:spacing w:after="120"/>
      </w:pPr>
      <w:r>
        <w:t>L'organisation, la surveillance et la certification du vote doivent être protégées contre toute ingérence gouvernementale.</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Autorité électorale indépendante: une règle claire, vérifiable et au service du peuple.</w:t>
      </w:r>
    </w:p>
    <w:p>
      <w:pPr>
        <w:pStyle w:val="Heading1"/>
      </w:pPr>
      <w:r>
        <w:t>Chapitre 8 - Référendums et initiatives citoyennes</w:t>
      </w:r>
    </w:p>
    <w:p>
      <w:pPr>
        <w:spacing w:after="120"/>
      </w:pPr>
      <w:r>
        <w:rPr>
          <w:b/>
          <w:color w:val="00A6A6"/>
        </w:rPr>
        <w:t xml:space="preserve">Idée centrale. </w:t>
      </w:r>
      <w:r/>
    </w:p>
    <w:p>
      <w:pPr>
        <w:spacing w:after="120"/>
      </w:pPr>
      <w:r>
        <w:t>Les référendums doivent être clairs, rares et structurants; les initiatives citoyennes doivent être possibles mais encadrées.</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Référendums et initiatives citoyennes: une règle claire, vérifiable et au service du peuple.</w:t>
      </w:r>
    </w:p>
    <w:p>
      <w:pPr>
        <w:pStyle w:val="Heading1"/>
      </w:pPr>
      <w:r>
        <w:t>Chapitre 9 - Révocation encadrée des élus</w:t>
      </w:r>
    </w:p>
    <w:p>
      <w:pPr>
        <w:spacing w:after="120"/>
      </w:pPr>
      <w:r>
        <w:rPr>
          <w:b/>
          <w:color w:val="00A6A6"/>
        </w:rPr>
        <w:t xml:space="preserve">Idée centrale. </w:t>
      </w:r>
      <w:r/>
    </w:p>
    <w:p>
      <w:pPr>
        <w:spacing w:after="120"/>
      </w:pPr>
      <w:r>
        <w:t>La révocation doit être possible pour faute grave, corruption, abus ou trahison manifeste du mandat, sans devenir un outil de vengeance politique.</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Révocation encadrée des élus: une règle claire, vérifiable et au service du peuple.</w:t>
      </w:r>
    </w:p>
    <w:p>
      <w:pPr>
        <w:pStyle w:val="Heading1"/>
      </w:pPr>
      <w:r>
        <w:t>Chapitre 10 - Nominations sensibles indépendantes</w:t>
      </w:r>
    </w:p>
    <w:p>
      <w:pPr>
        <w:spacing w:after="120"/>
      </w:pPr>
      <w:r>
        <w:rPr>
          <w:b/>
          <w:color w:val="00A6A6"/>
        </w:rPr>
        <w:t xml:space="preserve">Idée centrale. </w:t>
      </w:r>
      <w:r/>
    </w:p>
    <w:p>
      <w:pPr>
        <w:spacing w:after="120"/>
      </w:pPr>
      <w:r>
        <w:t>Juges, autorités électorales, police, vérificateurs, commissaires et enquêteurs ne doivent pas être nommés seuls par le gouvernement qu'ils contrôlent.</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Nominations sensibles indépendantes: une règle claire, vérifiable et au service du peuple.</w:t>
      </w:r>
    </w:p>
    <w:p>
      <w:r/>
    </w:p>
    <w:p>
      <w:pPr>
        <w:pStyle w:val="Heading1"/>
      </w:pPr>
      <w:r>
        <w:t>Chapitre 11 - État simple et efficace</w:t>
      </w:r>
    </w:p>
    <w:p>
      <w:pPr>
        <w:spacing w:after="120"/>
      </w:pPr>
      <w:r>
        <w:rPr>
          <w:b/>
          <w:color w:val="00A6A6"/>
        </w:rPr>
        <w:t xml:space="preserve">Idée centrale. </w:t>
      </w:r>
      <w:r/>
    </w:p>
    <w:p>
      <w:pPr>
        <w:spacing w:after="120"/>
      </w:pPr>
      <w:r>
        <w:t>L'État doit réduire la complexité, publier les délais, maintenir l'accès humain et cesser de protéger l'administration contre le citoyen.</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État simple et efficace: une règle claire, vérifiable et au service du peuple.</w:t>
      </w:r>
    </w:p>
    <w:p>
      <w:pPr>
        <w:pStyle w:val="Heading1"/>
      </w:pPr>
      <w:r>
        <w:t>Chapitre 12 - Dépenses publiques et taxes cachées</w:t>
      </w:r>
    </w:p>
    <w:p>
      <w:pPr>
        <w:spacing w:after="120"/>
      </w:pPr>
      <w:r>
        <w:rPr>
          <w:b/>
          <w:color w:val="00A6A6"/>
        </w:rPr>
        <w:t xml:space="preserve">Idée centrale. </w:t>
      </w:r>
      <w:r/>
    </w:p>
    <w:p>
      <w:pPr>
        <w:spacing w:after="120"/>
      </w:pPr>
      <w:r>
        <w:t>Avant de demander plus aux citoyens, l'État doit prouver l'utilisation exacte de chaque dollar public.</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Dépenses publiques et taxes cachées: une règle claire, vérifiable et au service du peuple.</w:t>
      </w:r>
    </w:p>
    <w:p>
      <w:pPr>
        <w:pStyle w:val="Heading1"/>
      </w:pPr>
      <w:r>
        <w:t>Chapitre 13 - Financement public strictement public</w:t>
      </w:r>
    </w:p>
    <w:p>
      <w:pPr>
        <w:spacing w:after="120"/>
      </w:pPr>
      <w:r>
        <w:rPr>
          <w:b/>
          <w:color w:val="00A6A6"/>
        </w:rPr>
        <w:t xml:space="preserve">Idée centrale. </w:t>
      </w:r>
      <w:r/>
    </w:p>
    <w:p>
      <w:pPr>
        <w:spacing w:after="120"/>
      </w:pPr>
      <w:r>
        <w:t>L'argent public ne sert pas à financer obligatoirement les artistes commerciaux, athlètes professionnels, festivals non essentiels, équipes privées, spectacles privés ou projets de prestige.</w:t>
      </w:r>
    </w:p>
    <w:p>
      <w:pPr>
        <w:pStyle w:val="Heading2"/>
      </w:pPr>
      <w:r>
        <w:t>Principes directeurs</w:t>
      </w:r>
    </w:p>
    <w:p>
      <w:pPr>
        <w:pStyle w:val="ListBullet"/>
      </w:pPr>
      <w:r>
        <w:t>Les fonds publics appartiennent au peuple et ne constituent pas une caisse de prestige.</w:t>
      </w:r>
    </w:p>
    <w:p>
      <w:pPr>
        <w:pStyle w:val="ListBullet"/>
      </w:pPr>
      <w:r>
        <w:t>Aucune dépense obligatoire ne doit soutenir des activités privées non essentielles.</w:t>
      </w:r>
    </w:p>
    <w:p>
      <w:pPr>
        <w:pStyle w:val="ListBullet"/>
      </w:pPr>
      <w:r>
        <w:t>Toute exception doit être publique, temporaire, plafonnée, auditée et liée à un intérêt public démontré.</w:t>
      </w:r>
    </w:p>
    <w:p>
      <w:pPr>
        <w:pStyle w:val="ListBullet"/>
      </w:pPr>
      <w:r>
        <w:t>La culture, le sport, l'art et le divertissement demeurent libres, mais leur financement ordinaire doit être privé ou volontaire.</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Financement public strictement public: une règle claire, vérifiable et au service du peuple.</w:t>
      </w:r>
    </w:p>
    <w:p>
      <w:pPr>
        <w:pStyle w:val="Heading1"/>
      </w:pPr>
      <w:r>
        <w:t>Chapitre 14 - Contrats publics et anticorruption</w:t>
      </w:r>
    </w:p>
    <w:p>
      <w:pPr>
        <w:spacing w:after="120"/>
      </w:pPr>
      <w:r>
        <w:rPr>
          <w:b/>
          <w:color w:val="00A6A6"/>
        </w:rPr>
        <w:t xml:space="preserve">Idée centrale. </w:t>
      </w:r>
      <w:r/>
    </w:p>
    <w:p>
      <w:pPr>
        <w:spacing w:after="120"/>
      </w:pPr>
      <w:r>
        <w:t>Les contrats publics doivent être visibles, compétitifs, auditables et sanctionnés en cas de gonflement de coûts, collusion ou corruption.</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Contrats publics et anticorruption: une règle claire, vérifiable et au service du peuple.</w:t>
      </w:r>
    </w:p>
    <w:p>
      <w:pPr>
        <w:pStyle w:val="Heading1"/>
      </w:pPr>
      <w:r>
        <w:t>Chapitre 15 - Code de conduite</w:t>
      </w:r>
    </w:p>
    <w:p>
      <w:pPr>
        <w:spacing w:after="120"/>
      </w:pPr>
      <w:r>
        <w:rPr>
          <w:b/>
          <w:color w:val="00A6A6"/>
        </w:rPr>
        <w:t xml:space="preserve">Idée centrale. </w:t>
      </w:r>
      <w:r/>
    </w:p>
    <w:p>
      <w:pPr>
        <w:spacing w:after="120"/>
      </w:pPr>
      <w:r>
        <w:t>Les membres, représentants et candidats doivent respecter intégrité, respect, information vérifiée, protection des données et discipline interne.</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Code de conduite: une règle claire, vérifiable et au service du peuple.</w:t>
      </w:r>
    </w:p>
    <w:p>
      <w:r/>
    </w:p>
    <w:p>
      <w:pPr>
        <w:pStyle w:val="Heading1"/>
      </w:pPr>
      <w:r>
        <w:t>Chapitre 16 - Santé</w:t>
      </w:r>
    </w:p>
    <w:p>
      <w:pPr>
        <w:spacing w:after="120"/>
      </w:pPr>
      <w:r>
        <w:rPr>
          <w:b/>
          <w:color w:val="00A6A6"/>
        </w:rPr>
        <w:t xml:space="preserve">Idée centrale. </w:t>
      </w:r>
      <w:r/>
    </w:p>
    <w:p>
      <w:pPr>
        <w:spacing w:after="120"/>
      </w:pPr>
      <w:r>
        <w:t>La santé doit être prioritaire, mesurée par délais réels, accès humain, continuité et correction des blocages.</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Santé: une règle claire, vérifiable et au service du peuple.</w:t>
      </w:r>
    </w:p>
    <w:p>
      <w:pPr>
        <w:pStyle w:val="Heading1"/>
      </w:pPr>
      <w:r>
        <w:t>Chapitre 17 - Éducation</w:t>
      </w:r>
    </w:p>
    <w:p>
      <w:pPr>
        <w:spacing w:after="120"/>
      </w:pPr>
      <w:r>
        <w:rPr>
          <w:b/>
          <w:color w:val="00A6A6"/>
        </w:rPr>
        <w:t xml:space="preserve">Idée centrale. </w:t>
      </w:r>
      <w:r/>
    </w:p>
    <w:p>
      <w:pPr>
        <w:spacing w:after="120"/>
      </w:pPr>
      <w:r>
        <w:t>L'éducation doit protéger français, mathématiques, histoire, métiers, civisme, esprit critique et compétences réelles.</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Éducation: une règle claire, vérifiable et au service du peuple.</w:t>
      </w:r>
    </w:p>
    <w:p>
      <w:pPr>
        <w:pStyle w:val="Heading1"/>
      </w:pPr>
      <w:r>
        <w:t>Chapitre 18 - Logement essentiel</w:t>
      </w:r>
    </w:p>
    <w:p>
      <w:pPr>
        <w:spacing w:after="120"/>
      </w:pPr>
      <w:r>
        <w:rPr>
          <w:b/>
          <w:color w:val="00A6A6"/>
        </w:rPr>
        <w:t xml:space="preserve">Idée centrale. </w:t>
      </w:r>
      <w:r/>
    </w:p>
    <w:p>
      <w:pPr>
        <w:spacing w:after="120"/>
      </w:pPr>
      <w:r>
        <w:t>Le logement essentiel doit être traité comme condition de dignité, lié à l'immigration, aux infrastructures et à la capacité d'accueil.</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Logement essentiel: une règle claire, vérifiable et au service du peuple.</w:t>
      </w:r>
    </w:p>
    <w:p>
      <w:pPr>
        <w:pStyle w:val="Heading1"/>
      </w:pPr>
      <w:r>
        <w:t>Chapitre 19 - Familles, aînés et vulnérables</w:t>
      </w:r>
    </w:p>
    <w:p>
      <w:pPr>
        <w:spacing w:after="120"/>
      </w:pPr>
      <w:r>
        <w:rPr>
          <w:b/>
          <w:color w:val="00A6A6"/>
        </w:rPr>
        <w:t xml:space="preserve">Idée centrale. </w:t>
      </w:r>
      <w:r/>
    </w:p>
    <w:p>
      <w:pPr>
        <w:spacing w:after="120"/>
      </w:pPr>
      <w:r>
        <w:t>Les politiques publiques doivent protéger enfants, aînés, personnes handicapées, proches aidants et citoyens vulnérables.</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Familles, aînés et vulnérables: une règle claire, vérifiable et au service du peuple.</w:t>
      </w:r>
    </w:p>
    <w:p>
      <w:pPr>
        <w:pStyle w:val="Heading1"/>
      </w:pPr>
      <w:r>
        <w:t>Chapitre 20 - Accès humain aux services</w:t>
      </w:r>
    </w:p>
    <w:p>
      <w:pPr>
        <w:spacing w:after="120"/>
      </w:pPr>
      <w:r>
        <w:rPr>
          <w:b/>
          <w:color w:val="00A6A6"/>
        </w:rPr>
        <w:t xml:space="preserve">Idée centrale. </w:t>
      </w:r>
      <w:r/>
    </w:p>
    <w:p>
      <w:pPr>
        <w:spacing w:after="120"/>
      </w:pPr>
      <w:r>
        <w:t>Aucun service essentiel ne doit devenir exclusivement numérique; un interlocuteur humain compétent doit rester accessible.</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Accès humain aux services: une règle claire, vérifiable et au service du peuple.</w:t>
      </w:r>
    </w:p>
    <w:p>
      <w:r/>
    </w:p>
    <w:p>
      <w:pPr>
        <w:pStyle w:val="Heading1"/>
      </w:pPr>
      <w:r>
        <w:t>Chapitre 21 - Police civile</w:t>
      </w:r>
    </w:p>
    <w:p>
      <w:pPr>
        <w:spacing w:after="120"/>
      </w:pPr>
      <w:r>
        <w:rPr>
          <w:b/>
          <w:color w:val="00A6A6"/>
        </w:rPr>
        <w:t xml:space="preserve">Idée centrale. </w:t>
      </w:r>
      <w:r/>
    </w:p>
    <w:p>
      <w:pPr>
        <w:spacing w:after="120"/>
      </w:pPr>
      <w:r>
        <w:t>La police protège les citoyens, pas les revenus de l'État; elle doit concentrer ses efforts sur la criminalité réelle.</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Police civile: une règle claire, vérifiable et au service du peuple.</w:t>
      </w:r>
    </w:p>
    <w:p>
      <w:pPr>
        <w:pStyle w:val="Heading1"/>
      </w:pPr>
      <w:r>
        <w:t>Chapitre 22 - Fin des quotas de contraventions</w:t>
      </w:r>
    </w:p>
    <w:p>
      <w:pPr>
        <w:spacing w:after="120"/>
      </w:pPr>
      <w:r>
        <w:rPr>
          <w:b/>
          <w:color w:val="00A6A6"/>
        </w:rPr>
        <w:t xml:space="preserve">Idée centrale. </w:t>
      </w:r>
      <w:r/>
    </w:p>
    <w:p>
      <w:pPr>
        <w:spacing w:after="120"/>
      </w:pPr>
      <w:r>
        <w:t>Les quotas, objectifs financiers ou pressions de perception déguisée sont incompatibles avec une sécurité publique légitime.</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Fin des quotas de contraventions: une règle claire, vérifiable et au service du peuple.</w:t>
      </w:r>
    </w:p>
    <w:p>
      <w:pPr>
        <w:pStyle w:val="Heading1"/>
      </w:pPr>
      <w:r>
        <w:t>Chapitre 23 - Gangs et crime organisé</w:t>
      </w:r>
    </w:p>
    <w:p>
      <w:pPr>
        <w:spacing w:after="120"/>
      </w:pPr>
      <w:r>
        <w:rPr>
          <w:b/>
          <w:color w:val="00A6A6"/>
        </w:rPr>
        <w:t xml:space="preserve">Idée centrale. </w:t>
      </w:r>
      <w:r/>
    </w:p>
    <w:p>
      <w:pPr>
        <w:spacing w:after="120"/>
      </w:pPr>
      <w:r>
        <w:t>Priorité aux gangs criminalisés, gangs de rue, trafic humain, violence, corruption, fraude, blanchiment et cybercrime.</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Gangs et crime organisé: une règle claire, vérifiable et au service du peuple.</w:t>
      </w:r>
    </w:p>
    <w:p>
      <w:pPr>
        <w:pStyle w:val="Heading1"/>
      </w:pPr>
      <w:r>
        <w:t>Chapitre 24 - Enquêtes indépendantes</w:t>
      </w:r>
    </w:p>
    <w:p>
      <w:pPr>
        <w:spacing w:after="120"/>
      </w:pPr>
      <w:r>
        <w:rPr>
          <w:b/>
          <w:color w:val="00A6A6"/>
        </w:rPr>
        <w:t xml:space="preserve">Idée centrale. </w:t>
      </w:r>
      <w:r/>
    </w:p>
    <w:p>
      <w:pPr>
        <w:spacing w:after="120"/>
      </w:pPr>
      <w:r>
        <w:t>Les abus policiers, militaires, politiques et administratifs doivent être enquêtés par une autorité civile indépendante.</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Enquêtes indépendantes: une règle claire, vérifiable et au service du peuple.</w:t>
      </w:r>
    </w:p>
    <w:p>
      <w:pPr>
        <w:pStyle w:val="Heading1"/>
      </w:pPr>
      <w:r>
        <w:t>Chapitre 25 - Force de défense</w:t>
      </w:r>
    </w:p>
    <w:p>
      <w:pPr>
        <w:spacing w:after="120"/>
      </w:pPr>
      <w:r>
        <w:rPr>
          <w:b/>
          <w:color w:val="00A6A6"/>
        </w:rPr>
        <w:t xml:space="preserve">Idée centrale. </w:t>
      </w:r>
      <w:r/>
    </w:p>
    <w:p>
      <w:pPr>
        <w:spacing w:after="120"/>
      </w:pPr>
      <w:r>
        <w:t>Une force de défense sert au territoire, aux frontières, aux infrastructures critiques et aux crises majeures; elle ne devient pas police politique.</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Force de défense: une règle claire, vérifiable et au service du peuple.</w:t>
      </w:r>
    </w:p>
    <w:p>
      <w:pPr>
        <w:pStyle w:val="Heading1"/>
      </w:pPr>
      <w:r>
        <w:t>Chapitre 26 - Justice et droits</w:t>
      </w:r>
    </w:p>
    <w:p>
      <w:pPr>
        <w:spacing w:after="120"/>
      </w:pPr>
      <w:r>
        <w:rPr>
          <w:b/>
          <w:color w:val="00A6A6"/>
        </w:rPr>
        <w:t xml:space="preserve">Idée centrale. </w:t>
      </w:r>
      <w:r/>
    </w:p>
    <w:p>
      <w:pPr>
        <w:spacing w:after="120"/>
      </w:pPr>
      <w:r>
        <w:t>Enquêter, poursuivre et juger doivent rester séparés; nul ne doit être juge et partie.</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Justice et droits: une règle claire, vérifiable et au service du peuple.</w:t>
      </w:r>
    </w:p>
    <w:p>
      <w:r/>
    </w:p>
    <w:p>
      <w:pPr>
        <w:pStyle w:val="Heading1"/>
      </w:pPr>
      <w:r>
        <w:t>Chapitre 27 - Français langue commune</w:t>
      </w:r>
    </w:p>
    <w:p>
      <w:pPr>
        <w:spacing w:after="120"/>
      </w:pPr>
      <w:r>
        <w:rPr>
          <w:b/>
          <w:color w:val="00A6A6"/>
        </w:rPr>
        <w:t xml:space="preserve">Idée centrale. </w:t>
      </w:r>
      <w:r/>
    </w:p>
    <w:p>
      <w:pPr>
        <w:spacing w:after="120"/>
      </w:pPr>
      <w:r>
        <w:t>Le français demeure la langue officielle, commune, publique et institutionnelle du Québec.</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Français langue commune: une règle claire, vérifiable et au service du peuple.</w:t>
      </w:r>
    </w:p>
    <w:p>
      <w:pPr>
        <w:pStyle w:val="Heading1"/>
      </w:pPr>
      <w:r>
        <w:t>Chapitre 28 - Immigration et capacité d'accueil</w:t>
      </w:r>
    </w:p>
    <w:p>
      <w:pPr>
        <w:spacing w:after="120"/>
      </w:pPr>
      <w:r>
        <w:rPr>
          <w:b/>
          <w:color w:val="00A6A6"/>
        </w:rPr>
        <w:t xml:space="preserve">Idée centrale. </w:t>
      </w:r>
      <w:r/>
    </w:p>
    <w:p>
      <w:pPr>
        <w:spacing w:after="120"/>
      </w:pPr>
      <w:r>
        <w:t>L'immigration doit être liée au logement, aux services, à la francisation, à l'emploi réel, à la sécurité et à la cohésion nationale.</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Immigration et capacité d'accueil: une règle claire, vérifiable et au service du peuple.</w:t>
      </w:r>
    </w:p>
    <w:p>
      <w:pPr>
        <w:pStyle w:val="Heading1"/>
      </w:pPr>
      <w:r>
        <w:t>Chapitre 29 - Intégration civique</w:t>
      </w:r>
    </w:p>
    <w:p>
      <w:pPr>
        <w:spacing w:after="120"/>
      </w:pPr>
      <w:r>
        <w:rPr>
          <w:b/>
          <w:color w:val="00A6A6"/>
        </w:rPr>
        <w:t xml:space="preserve">Idée centrale. </w:t>
      </w:r>
      <w:r/>
    </w:p>
    <w:p>
      <w:pPr>
        <w:spacing w:after="120"/>
      </w:pPr>
      <w:r>
        <w:t>Les nouveaux citoyens doivent intégrer les lois, le français, les droits, les devoirs et la culture civique commune.</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Intégration civique: une règle claire, vérifiable et au service du peuple.</w:t>
      </w:r>
    </w:p>
    <w:p>
      <w:pPr>
        <w:pStyle w:val="Heading1"/>
      </w:pPr>
      <w:r>
        <w:t>Chapitre 30 - Liberté de conscience</w:t>
      </w:r>
    </w:p>
    <w:p>
      <w:pPr>
        <w:spacing w:after="120"/>
      </w:pPr>
      <w:r>
        <w:rPr>
          <w:b/>
          <w:color w:val="00A6A6"/>
        </w:rPr>
        <w:t xml:space="preserve">Idée centrale. </w:t>
      </w:r>
      <w:r/>
    </w:p>
    <w:p>
      <w:pPr>
        <w:spacing w:after="120"/>
      </w:pPr>
      <w:r>
        <w:t>L'État ne force pas l'adhésion idéologique; il protège la dignité, la sécurité, la parole et la conscience.</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Liberté de conscience: une règle claire, vérifiable et au service du peuple.</w:t>
      </w:r>
    </w:p>
    <w:p>
      <w:pPr>
        <w:pStyle w:val="Heading1"/>
      </w:pPr>
      <w:r>
        <w:t>Chapitre 31 - Sexe biologique et politiques publiques</w:t>
      </w:r>
    </w:p>
    <w:p>
      <w:pPr>
        <w:spacing w:after="120"/>
      </w:pPr>
      <w:r>
        <w:rPr>
          <w:b/>
          <w:color w:val="00A6A6"/>
        </w:rPr>
        <w:t xml:space="preserve">Idée centrale. </w:t>
      </w:r>
      <w:r/>
    </w:p>
    <w:p>
      <w:pPr>
        <w:spacing w:after="120"/>
      </w:pPr>
      <w:r>
        <w:t>Pour santé, statistiques, sport, prisons, refuges et sécurité, l'État distingue sexe biologique, identité personnelle et droits civils.</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Sexe biologique et politiques publiques: une règle claire, vérifiable et au service du peuple.</w:t>
      </w:r>
    </w:p>
    <w:p>
      <w:pPr>
        <w:pStyle w:val="Heading1"/>
      </w:pPr>
      <w:r>
        <w:t>Chapitre 32 - Laïcité institutionnelle</w:t>
      </w:r>
    </w:p>
    <w:p>
      <w:pPr>
        <w:spacing w:after="120"/>
      </w:pPr>
      <w:r>
        <w:rPr>
          <w:b/>
          <w:color w:val="00A6A6"/>
        </w:rPr>
        <w:t xml:space="preserve">Idée centrale. </w:t>
      </w:r>
      <w:r/>
    </w:p>
    <w:p>
      <w:pPr>
        <w:spacing w:after="120"/>
      </w:pPr>
      <w:r>
        <w:t>L'État demeure neutre; les prières ou cérémonies religieuses occupant la voie publique ne relèvent pas de l'espace public ordinaire et doivent se tenir dans les lieux de culte ou propriétés privées selon les règles de paix publique.</w:t>
      </w:r>
    </w:p>
    <w:p>
      <w:pPr>
        <w:pStyle w:val="Heading2"/>
      </w:pPr>
      <w:r>
        <w:t>Principes directeurs</w:t>
      </w:r>
    </w:p>
    <w:p>
      <w:pPr>
        <w:pStyle w:val="ListBullet"/>
      </w:pPr>
      <w:r>
        <w:t>L'État est neutre dans ses institutions, ses services et ses décisions.</w:t>
      </w:r>
    </w:p>
    <w:p>
      <w:pPr>
        <w:pStyle w:val="ListBullet"/>
      </w:pPr>
      <w:r>
        <w:t>Les pratiques religieuses ne doivent pas occuper ou bloquer la voie publique.</w:t>
      </w:r>
    </w:p>
    <w:p>
      <w:pPr>
        <w:pStyle w:val="ListBullet"/>
      </w:pPr>
      <w:r>
        <w:t>Les lieux de culte et les propriétés privées demeurent les lieux normaux des pratiques religieuses collectives.</w:t>
      </w:r>
    </w:p>
    <w:p>
      <w:pPr>
        <w:pStyle w:val="ListBullet"/>
      </w:pPr>
      <w:r>
        <w:t>Le patrimoine culturel québécois peut être reconnu sans créer une religion d'État.</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Laïcité institutionnelle: une règle claire, vérifiable et au service du peuple.</w:t>
      </w:r>
    </w:p>
    <w:p>
      <w:pPr>
        <w:pStyle w:val="Heading1"/>
      </w:pPr>
      <w:r>
        <w:t>Chapitre 33 - Patrimoine culturel québécois</w:t>
      </w:r>
    </w:p>
    <w:p>
      <w:pPr>
        <w:spacing w:after="120"/>
      </w:pPr>
      <w:r>
        <w:rPr>
          <w:b/>
          <w:color w:val="00A6A6"/>
        </w:rPr>
        <w:t xml:space="preserve">Idée centrale. </w:t>
      </w:r>
      <w:r/>
    </w:p>
    <w:p>
      <w:pPr>
        <w:spacing w:after="120"/>
      </w:pPr>
      <w:r>
        <w:t>Nova protège la mémoire, l'origine historique laïque/chrétienne du Québec et le patrimoine sans créer de religion d'État.</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Patrimoine culturel québécois: une règle claire, vérifiable et au service du peuple.</w:t>
      </w:r>
    </w:p>
    <w:p>
      <w:pPr>
        <w:pStyle w:val="Heading1"/>
      </w:pPr>
      <w:r>
        <w:t>Chapitre 34 - Familles bâtisseuses</w:t>
      </w:r>
    </w:p>
    <w:p>
      <w:pPr>
        <w:spacing w:after="120"/>
      </w:pPr>
      <w:r>
        <w:rPr>
          <w:b/>
          <w:color w:val="00A6A6"/>
        </w:rPr>
        <w:t xml:space="preserve">Idée centrale. </w:t>
      </w:r>
      <w:r/>
    </w:p>
    <w:p>
      <w:pPr>
        <w:spacing w:after="120"/>
      </w:pPr>
      <w:r>
        <w:t>Les familles bâtisseuses du Québec sont reconnues historiquement et patrimonialement sans privilège civil individuel.</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Familles bâtisseuses: une règle claire, vérifiable et au service du peuple.</w:t>
      </w:r>
    </w:p>
    <w:p>
      <w:r/>
    </w:p>
    <w:p>
      <w:pPr>
        <w:pStyle w:val="Heading1"/>
      </w:pPr>
      <w:r>
        <w:t>Chapitre 35 - Économie productive</w:t>
      </w:r>
    </w:p>
    <w:p>
      <w:pPr>
        <w:spacing w:after="120"/>
      </w:pPr>
      <w:r>
        <w:rPr>
          <w:b/>
          <w:color w:val="00A6A6"/>
        </w:rPr>
        <w:t xml:space="preserve">Idée centrale. </w:t>
      </w:r>
      <w:r/>
    </w:p>
    <w:p>
      <w:pPr>
        <w:spacing w:after="120"/>
      </w:pPr>
      <w:r>
        <w:t>Produire avant de redistribuer: PME, entrepreneurs, régions, concurrence loyale et refus des cartels.</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Économie productive: une règle claire, vérifiable et au service du peuple.</w:t>
      </w:r>
    </w:p>
    <w:p>
      <w:pPr>
        <w:pStyle w:val="Heading1"/>
      </w:pPr>
      <w:r>
        <w:t>Chapitre 36 - PME et entrepreneurs</w:t>
      </w:r>
    </w:p>
    <w:p>
      <w:pPr>
        <w:spacing w:after="120"/>
      </w:pPr>
      <w:r>
        <w:rPr>
          <w:b/>
          <w:color w:val="00A6A6"/>
        </w:rPr>
        <w:t xml:space="preserve">Idée centrale. </w:t>
      </w:r>
      <w:r/>
    </w:p>
    <w:p>
      <w:pPr>
        <w:spacing w:after="120"/>
      </w:pPr>
      <w:r>
        <w:t>Les PME doivent être libérées des démarches inutiles, protégées contre l'abus des grandes structures et soutenues par un cadre clair.</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PME et entrepreneurs: une règle claire, vérifiable et au service du peuple.</w:t>
      </w:r>
    </w:p>
    <w:p>
      <w:pPr>
        <w:pStyle w:val="Heading1"/>
      </w:pPr>
      <w:r>
        <w:t>Chapitre 37 - Régions, banlieues et municipalités</w:t>
      </w:r>
    </w:p>
    <w:p>
      <w:pPr>
        <w:spacing w:after="120"/>
      </w:pPr>
      <w:r>
        <w:rPr>
          <w:b/>
          <w:color w:val="00A6A6"/>
        </w:rPr>
        <w:t xml:space="preserve">Idée centrale. </w:t>
      </w:r>
      <w:r/>
    </w:p>
    <w:p>
      <w:pPr>
        <w:spacing w:after="120"/>
      </w:pPr>
      <w:r>
        <w:t>Le pouvoir doit revenir aux municipalités, banlieues, villages, quartiers et communautés locales avec référendums de proximité.</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Régions, banlieues et municipalités: une règle claire, vérifiable et au service du peuple.</w:t>
      </w:r>
    </w:p>
    <w:p>
      <w:pPr>
        <w:pStyle w:val="Heading1"/>
      </w:pPr>
      <w:r>
        <w:t>Chapitre 38 - MRC et structures régionales</w:t>
      </w:r>
    </w:p>
    <w:p>
      <w:pPr>
        <w:spacing w:after="120"/>
      </w:pPr>
      <w:r>
        <w:rPr>
          <w:b/>
          <w:color w:val="00A6A6"/>
        </w:rPr>
        <w:t xml:space="preserve">Idée centrale. </w:t>
      </w:r>
      <w:r/>
    </w:p>
    <w:p>
      <w:pPr>
        <w:spacing w:after="120"/>
      </w:pPr>
      <w:r>
        <w:t>Les MRC ne sont pas abolies brutalement; leurs compétences sont auditées, simplifiées et redéployées vers la proximité lorsque possible.</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MRC et structures régionales: une règle claire, vérifiable et au service du peuple.</w:t>
      </w:r>
    </w:p>
    <w:p>
      <w:pPr>
        <w:pStyle w:val="Heading1"/>
      </w:pPr>
      <w:r>
        <w:t>Chapitre 39 - Agriculture et autonomie alimentaire</w:t>
      </w:r>
    </w:p>
    <w:p>
      <w:pPr>
        <w:spacing w:after="120"/>
      </w:pPr>
      <w:r>
        <w:rPr>
          <w:b/>
          <w:color w:val="00A6A6"/>
        </w:rPr>
        <w:t xml:space="preserve">Idée centrale. </w:t>
      </w:r>
      <w:r/>
    </w:p>
    <w:p>
      <w:pPr>
        <w:spacing w:after="120"/>
      </w:pPr>
      <w:r>
        <w:t>L'agriculture doit viser la résilience alimentaire, la liberté productive, la transition ordonnée et la protection du territoire.</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Agriculture et autonomie alimentaire: une règle claire, vérifiable et au service du peuple.</w:t>
      </w:r>
    </w:p>
    <w:p>
      <w:r/>
    </w:p>
    <w:p>
      <w:pPr>
        <w:pStyle w:val="Heading1"/>
      </w:pPr>
      <w:r>
        <w:t>Chapitre 40 - Énergie et Hydro-Québec</w:t>
      </w:r>
    </w:p>
    <w:p>
      <w:pPr>
        <w:spacing w:after="120"/>
      </w:pPr>
      <w:r>
        <w:rPr>
          <w:b/>
          <w:color w:val="00A6A6"/>
        </w:rPr>
        <w:t xml:space="preserve">Idée centrale. </w:t>
      </w:r>
      <w:r/>
    </w:p>
    <w:p>
      <w:pPr>
        <w:spacing w:after="120"/>
      </w:pPr>
      <w:r>
        <w:t>L'énergie est stratégique; l'accès essentiel, la sécurité des réseaux et la production responsable sont prioritaires.</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Énergie et Hydro-Québec: une règle claire, vérifiable et au service du peuple.</w:t>
      </w:r>
    </w:p>
    <w:p>
      <w:pPr>
        <w:pStyle w:val="Heading1"/>
      </w:pPr>
      <w:r>
        <w:t>Chapitre 41 - Eau et ressources naturelles</w:t>
      </w:r>
    </w:p>
    <w:p>
      <w:pPr>
        <w:spacing w:after="120"/>
      </w:pPr>
      <w:r>
        <w:rPr>
          <w:b/>
          <w:color w:val="00A6A6"/>
        </w:rPr>
        <w:t xml:space="preserve">Idée centrale. </w:t>
      </w:r>
      <w:r/>
    </w:p>
    <w:p>
      <w:pPr>
        <w:spacing w:after="120"/>
      </w:pPr>
      <w:r>
        <w:t>L'eau, les ressources et le territoire doivent servir d'abord le Québec, sans financiarisation abusive.</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Eau et ressources naturelles: une règle claire, vérifiable et au service du peuple.</w:t>
      </w:r>
    </w:p>
    <w:p>
      <w:pPr>
        <w:pStyle w:val="Heading1"/>
      </w:pPr>
      <w:r>
        <w:t>Chapitre 42 - Écologie de résultats</w:t>
      </w:r>
    </w:p>
    <w:p>
      <w:pPr>
        <w:spacing w:after="120"/>
      </w:pPr>
      <w:r>
        <w:rPr>
          <w:b/>
          <w:color w:val="00A6A6"/>
        </w:rPr>
        <w:t xml:space="preserve">Idée centrale. </w:t>
      </w:r>
      <w:r/>
    </w:p>
    <w:p>
      <w:pPr>
        <w:spacing w:after="120"/>
      </w:pPr>
      <w:r>
        <w:t>La politique environnementale doit être mesurable, non punitive, non idéologique et protéger les générations futures.</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Écologie de résultats: une règle claire, vérifiable et au service du peuple.</w:t>
      </w:r>
    </w:p>
    <w:p>
      <w:r/>
    </w:p>
    <w:p>
      <w:pPr>
        <w:pStyle w:val="Heading1"/>
      </w:pPr>
      <w:r>
        <w:t>Chapitre 43 - Souveraineté numérique</w:t>
      </w:r>
    </w:p>
    <w:p>
      <w:pPr>
        <w:spacing w:after="120"/>
      </w:pPr>
      <w:r>
        <w:rPr>
          <w:b/>
          <w:color w:val="00A6A6"/>
        </w:rPr>
        <w:t xml:space="preserve">Idée centrale. </w:t>
      </w:r>
      <w:r/>
    </w:p>
    <w:p>
      <w:pPr>
        <w:spacing w:after="120"/>
      </w:pPr>
      <w:r>
        <w:t>Les données publiques et infrastructures critiques doivent être sous contrôle québécois, auditées et résilientes.</w:t>
      </w:r>
    </w:p>
    <w:p>
      <w:pPr>
        <w:pStyle w:val="Heading2"/>
      </w:pPr>
      <w:r>
        <w:t>Principes directeurs</w:t>
      </w:r>
    </w:p>
    <w:p>
      <w:pPr>
        <w:pStyle w:val="ListBullet"/>
      </w:pPr>
      <w:r>
        <w:t>Minimisation des données: ne collecter que ce qui est nécessaire.</w:t>
      </w:r>
    </w:p>
    <w:p>
      <w:pPr>
        <w:pStyle w:val="ListBullet"/>
      </w:pPr>
      <w:r>
        <w:t>Accès restreint, journalisé et justifié.</w:t>
      </w:r>
    </w:p>
    <w:p>
      <w:pPr>
        <w:pStyle w:val="ListBullet"/>
      </w:pPr>
      <w:r>
        <w:t>Aucune décision de droit sans recours humain.</w:t>
      </w:r>
    </w:p>
    <w:p>
      <w:pPr>
        <w:pStyle w:val="ListBullet"/>
      </w:pPr>
      <w:r>
        <w:t>Protection renforcée des membres, soutiens, candidats, donateurs et bénévoles.</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Souveraineté numérique: une règle claire, vérifiable et au service du peuple.</w:t>
      </w:r>
    </w:p>
    <w:p>
      <w:pPr>
        <w:pStyle w:val="Heading1"/>
      </w:pPr>
      <w:r>
        <w:t>Chapitre 44 - Données personnelles</w:t>
      </w:r>
    </w:p>
    <w:p>
      <w:pPr>
        <w:spacing w:after="120"/>
      </w:pPr>
      <w:r>
        <w:rPr>
          <w:b/>
          <w:color w:val="00A6A6"/>
        </w:rPr>
        <w:t xml:space="preserve">Idée centrale. </w:t>
      </w:r>
      <w:r/>
    </w:p>
    <w:p>
      <w:pPr>
        <w:spacing w:after="120"/>
      </w:pPr>
      <w:r>
        <w:t>Les données des citoyens, membres, soutiens, candidats et donateurs doivent être minimisées, protégées, chiffrées et effacées selon règles.</w:t>
      </w:r>
    </w:p>
    <w:p>
      <w:pPr>
        <w:pStyle w:val="Heading2"/>
      </w:pPr>
      <w:r>
        <w:t>Principes directeurs</w:t>
      </w:r>
    </w:p>
    <w:p>
      <w:pPr>
        <w:pStyle w:val="ListBullet"/>
      </w:pPr>
      <w:r>
        <w:t>Minimisation des données: ne collecter que ce qui est nécessaire.</w:t>
      </w:r>
    </w:p>
    <w:p>
      <w:pPr>
        <w:pStyle w:val="ListBullet"/>
      </w:pPr>
      <w:r>
        <w:t>Accès restreint, journalisé et justifié.</w:t>
      </w:r>
    </w:p>
    <w:p>
      <w:pPr>
        <w:pStyle w:val="ListBullet"/>
      </w:pPr>
      <w:r>
        <w:t>Aucune décision de droit sans recours humain.</w:t>
      </w:r>
    </w:p>
    <w:p>
      <w:pPr>
        <w:pStyle w:val="ListBullet"/>
      </w:pPr>
      <w:r>
        <w:t>Protection renforcée des membres, soutiens, candidats, donateurs et bénévoles.</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Données personnelles: une règle claire, vérifiable et au service du peuple.</w:t>
      </w:r>
    </w:p>
    <w:p>
      <w:pPr>
        <w:pStyle w:val="Heading1"/>
      </w:pPr>
      <w:r>
        <w:t>Chapitre 45 - Intelligence artificielle publique</w:t>
      </w:r>
    </w:p>
    <w:p>
      <w:pPr>
        <w:spacing w:after="120"/>
      </w:pPr>
      <w:r>
        <w:rPr>
          <w:b/>
          <w:color w:val="00A6A6"/>
        </w:rPr>
        <w:t xml:space="preserve">Idée centrale. </w:t>
      </w:r>
      <w:r/>
    </w:p>
    <w:p>
      <w:pPr>
        <w:spacing w:after="120"/>
      </w:pPr>
      <w:r>
        <w:t>Aucune décision affectant les droits ne doit être prise exclusivement par algorithme; recours humain obligatoire.</w:t>
      </w:r>
    </w:p>
    <w:p>
      <w:pPr>
        <w:pStyle w:val="Heading2"/>
      </w:pPr>
      <w:r>
        <w:t>Principes directeurs</w:t>
      </w:r>
    </w:p>
    <w:p>
      <w:pPr>
        <w:pStyle w:val="ListBullet"/>
      </w:pPr>
      <w:r>
        <w:t>Minimisation des données: ne collecter que ce qui est nécessaire.</w:t>
      </w:r>
    </w:p>
    <w:p>
      <w:pPr>
        <w:pStyle w:val="ListBullet"/>
      </w:pPr>
      <w:r>
        <w:t>Accès restreint, journalisé et justifié.</w:t>
      </w:r>
    </w:p>
    <w:p>
      <w:pPr>
        <w:pStyle w:val="ListBullet"/>
      </w:pPr>
      <w:r>
        <w:t>Aucune décision de droit sans recours humain.</w:t>
      </w:r>
    </w:p>
    <w:p>
      <w:pPr>
        <w:pStyle w:val="ListBullet"/>
      </w:pPr>
      <w:r>
        <w:t>Protection renforcée des membres, soutiens, candidats, donateurs et bénévoles.</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Intelligence artificielle publique: une règle claire, vérifiable et au service du peuple.</w:t>
      </w:r>
    </w:p>
    <w:p>
      <w:pPr>
        <w:pStyle w:val="Heading1"/>
      </w:pPr>
      <w:r>
        <w:t>Chapitre 46 - Médias et information</w:t>
      </w:r>
    </w:p>
    <w:p>
      <w:pPr>
        <w:spacing w:after="120"/>
      </w:pPr>
      <w:r>
        <w:rPr>
          <w:b/>
          <w:color w:val="00A6A6"/>
        </w:rPr>
        <w:t xml:space="preserve">Idée centrale. </w:t>
      </w:r>
      <w:r/>
    </w:p>
    <w:p>
      <w:pPr>
        <w:spacing w:after="120"/>
      </w:pPr>
      <w:r>
        <w:t>L'information publique doit être factuelle, vérifiée et pluraliste; la désinformation institutionnelle et la propagande sont interdites.</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Médias et information: une règle claire, vérifiable et au service du peuple.</w:t>
      </w:r>
    </w:p>
    <w:p>
      <w:r/>
    </w:p>
    <w:p>
      <w:pPr>
        <w:pStyle w:val="Heading1"/>
      </w:pPr>
      <w:r>
        <w:t>Chapitre 47 - Constitution</w:t>
      </w:r>
    </w:p>
    <w:p>
      <w:pPr>
        <w:spacing w:after="120"/>
      </w:pPr>
      <w:r>
        <w:rPr>
          <w:b/>
          <w:color w:val="00A6A6"/>
        </w:rPr>
        <w:t xml:space="preserve">Idée centrale. </w:t>
      </w:r>
      <w:r/>
    </w:p>
    <w:p>
      <w:pPr>
        <w:spacing w:after="120"/>
      </w:pPr>
      <w:r>
        <w:t>La Constitution est norme suprême, mais n'entre en vigueur qu'après mandat populaire et procédure de transition.</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Constitution: une règle claire, vérifiable et au service du peuple.</w:t>
      </w:r>
    </w:p>
    <w:p>
      <w:pPr>
        <w:pStyle w:val="Heading1"/>
      </w:pPr>
      <w:r>
        <w:t>Chapitre 48 - Transition constitutionnelle</w:t>
      </w:r>
    </w:p>
    <w:p>
      <w:pPr>
        <w:spacing w:after="120"/>
      </w:pPr>
      <w:r>
        <w:rPr>
          <w:b/>
          <w:color w:val="00A6A6"/>
        </w:rPr>
        <w:t xml:space="preserve">Idée centrale. </w:t>
      </w:r>
      <w:r/>
    </w:p>
    <w:p>
      <w:pPr>
        <w:spacing w:after="120"/>
      </w:pPr>
      <w:r>
        <w:t>Phase I: préparation légale; Phase II: substitution progressive; Phase III: pleine souveraineté.</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Transition constitutionnelle: une règle claire, vérifiable et au service du peuple.</w:t>
      </w:r>
    </w:p>
    <w:p>
      <w:pPr>
        <w:pStyle w:val="Heading1"/>
      </w:pPr>
      <w:r>
        <w:t>Chapitre 49 - Relations avec le Canada</w:t>
      </w:r>
    </w:p>
    <w:p>
      <w:pPr>
        <w:spacing w:after="120"/>
      </w:pPr>
      <w:r>
        <w:rPr>
          <w:b/>
          <w:color w:val="00A6A6"/>
        </w:rPr>
        <w:t xml:space="preserve">Idée centrale. </w:t>
      </w:r>
      <w:r/>
    </w:p>
    <w:p>
      <w:pPr>
        <w:spacing w:after="120"/>
      </w:pPr>
      <w:r>
        <w:t>Respect institutionnel en Phase I, aucune rupture unilatérale, préparation claire et mandat populaire explicite.</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Relations avec le Canada: une règle claire, vérifiable et au service du peuple.</w:t>
      </w:r>
    </w:p>
    <w:p>
      <w:pPr>
        <w:pStyle w:val="Heading1"/>
      </w:pPr>
      <w:r>
        <w:t>Chapitre 50 - Diplomatie et commerce</w:t>
      </w:r>
    </w:p>
    <w:p>
      <w:pPr>
        <w:spacing w:after="120"/>
      </w:pPr>
      <w:r>
        <w:rPr>
          <w:b/>
          <w:color w:val="00A6A6"/>
        </w:rPr>
        <w:t xml:space="preserve">Idée centrale. </w:t>
      </w:r>
      <w:r/>
    </w:p>
    <w:p>
      <w:pPr>
        <w:spacing w:after="120"/>
      </w:pPr>
      <w:r>
        <w:t>Neutralité, commerce équilibré, refus des guerres tarifaires et des sanctions qui appauvrissent les peuples.</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Diplomatie et commerce: une règle claire, vérifiable et au service du peuple.</w:t>
      </w:r>
    </w:p>
    <w:p>
      <w:pPr>
        <w:pStyle w:val="Heading1"/>
      </w:pPr>
      <w:r>
        <w:t>Chapitre 51 - Protection du nom Nova</w:t>
      </w:r>
    </w:p>
    <w:p>
      <w:pPr>
        <w:spacing w:after="120"/>
      </w:pPr>
      <w:r>
        <w:rPr>
          <w:b/>
          <w:color w:val="00A6A6"/>
        </w:rPr>
        <w:t xml:space="preserve">Idée centrale. </w:t>
      </w:r>
      <w:r/>
    </w:p>
    <w:p>
      <w:pPr>
        <w:spacing w:after="120"/>
      </w:pPr>
      <w:r>
        <w:t>Le logo, le nom, les documents maîtres et les versions officielles doivent être protégés contre l'usage abusif, les copies et les falsifications.</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Protection du nom Nova: une règle claire, vérifiable et au service du peuple.</w:t>
      </w:r>
    </w:p>
    <w:p>
      <w:r/>
    </w:p>
    <w:p>
      <w:pPr>
        <w:pStyle w:val="Heading1"/>
      </w:pPr>
      <w:r>
        <w:t>Chapitre 52 - Les 100 premiers jours</w:t>
      </w:r>
    </w:p>
    <w:p>
      <w:pPr>
        <w:spacing w:after="120"/>
      </w:pPr>
      <w:r>
        <w:rPr>
          <w:b/>
          <w:color w:val="00A6A6"/>
        </w:rPr>
        <w:t xml:space="preserve">Idée centrale. </w:t>
      </w:r>
      <w:r/>
    </w:p>
    <w:p>
      <w:pPr>
        <w:spacing w:after="120"/>
      </w:pPr>
      <w:r>
        <w:t>Audit national, registre des engagements, protection du vote, dépenses de prestige gelées, données protégées et plan de services essentiels.</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Les 100 premiers jours: une règle claire, vérifiable et au service du peuple.</w:t>
      </w:r>
    </w:p>
    <w:p>
      <w:pPr>
        <w:pStyle w:val="Heading1"/>
      </w:pPr>
      <w:r>
        <w:t>Chapitre 53 - Déploiement</w:t>
      </w:r>
    </w:p>
    <w:p>
      <w:pPr>
        <w:spacing w:after="120"/>
      </w:pPr>
      <w:r>
        <w:rPr>
          <w:b/>
          <w:color w:val="00A6A6"/>
        </w:rPr>
        <w:t xml:space="preserve">Idée centrale. </w:t>
      </w:r>
      <w:r/>
    </w:p>
    <w:p>
      <w:pPr>
        <w:spacing w:after="120"/>
      </w:pPr>
      <w:r>
        <w:t>Chaque engagement doit avoir responsable, échéancier, indicateur, coût et mécanisme de correction.</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Déploiement: une règle claire, vérifiable et au service du peuple.</w:t>
      </w:r>
    </w:p>
    <w:p>
      <w:pPr>
        <w:pStyle w:val="Heading1"/>
      </w:pPr>
      <w:r>
        <w:t>Chapitre 54 - Engagement final</w:t>
      </w:r>
    </w:p>
    <w:p>
      <w:pPr>
        <w:spacing w:after="120"/>
      </w:pPr>
      <w:r>
        <w:rPr>
          <w:b/>
          <w:color w:val="00A6A6"/>
        </w:rPr>
        <w:t xml:space="preserve">Idée centrale. </w:t>
      </w:r>
      <w:r/>
    </w:p>
    <w:p>
      <w:pPr>
        <w:spacing w:after="120"/>
      </w:pPr>
      <w:r>
        <w:t>Nova appartient à la mission, aux règles et au peuple, pas à une personne.</w:t>
      </w:r>
    </w:p>
    <w:p>
      <w:pPr>
        <w:pStyle w:val="Heading2"/>
      </w:pPr>
      <w:r>
        <w:t>Principes directeurs</w:t>
      </w:r>
    </w:p>
    <w:p>
      <w:pPr>
        <w:pStyle w:val="ListBullet"/>
      </w:pPr>
      <w:r>
        <w:t>Toute mesure doit être compréhensible par les citoyens et vérifiable publiquement.</w:t>
      </w:r>
    </w:p>
    <w:p>
      <w:pPr>
        <w:pStyle w:val="ListBullet"/>
      </w:pPr>
      <w:r>
        <w:t>Aucune autorité ne doit pouvoir se soustraire à la reddition de comptes.</w:t>
      </w:r>
    </w:p>
    <w:p>
      <w:pPr>
        <w:pStyle w:val="ListBullet"/>
      </w:pPr>
      <w:r>
        <w:t>La protection des droits, de la dignité et des services essentiels prime sur la communication politique.</w:t>
      </w:r>
    </w:p>
    <w:p>
      <w:pPr>
        <w:pStyle w:val="ListBullet"/>
      </w:pPr>
      <w:r>
        <w:t>La décision publique doit reposer sur les faits, la proportionnalité, la responsabilité et la continuité.</w:t>
      </w:r>
    </w:p>
    <w:p>
      <w:pPr>
        <w:pStyle w:val="Heading2"/>
      </w:pPr>
      <w:r>
        <w:t>Mesures structurantes</w:t>
      </w:r>
    </w:p>
    <w:p>
      <w:pPr>
        <w:pStyle w:val="ListNumber"/>
      </w:pPr>
      <w:r>
        <w:t>Inscrire ce principe dans le corpus officiel version officielle V1.6.</w:t>
      </w:r>
    </w:p>
    <w:p>
      <w:pPr>
        <w:pStyle w:val="ListNumber"/>
      </w:pPr>
      <w:r>
        <w:t>Créer un indicateur public ou interne permettant de vérifier son application.</w:t>
      </w:r>
    </w:p>
    <w:p>
      <w:pPr>
        <w:pStyle w:val="ListNumber"/>
      </w:pPr>
      <w:r>
        <w:t>Prévoir un responsable institutionnel ou organisationnel clairement identifié.</w:t>
      </w:r>
    </w:p>
    <w:p>
      <w:pPr>
        <w:pStyle w:val="ListNumber"/>
      </w:pPr>
      <w:r>
        <w:t>Prévoir une procédure de correction rapide en cas de dérive, contradiction ou abus.</w:t>
      </w:r>
    </w:p>
    <w:p>
      <w:pPr>
        <w:pStyle w:val="ListNumber"/>
      </w:pPr>
      <w:r>
        <w:t>Assurer la compatibilité avec le code de conduite, la Constitution, les lois organiques et les lois ordinaires.</w:t>
      </w:r>
    </w:p>
    <w:p>
      <w:pPr>
        <w:pStyle w:val="Heading2"/>
      </w:pPr>
      <w:r>
        <w:t>Ce que Nova refuse</w:t>
      </w:r>
    </w:p>
    <w:p>
      <w:pPr>
        <w:pStyle w:val="ListBullet"/>
      </w:pPr>
      <w:r>
        <w:t>Les slogans sans mécanisme d’application.</w:t>
      </w:r>
    </w:p>
    <w:p>
      <w:pPr>
        <w:pStyle w:val="ListBullet"/>
      </w:pPr>
      <w:r>
        <w:t>Les privilèges cachés ou les exceptions non publiées.</w:t>
      </w:r>
    </w:p>
    <w:p>
      <w:pPr>
        <w:pStyle w:val="ListBullet"/>
      </w:pPr>
      <w:r>
        <w:t>Les décisions prises sous pression médiatique sans preuve ou sans audit.</w:t>
      </w:r>
    </w:p>
    <w:p>
      <w:pPr>
        <w:pStyle w:val="ListBullet"/>
      </w:pPr>
      <w:r>
        <w:t>Les formulations qui affaiblissent les droits civils, la dignité ou la cohérence juridique.</w:t>
      </w:r>
    </w:p>
    <w:p>
      <w:pPr>
        <w:pStyle w:val="Heading2"/>
      </w:pPr>
      <w:r>
        <w:t>Formule de synthèse</w:t>
      </w:r>
    </w:p>
    <w:p>
      <w:pPr>
        <w:spacing w:after="120"/>
      </w:pPr>
      <w:r>
        <w:t>Engagement final: une règle claire, vérifiable et au service du peuple.</w:t>
      </w:r>
    </w:p>
    <w:p>
      <w:r/>
    </w:p>
    <w:p>
      <w:pPr>
        <w:pStyle w:val="Heading1"/>
      </w:pPr>
      <w:r>
        <w:t>Annexe A - Politique intégrée de financement public</w:t>
      </w:r>
    </w:p>
    <w:p>
      <w:pPr>
        <w:spacing w:after="120"/>
      </w:pPr>
      <w:r>
        <w:t>L'argent public doit servir les besoins publics essentiels. Les fonds publics ne doivent pas financer obligatoirement les activités commerciales ou privées non essentielles, notamment les athlètes professionnels, équipes privées, artistes commerciaux, spectacles, festivals non essentiels, productions privées, événements promotionnels, influenceurs ou projets de prestige.</w:t>
      </w:r>
    </w:p>
    <w:p>
      <w:pPr>
        <w:spacing w:after="120"/>
      </w:pPr>
      <w:r>
        <w:t>Ces activités peuvent être soutenues par le privé, la billetterie, les abonnements, les mécènes, les commandites, les fondations, les dons et les contributions citoyennes volontaires. Une exception limitée peut viser le patrimoine, l'accès public de base, la sécurité, l'éducation fondamentale ou une obligation légale, mais elle doit être publique, auditée, temporaire, plafonnée et justifiée par résultats mesurables.</w:t>
      </w:r>
    </w:p>
    <w:p>
      <w:pPr>
        <w:pStyle w:val="Heading1"/>
      </w:pPr>
      <w:r>
        <w:t>Annexe B - Protection des données et du corpus Nova</w:t>
      </w:r>
    </w:p>
    <w:p>
      <w:pPr>
        <w:pStyle w:val="ListBullet"/>
      </w:pPr>
      <w:r>
        <w:t>Registre officiel des versions et documents maîtres.</w:t>
      </w:r>
    </w:p>
    <w:p>
      <w:pPr>
        <w:pStyle w:val="ListBullet"/>
      </w:pPr>
      <w:r>
        <w:t>Protection du logo, du nom Nova, de la couverture officielle et du Livre Nova.</w:t>
      </w:r>
    </w:p>
    <w:p>
      <w:pPr>
        <w:pStyle w:val="ListBullet"/>
      </w:pPr>
      <w:r>
        <w:t>Contrôle des accès aux listes de membres, soutiens, candidats, donateurs et bénévoles.</w:t>
      </w:r>
    </w:p>
    <w:p>
      <w:pPr>
        <w:pStyle w:val="ListBullet"/>
      </w:pPr>
      <w:r>
        <w:t>Chiffrement des fichiers sensibles et interdiction de diffusion non autorisée.</w:t>
      </w:r>
    </w:p>
    <w:p>
      <w:pPr>
        <w:pStyle w:val="ListBullet"/>
      </w:pPr>
      <w:r>
        <w:t>Suppression des données inutiles et conservation limitée.</w:t>
      </w:r>
    </w:p>
    <w:p>
      <w:pPr>
        <w:pStyle w:val="ListBullet"/>
      </w:pPr>
      <w:r>
        <w:t>Réponse rapide aux incidents: notification, audit, correction, sanctions internes.</w:t>
      </w:r>
    </w:p>
    <w:p>
      <w:pPr>
        <w:pStyle w:val="Heading1"/>
      </w:pPr>
      <w:r>
        <w:t>Annexe C - Table de cohérence version officielle V1.6</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1F33"/>
          </w:tcPr>
          <w:p>
            <w:r/>
            <w:r>
              <w:rPr>
                <w:b/>
                <w:color w:val="FFFFFF"/>
                <w:sz w:val="18"/>
              </w:rPr>
              <w:t>Sujet</w:t>
            </w:r>
          </w:p>
        </w:tc>
        <w:tc>
          <w:tcPr>
            <w:tcW w:type="dxa" w:w="3360"/>
            <w:vAlign w:val="center"/>
            <w:shd w:fill="0B1F33"/>
          </w:tcPr>
          <w:p>
            <w:r/>
            <w:r>
              <w:rPr>
                <w:b/>
                <w:color w:val="FFFFFF"/>
                <w:sz w:val="18"/>
              </w:rPr>
              <w:t>Risque repéré</w:t>
            </w:r>
          </w:p>
        </w:tc>
        <w:tc>
          <w:tcPr>
            <w:tcW w:type="dxa" w:w="3360"/>
            <w:vAlign w:val="center"/>
            <w:shd w:fill="0B1F33"/>
          </w:tcPr>
          <w:p>
            <w:r/>
            <w:r>
              <w:rPr>
                <w:b/>
                <w:color w:val="FFFFFF"/>
                <w:sz w:val="18"/>
              </w:rPr>
              <w:t>Correctif intégré</w:t>
            </w:r>
          </w:p>
        </w:tc>
      </w:tr>
      <w:tr>
        <w:tc>
          <w:tcPr>
            <w:tcW w:type="dxa" w:w="3360"/>
            <w:vAlign w:val="center"/>
            <w:shd w:fill="E6EEF2"/>
          </w:tcPr>
          <w:p>
            <w:r/>
            <w:r>
              <w:rPr>
                <w:b w:val="0"/>
                <w:color w:val="000000"/>
                <w:sz w:val="18"/>
              </w:rPr>
              <w:t>Risque d'image</w:t>
            </w:r>
          </w:p>
        </w:tc>
        <w:tc>
          <w:tcPr>
            <w:tcW w:type="dxa" w:w="3360"/>
            <w:vAlign w:val="center"/>
          </w:tcPr>
          <w:p>
            <w:r/>
            <w:r>
              <w:rPr>
                <w:b w:val="0"/>
                <w:color w:val="000000"/>
                <w:sz w:val="18"/>
              </w:rPr>
              <w:t>Anciens documents SCQ et versions 1.0/1.2 mélangées</w:t>
            </w:r>
          </w:p>
        </w:tc>
        <w:tc>
          <w:tcPr>
            <w:tcW w:type="dxa" w:w="3360"/>
            <w:vAlign w:val="center"/>
          </w:tcPr>
          <w:p>
            <w:r/>
            <w:r>
              <w:rPr>
                <w:b w:val="0"/>
                <w:color w:val="000000"/>
                <w:sz w:val="18"/>
              </w:rPr>
              <w:t>Uniformiser Projet Nova / Parti Nova, version officielle V1.6, index maître et registre de versions.</w:t>
            </w:r>
          </w:p>
        </w:tc>
      </w:tr>
      <w:tr>
        <w:tc>
          <w:tcPr>
            <w:tcW w:type="dxa" w:w="3360"/>
            <w:vAlign w:val="center"/>
            <w:shd w:fill="E6EEF2"/>
          </w:tcPr>
          <w:p>
            <w:r/>
            <w:r>
              <w:rPr>
                <w:b w:val="0"/>
                <w:color w:val="000000"/>
                <w:sz w:val="18"/>
              </w:rPr>
              <w:t>Financement non essentiel</w:t>
            </w:r>
          </w:p>
        </w:tc>
        <w:tc>
          <w:tcPr>
            <w:tcW w:type="dxa" w:w="3360"/>
            <w:vAlign w:val="center"/>
          </w:tcPr>
          <w:p>
            <w:r/>
            <w:r>
              <w:rPr>
                <w:b w:val="0"/>
                <w:color w:val="000000"/>
                <w:sz w:val="18"/>
              </w:rPr>
              <w:t>Contradiction entre soutien à la culture et refus des subventions</w:t>
            </w:r>
          </w:p>
        </w:tc>
        <w:tc>
          <w:tcPr>
            <w:tcW w:type="dxa" w:w="3360"/>
            <w:vAlign w:val="center"/>
          </w:tcPr>
          <w:p>
            <w:r/>
            <w:r>
              <w:rPr>
                <w:b w:val="0"/>
                <w:color w:val="000000"/>
                <w:sz w:val="18"/>
              </w:rPr>
              <w:t>Distinguer patrimoine/accès public essentiel de financement commercial privé.</w:t>
            </w:r>
          </w:p>
        </w:tc>
      </w:tr>
      <w:tr>
        <w:tc>
          <w:tcPr>
            <w:tcW w:type="dxa" w:w="3360"/>
            <w:vAlign w:val="center"/>
            <w:shd w:fill="E6EEF2"/>
          </w:tcPr>
          <w:p>
            <w:r/>
            <w:r>
              <w:rPr>
                <w:b w:val="0"/>
                <w:color w:val="000000"/>
                <w:sz w:val="18"/>
              </w:rPr>
              <w:t>Laïcité et droits</w:t>
            </w:r>
          </w:p>
        </w:tc>
        <w:tc>
          <w:tcPr>
            <w:tcW w:type="dxa" w:w="3360"/>
            <w:vAlign w:val="center"/>
          </w:tcPr>
          <w:p>
            <w:r/>
            <w:r>
              <w:rPr>
                <w:b w:val="0"/>
                <w:color w:val="000000"/>
                <w:sz w:val="18"/>
              </w:rPr>
              <w:t>Formulations trop larges pouvant cibler des personnes</w:t>
            </w:r>
          </w:p>
        </w:tc>
        <w:tc>
          <w:tcPr>
            <w:tcW w:type="dxa" w:w="3360"/>
            <w:vAlign w:val="center"/>
          </w:tcPr>
          <w:p>
            <w:r/>
            <w:r>
              <w:rPr>
                <w:b w:val="0"/>
                <w:color w:val="000000"/>
                <w:sz w:val="18"/>
              </w:rPr>
              <w:t>Neutralité institutionnelle, voie publique, lieux de culte/propriétés privées; contrôle juridique avant publication.</w:t>
            </w:r>
          </w:p>
        </w:tc>
      </w:tr>
      <w:tr>
        <w:tc>
          <w:tcPr>
            <w:tcW w:type="dxa" w:w="3360"/>
            <w:vAlign w:val="center"/>
            <w:shd w:fill="E6EEF2"/>
          </w:tcPr>
          <w:p>
            <w:r/>
            <w:r>
              <w:rPr>
                <w:b w:val="0"/>
                <w:color w:val="000000"/>
                <w:sz w:val="18"/>
              </w:rPr>
              <w:t>Identité de genre</w:t>
            </w:r>
          </w:p>
        </w:tc>
        <w:tc>
          <w:tcPr>
            <w:tcW w:type="dxa" w:w="3360"/>
            <w:vAlign w:val="center"/>
          </w:tcPr>
          <w:p>
            <w:r/>
            <w:r>
              <w:rPr>
                <w:b w:val="0"/>
                <w:color w:val="000000"/>
                <w:sz w:val="18"/>
              </w:rPr>
              <w:t>Risque juridique et médiatique</w:t>
            </w:r>
          </w:p>
        </w:tc>
        <w:tc>
          <w:tcPr>
            <w:tcW w:type="dxa" w:w="3360"/>
            <w:vAlign w:val="center"/>
          </w:tcPr>
          <w:p>
            <w:r/>
            <w:r>
              <w:rPr>
                <w:b w:val="0"/>
                <w:color w:val="000000"/>
                <w:sz w:val="18"/>
              </w:rPr>
              <w:t>Formulation: sexe biologique pour domaines objectifs + dignité et droits civils + liberté de conscience.</w:t>
            </w:r>
          </w:p>
        </w:tc>
      </w:tr>
      <w:tr>
        <w:tc>
          <w:tcPr>
            <w:tcW w:type="dxa" w:w="3360"/>
            <w:vAlign w:val="center"/>
            <w:shd w:fill="E6EEF2"/>
          </w:tcPr>
          <w:p>
            <w:r/>
            <w:r>
              <w:rPr>
                <w:b w:val="0"/>
                <w:color w:val="000000"/>
                <w:sz w:val="18"/>
              </w:rPr>
              <w:t>Municipalités</w:t>
            </w:r>
          </w:p>
        </w:tc>
        <w:tc>
          <w:tcPr>
            <w:tcW w:type="dxa" w:w="3360"/>
            <w:vAlign w:val="center"/>
          </w:tcPr>
          <w:p>
            <w:r/>
            <w:r>
              <w:rPr>
                <w:b w:val="0"/>
                <w:color w:val="000000"/>
                <w:sz w:val="18"/>
              </w:rPr>
              <w:t>Abolition brutale des MRC ou grandes villes</w:t>
            </w:r>
          </w:p>
        </w:tc>
        <w:tc>
          <w:tcPr>
            <w:tcW w:type="dxa" w:w="3360"/>
            <w:vAlign w:val="center"/>
          </w:tcPr>
          <w:p>
            <w:r/>
            <w:r>
              <w:rPr>
                <w:b w:val="0"/>
                <w:color w:val="000000"/>
                <w:sz w:val="18"/>
              </w:rPr>
              <w:t>Audit, référendums locaux, redéploiement progressif, continuité des services.</w:t>
            </w:r>
          </w:p>
        </w:tc>
      </w:tr>
      <w:tr>
        <w:tc>
          <w:tcPr>
            <w:tcW w:type="dxa" w:w="3360"/>
            <w:vAlign w:val="center"/>
            <w:shd w:fill="E6EEF2"/>
          </w:tcPr>
          <w:p>
            <w:r/>
            <w:r>
              <w:rPr>
                <w:b w:val="0"/>
                <w:color w:val="000000"/>
                <w:sz w:val="18"/>
              </w:rPr>
              <w:t>Citoyenneté</w:t>
            </w:r>
          </w:p>
        </w:tc>
        <w:tc>
          <w:tcPr>
            <w:tcW w:type="dxa" w:w="3360"/>
            <w:vAlign w:val="center"/>
          </w:tcPr>
          <w:p>
            <w:r/>
            <w:r>
              <w:rPr>
                <w:b w:val="0"/>
                <w:color w:val="000000"/>
                <w:sz w:val="18"/>
              </w:rPr>
              <w:t>Règles trop rigides contestables</w:t>
            </w:r>
          </w:p>
        </w:tc>
        <w:tc>
          <w:tcPr>
            <w:tcW w:type="dxa" w:w="3360"/>
            <w:vAlign w:val="center"/>
          </w:tcPr>
          <w:p>
            <w:r/>
            <w:r>
              <w:rPr>
                <w:b w:val="0"/>
                <w:color w:val="000000"/>
                <w:sz w:val="18"/>
              </w:rPr>
              <w:t>Proportionnalité, recours, juristes spécialisés, phases transitoires.</w:t>
            </w:r>
          </w:p>
        </w:tc>
      </w:tr>
      <w:tr>
        <w:tc>
          <w:tcPr>
            <w:tcW w:type="dxa" w:w="3360"/>
            <w:vAlign w:val="center"/>
            <w:shd w:fill="E6EEF2"/>
          </w:tcPr>
          <w:p>
            <w:r/>
            <w:r>
              <w:rPr>
                <w:b w:val="0"/>
                <w:color w:val="000000"/>
                <w:sz w:val="18"/>
              </w:rPr>
              <w:t>Données</w:t>
            </w:r>
          </w:p>
        </w:tc>
        <w:tc>
          <w:tcPr>
            <w:tcW w:type="dxa" w:w="3360"/>
            <w:vAlign w:val="center"/>
          </w:tcPr>
          <w:p>
            <w:r/>
            <w:r>
              <w:rPr>
                <w:b w:val="0"/>
                <w:color w:val="000000"/>
                <w:sz w:val="18"/>
              </w:rPr>
              <w:t>Fuites de membres/soutiens/candidats</w:t>
            </w:r>
          </w:p>
        </w:tc>
        <w:tc>
          <w:tcPr>
            <w:tcW w:type="dxa" w:w="3360"/>
            <w:vAlign w:val="center"/>
          </w:tcPr>
          <w:p>
            <w:r/>
            <w:r>
              <w:rPr>
                <w:b w:val="0"/>
                <w:color w:val="000000"/>
                <w:sz w:val="18"/>
              </w:rPr>
              <w:t>Registre, minimisation, chiffrement, accès restreint, suppression, responsable de protection.</w:t>
            </w:r>
          </w:p>
        </w:tc>
      </w:tr>
      <w:tr>
        <w:tc>
          <w:tcPr>
            <w:tcW w:type="dxa" w:w="3360"/>
            <w:vAlign w:val="center"/>
            <w:shd w:fill="E6EEF2"/>
          </w:tcPr>
          <w:p>
            <w:r/>
            <w:r>
              <w:rPr>
                <w:b w:val="0"/>
                <w:color w:val="000000"/>
                <w:sz w:val="18"/>
              </w:rPr>
              <w:t>Logo et livre</w:t>
            </w:r>
          </w:p>
        </w:tc>
        <w:tc>
          <w:tcPr>
            <w:tcW w:type="dxa" w:w="3360"/>
            <w:vAlign w:val="center"/>
          </w:tcPr>
          <w:p>
            <w:r/>
            <w:r>
              <w:rPr>
                <w:b w:val="0"/>
                <w:color w:val="000000"/>
                <w:sz w:val="18"/>
              </w:rPr>
              <w:t>Usage abusif ou confusion publique</w:t>
            </w:r>
          </w:p>
        </w:tc>
        <w:tc>
          <w:tcPr>
            <w:tcW w:type="dxa" w:w="3360"/>
            <w:vAlign w:val="center"/>
          </w:tcPr>
          <w:p>
            <w:r/>
            <w:r>
              <w:rPr>
                <w:b w:val="0"/>
                <w:color w:val="000000"/>
                <w:sz w:val="18"/>
              </w:rPr>
              <w:t>Charte visuelle, version officielle, marquage, registre des documents, protection juridique.</w:t>
            </w:r>
          </w:p>
        </w:tc>
      </w:tr>
      <w:tr>
        <w:tc>
          <w:tcPr>
            <w:tcW w:type="dxa" w:w="3360"/>
            <w:vAlign w:val="center"/>
            <w:shd w:fill="E6EEF2"/>
          </w:tcPr>
          <w:p>
            <w:r/>
            <w:r>
              <w:rPr>
                <w:b w:val="0"/>
                <w:color w:val="000000"/>
                <w:sz w:val="18"/>
              </w:rPr>
              <w:t>Transition</w:t>
            </w:r>
          </w:p>
        </w:tc>
        <w:tc>
          <w:tcPr>
            <w:tcW w:type="dxa" w:w="3360"/>
            <w:vAlign w:val="center"/>
          </w:tcPr>
          <w:p>
            <w:r/>
            <w:r>
              <w:rPr>
                <w:b w:val="0"/>
                <w:color w:val="000000"/>
                <w:sz w:val="18"/>
              </w:rPr>
              <w:t>Impression de rupture brutale</w:t>
            </w:r>
          </w:p>
        </w:tc>
        <w:tc>
          <w:tcPr>
            <w:tcW w:type="dxa" w:w="3360"/>
            <w:vAlign w:val="center"/>
          </w:tcPr>
          <w:p>
            <w:r/>
            <w:r>
              <w:rPr>
                <w:b w:val="0"/>
                <w:color w:val="000000"/>
                <w:sz w:val="18"/>
              </w:rPr>
              <w:t>Rappeler Phase I légale, Phase II progressive, Phase III conditionnelle.</w:t>
            </w:r>
          </w:p>
        </w:tc>
      </w:tr>
      <w:tr>
        <w:tc>
          <w:tcPr>
            <w:tcW w:type="dxa" w:w="3360"/>
            <w:vAlign w:val="center"/>
            <w:shd w:fill="E6EEF2"/>
          </w:tcPr>
          <w:p>
            <w:r/>
            <w:r>
              <w:rPr>
                <w:b w:val="0"/>
                <w:color w:val="000000"/>
                <w:sz w:val="18"/>
              </w:rPr>
              <w:t>Communication</w:t>
            </w:r>
          </w:p>
        </w:tc>
        <w:tc>
          <w:tcPr>
            <w:tcW w:type="dxa" w:w="3360"/>
            <w:vAlign w:val="center"/>
          </w:tcPr>
          <w:p>
            <w:r/>
            <w:r>
              <w:rPr>
                <w:b w:val="0"/>
                <w:color w:val="000000"/>
                <w:sz w:val="18"/>
              </w:rPr>
              <w:t>Propos militants trop directs ou attaquables</w:t>
            </w:r>
          </w:p>
        </w:tc>
        <w:tc>
          <w:tcPr>
            <w:tcW w:type="dxa" w:w="3360"/>
            <w:vAlign w:val="center"/>
          </w:tcPr>
          <w:p>
            <w:r/>
            <w:r>
              <w:rPr>
                <w:b w:val="0"/>
                <w:color w:val="000000"/>
                <w:sz w:val="18"/>
              </w:rPr>
              <w:t>Cadre de langage: ferme, factuel, non violent, vérifiable.</w:t>
            </w:r>
          </w:p>
        </w:tc>
      </w:tr>
    </w:tbl>
    <w:p/>
    <w:p>
      <w:r/>
    </w:p>
    <w:p>
      <w:pPr>
        <w:pStyle w:val="Heading1"/>
      </w:pPr>
      <w:r>
        <w:t>MISE A JOUR V1.6 - VERROUILLAGE INTEGRAL</w:t>
      </w:r>
    </w:p>
    <w:p>
      <w:r>
        <w:t>La présente version intègre directement le correctif structurel no 4 : verrouillage anti-contournement, anti-corruption, anti-capture institutionnelle, interpretation stricte du pouvoir et agriculture saine sans OGM.</w:t>
      </w:r>
    </w:p>
    <w:p>
      <w:pPr>
        <w:pStyle w:val="Heading1"/>
      </w:pPr>
      <w:r>
        <w:t>Intégration directe - correctif structurel no 4</w:t>
      </w:r>
    </w:p>
    <w:p>
      <w:r>
        <w:t xml:space="preserve">Principe directeur : </w:t>
      </w:r>
      <w:r>
        <w:rPr>
          <w:b/>
        </w:rPr>
        <w:t>aucune interpretation ne peut agrandir le pouvoir de l'Etat, reduire la responsabilite, camoufler une depense, proteger un avantage indu ou permettre la capture du peuple par un interet prive.</w:t>
      </w:r>
    </w:p>
    <w:p>
      <w:pPr>
        <w:pStyle w:val="Heading2"/>
      </w:pPr>
      <w:r>
        <w:t>1. Objet de l'correctif intégré no 4</w:t>
      </w:r>
    </w:p>
    <w:p>
      <w:r>
        <w:t>Le présent correctif intégré renforce l'ensemble du Projet Nova contre toute tentative de contournement, d'interprétation abusive, de corruption directe ou indirecte, de capture institutionnelle, de dilution de responsabilité, de financement public déguisé ou de réintroduction de modèles agricoles contraires à l'autonomie alimentaire du Québec.</w:t>
      </w:r>
    </w:p>
    <w:p>
      <w:r>
        <w:t>Il s'applique au Projet Nova durant la phase provinciale actuelle, à toute phase de transition constitutionnelle et au futur Québec souverain. Il doit être intégré directement à la Constitution, aux lois organiques, aux lois administratives, aux lois ordinaires, aux règlements, au Livre Nova, au programme, au registre des risques, au code de conduite et aux documents publics.</w:t>
      </w:r>
    </w:p>
    <w:p>
      <w:pPr>
        <w:pStyle w:val="Heading2"/>
      </w:pPr>
      <w:r>
        <w:t>2. Clause générale anti-contournement</w:t>
      </w:r>
    </w:p>
    <w:p>
      <w:r>
        <w:rPr>
          <w:b/>
        </w:rPr>
        <w:t>Nul ne peut faire indirectement ce qu'il lui est interdit de faire directement.</w:t>
      </w:r>
    </w:p>
    <w:p>
      <w:r>
        <w:t>Toute tentative de contourner une règle constitutionnelle, législative, administrative, financière, électorale ou éthique par un montage, une exception, une délégation, une société, une fondation, une agence, un contrat, un règlement, une directive, une urgence, une structure municipale, une société d'État, un partenariat public-prive, une sous-traitance, une interprétation abusive ou tout mécanisme équivalent est nulle de plein droit.</w:t>
      </w:r>
    </w:p>
    <w:p>
      <w:r>
        <w:t>La nullité s'applique peu importe le titre donné à l'acte, sa forme juridique, son auteur, son véhicule administratif ou le niveau de gouvernement qui l'utilise.</w:t>
      </w:r>
    </w:p>
    <w:p>
      <w:pPr>
        <w:pStyle w:val="Heading2"/>
      </w:pPr>
      <w:r>
        <w:t>3. Effet réel avant apparence</w:t>
      </w:r>
    </w:p>
    <w:p>
      <w:r>
        <w:t>L'interprétation de tout acte public, contrat, règlement, décision, politique, programme, subvention, entente ou directive doit se fonder sur son effet réel.</w:t>
      </w:r>
    </w:p>
    <w:p>
      <w:r>
        <w:t>Lorsqu'un acte produit un effet équivalent à une mesure interdite, il est réputé interdit, même s'il porte un autre nom, utilise une structure différente ou prétend poursuivre un objectif distinct.</w:t>
      </w:r>
    </w:p>
    <w:p>
      <w:r>
        <w:t>Le vocabulaire administratif ne peut jamais servir à transformer une interdiction en permission.</w:t>
      </w:r>
    </w:p>
    <w:p>
      <w:pPr>
        <w:pStyle w:val="Heading2"/>
      </w:pPr>
      <w:r>
        <w:t>4. Interprétation restrictive du pouvoir</w:t>
      </w:r>
    </w:p>
    <w:p>
      <w:r>
        <w:rPr>
          <w:b/>
        </w:rPr>
        <w:t>Tout pouvoir public s'interprète strictement.</w:t>
      </w:r>
    </w:p>
    <w:p>
      <w:r>
        <w:t>Aucune autorité ne peut déduire un pouvoir implicite, indirect, exceptionnel, élargi ou dérivé d'une disposition générale.</w:t>
      </w:r>
    </w:p>
    <w:p>
      <w:r>
        <w:t>En cas de doute, l'interprétation la plus restrictive du pouvoir public et la plus protectrice du citoyen, de la transparence, de la responsabilité, de la souveraineté populaire et des services essentiels prévaut.</w:t>
      </w:r>
    </w:p>
    <w:p>
      <w:pPr>
        <w:pStyle w:val="Heading2"/>
      </w:pPr>
      <w:r>
        <w:t>5. Exceptions limitées et contrôlables</w:t>
      </w:r>
    </w:p>
    <w:p>
      <w:r>
        <w:t>Toute exception doit être écrite, précise, limitée, motivée, publique, temporaire, contrôlable, révisable et rattachée explicitement à une norme supérieure.</w:t>
      </w:r>
    </w:p>
    <w:p>
      <w:r>
        <w:t>Les formulations vagues, notamment 'si nécessaire', 'selon l'intérêt public', 'dans des circonstances particulières', 'sauf exception raisonnable', 'par règlement' ou 'selon les modalités déterminées par le gouvernement', ne peuvent créer aucun pouvoir autonome.</w:t>
      </w:r>
    </w:p>
    <w:p>
      <w:r>
        <w:t>Toute exception non expressément autorisée par une norme supérieure est réputée inexistante.</w:t>
      </w:r>
    </w:p>
    <w:p>
      <w:pPr>
        <w:pStyle w:val="Heading2"/>
      </w:pPr>
      <w:r>
        <w:t>6. Règlements, directives et politiques publiques</w:t>
      </w:r>
    </w:p>
    <w:p>
      <w:r>
        <w:t>Aucun règlement, directive, politique publique, guide administratif, circulaire ou instruction interne ne peut créer une obligation, une taxe, une sanction, une restriction, une exception, un pouvoir ou une dépense qui n'est pas explicitement prévu par une norme supérieure.</w:t>
      </w:r>
    </w:p>
    <w:p>
      <w:r>
        <w:t>Tout règlement ou acte administratif qui modifie l'effet réel d'une loi, affaiblit une protection, crée un privilège, élargit un pouvoir ou contourne une interdiction est nul de plein droit.</w:t>
      </w:r>
    </w:p>
    <w:p>
      <w:pPr>
        <w:pStyle w:val="Heading2"/>
      </w:pPr>
      <w:r>
        <w:t>7. Contrats publics et montages financiers</w:t>
      </w:r>
    </w:p>
    <w:p>
      <w:r>
        <w:t>Aucun contrat public ne peut accorder à une personne, entreprise, organisme, fournisseur ou partenaire un avantage que la loi interdit à l'État d'accorder directement.</w:t>
      </w:r>
    </w:p>
    <w:p>
      <w:r>
        <w:t>Toute clause contractuelle ayant pour effet de contourner une règle de transparence, de concurrence, de responsabilité, de financement public, de protection des services essentiels, de protection de l'environnement, de protection des données ou d'intégrité publique est nulle.</w:t>
      </w:r>
    </w:p>
    <w:p>
      <w:r>
        <w:t>Les garanties de prêt, crédits d'impôt, commandites publiques, achats symboliques, avances remboursables, fonds spéciaux, contrats de visibilité, fondations liées et sociétés interposées sont soumis aux mêmes interdictions que les subventions directes lorsqu'ils produisent un effet équivalent.</w:t>
      </w:r>
    </w:p>
    <w:p>
      <w:pPr>
        <w:pStyle w:val="Heading2"/>
      </w:pPr>
      <w:r>
        <w:t>8. Organismes parallèles et délégations</w:t>
      </w:r>
    </w:p>
    <w:p>
      <w:r>
        <w:t>Les agences, sociétés d'État, fondations publiques, organismes parapublics, comités, commissions, mandataires, sous-traitants, municipalités, MRC, organismes régionaux et partenaires privés sont soumis aux mêmes interdictions que l'État lorsqu'ils agissent avec de l'argent public, un mandat public, une autorité déléguée, une donnée publique ou un pouvoir réglementaire.</w:t>
      </w:r>
    </w:p>
    <w:p>
      <w:r>
        <w:t>Aucune structure intermédiaire ne peut être créée pour faire indirectement ce que l'État ne peut pas faire directement.</w:t>
      </w:r>
    </w:p>
    <w:p>
      <w:pPr>
        <w:pStyle w:val="Heading2"/>
      </w:pPr>
      <w:r>
        <w:t>9. Corruption directe, indirecte et différée</w:t>
      </w:r>
    </w:p>
    <w:p>
      <w:r>
        <w:t>Est assimilé à de la corruption tout avantage direct, indirect, différé, conditionnel ou non monétaire accordé à un décideur, à sa famille, à ses proches, à ses associés, à une entité liée ou à un futur employeur lorsque cet avantage peut influencer, récompenser, acheter, neutraliser ou orienter une décision publique.</w:t>
      </w:r>
    </w:p>
    <w:p>
      <w:r>
        <w:t>Sont notamment visés les cadeaux, repas, voyages, rabais, prêts avantageux, contrats, emplois futurs, nominations, contributions déguisées, services gratuits, invitations, promesses de carrière, avantages à des proches, dons à des fondations liées ou avantages fournis par un prête-nom.</w:t>
      </w:r>
    </w:p>
    <w:p>
      <w:pPr>
        <w:pStyle w:val="Heading2"/>
      </w:pPr>
      <w:r>
        <w:t>10. Proches, prête-noms et entités liées</w:t>
      </w:r>
    </w:p>
    <w:p>
      <w:r>
        <w:t>Les interdictions visant un élu, dirigeant, fonctionnaire, administrateur public, expert mandaté, membre d'un comité, responsable de contrat ou décideur public s'appliquent également aux personnes liées, prête-noms, sociétés contrôlées, fondations associées, partenaires d'affaires, membres de la famille immédiate et toute structure utilisée pour recevoir indirectement un avantage.</w:t>
      </w:r>
    </w:p>
    <w:p>
      <w:r>
        <w:t>La dissimulation par personne interposée constitue une faute aggravée.</w:t>
      </w:r>
    </w:p>
    <w:p>
      <w:pPr>
        <w:pStyle w:val="Heading2"/>
      </w:pPr>
      <w:r>
        <w:t>11. Registre public des intérêts</w:t>
      </w:r>
    </w:p>
    <w:p>
      <w:r>
        <w:t>Toute personne exerçant une fonction décisionnelle publique doit déclarer ses intérêts financiers, professionnels, familiaux, associatifs, contractuels et relationnels pertinents.</w:t>
      </w:r>
    </w:p>
    <w:p>
      <w:r>
        <w:t>Cette obligation vise les élus, ministres, hauts fonctionnaires, dirigeants de sociétés publiques, responsables de contrats, membres de comités de nomination, responsables électoraux, chefs de police, dirigeants d'autorités indépendantes, experts mandatés et toute personne exerçant une influence décisionnelle réelle.</w:t>
      </w:r>
    </w:p>
    <w:p>
      <w:r>
        <w:t>Une déclaration incomplète, fausse, tardive ou volontairement ambiguë entraîne suspension immédiate, enquête indépendante et sanctions.</w:t>
      </w:r>
    </w:p>
    <w:p>
      <w:pPr>
        <w:pStyle w:val="Heading2"/>
      </w:pPr>
      <w:r>
        <w:t>12. Décisions publiques non anonymes</w:t>
      </w:r>
    </w:p>
    <w:p>
      <w:r>
        <w:t>Toute décision publique doit identifier un décideur humain responsable.</w:t>
      </w:r>
    </w:p>
    <w:p>
      <w:r>
        <w:t>Les décisions anonymes, collectives sans responsable désigné, automatisées sans validation humaine, attribuées à une structure impersonnelle ou diluées par sous-traitance opaque sont nulles.</w:t>
      </w:r>
    </w:p>
    <w:p>
      <w:r>
        <w:t>Le fait d'agir par ordre, par comité, par algorithme, par sous-traitant ou par structure intermédiaire ne protège jamais contre la responsabilité personnelle.</w:t>
      </w:r>
    </w:p>
    <w:p>
      <w:pPr>
        <w:pStyle w:val="Heading2"/>
      </w:pPr>
      <w:r>
        <w:t>13. Nominations et indépendance des fonctions clés</w:t>
      </w:r>
    </w:p>
    <w:p>
      <w:r>
        <w:t>Toute nomination à une fonction indépendante doit être fondée sur des critères publics, une vérification d'intégrité, une audition publique lorsque nécessaire, une décision motivée, une durée de mandat limitée et un mécanisme de contestation.</w:t>
      </w:r>
    </w:p>
    <w:p>
      <w:r>
        <w:t>Aucune nomination ne peut servir à récompenser une loyauté partisane, une proximité personnelle, un service rendu, un financement indirect ou une obéissance idéologique.</w:t>
      </w:r>
    </w:p>
    <w:p>
      <w:r>
        <w:t>Les fonctions de juge, chef de police, responsable électoral, commissaire à l'éthique, vérificateur, enquêteur indépendant et dirigeant d'autorité de contrôle doivent être protégées contre la nomination discrétionnaire par le gouvernement seul.</w:t>
      </w:r>
    </w:p>
    <w:p>
      <w:pPr>
        <w:pStyle w:val="Heading2"/>
      </w:pPr>
      <w:r>
        <w:t>14. Enquêtes indépendantes</w:t>
      </w:r>
    </w:p>
    <w:p>
      <w:r>
        <w:t>Aucune institution ne peut enquêter seule sur ses propres fautes graves.</w:t>
      </w:r>
    </w:p>
    <w:p>
      <w:r>
        <w:t>Toute allégation impliquant une autorité publique doit être confiée à une autorité indépendante extérieure, civile, transparente et protégée contre les pressions politiques, administratives, policières, militaires, économiques ou médiatiques.</w:t>
      </w:r>
    </w:p>
    <w:p>
      <w:r>
        <w:t>Les fonctions d'enquête, de poursuite, de décision administrative et de jugement doivent demeurer séparées.</w:t>
      </w:r>
    </w:p>
    <w:p>
      <w:pPr>
        <w:pStyle w:val="Heading2"/>
      </w:pPr>
      <w:r>
        <w:t>15. Argent public et activités non essentielles</w:t>
      </w:r>
    </w:p>
    <w:p>
      <w:r>
        <w:t>L'interdiction de financer les activités non essentielles s'applique aux subventions, crédits d'impôt, garanties de prêt, commandites publiques, achats symboliques, contrats de visibilité, avances remboursables, fonds spéciaux, sociétés d'État, municipalités, MRC, organismes parapublics et toute structure équivalente.</w:t>
      </w:r>
    </w:p>
    <w:p>
      <w:r>
        <w:t>Aucun financement public ne peut être déguisé sous une autre forme pour financer des athlètes professionnels, équipes sportives privées, artistes commerciaux, festivals non essentiels, spectacles, productions privées, projets médiatiques privés, influenceurs ou activités de prestige.</w:t>
      </w:r>
    </w:p>
    <w:p>
      <w:r>
        <w:t>L'argent public sert d'abord les services essentiels, la protection des personnes, les infrastructures vitales, la justice, la sécurité, la santé, l'éducation fondamentale, l'eau, l'énergie, le logement essentiel, les communications critiques et la dette publique.</w:t>
      </w:r>
    </w:p>
    <w:p>
      <w:pPr>
        <w:pStyle w:val="Heading2"/>
      </w:pPr>
      <w:r>
        <w:t>16. Municipalités, MRC et paliers de proximité</w:t>
      </w:r>
    </w:p>
    <w:p>
      <w:r>
        <w:t>Aucune structure municipale, régionale, métropolitaine ou supralocale ne peut exercer un pouvoir supérieur aux citoyens locaux sans mandat clair, contrôle public, reddition de comptes, audit accessible et possibilité de révision démocratique.</w:t>
      </w:r>
    </w:p>
    <w:p>
      <w:r>
        <w:t>La proximité démocratique prime : tout pouvoir doit être exercé au niveau le plus proche des citoyens, sauf nécessité nationale démontrée, écrite et contrôlable.</w:t>
      </w:r>
    </w:p>
    <w:p>
      <w:pPr>
        <w:pStyle w:val="Heading2"/>
      </w:pPr>
      <w:r>
        <w:t>17. Crise, urgence et transition</w:t>
      </w:r>
    </w:p>
    <w:p>
      <w:r>
        <w:t>Aucune crise, urgence, transition, menace, pandémie, conflit, cyberattaque, perturbation économique, pression extérieure ou désordre administratif ne peut servir à suspendre indéfiniment les droits, reporter abusivement les élections, prolonger un mandat, gouverner par décret permanent ou affaiblir les contrôles indépendants.</w:t>
      </w:r>
    </w:p>
    <w:p>
      <w:r>
        <w:t>Toute mesure d'urgence doit être temporaire, nécessaire, proportionnée, publiée, contrôlée judiciairement, auditée après coup et automatiquement caduque à l'expiration du délai autorisé.</w:t>
      </w:r>
    </w:p>
    <w:p>
      <w:pPr>
        <w:pStyle w:val="Heading2"/>
      </w:pPr>
      <w:r>
        <w:t>18. Réponses officielles et langue de bois</w:t>
      </w:r>
    </w:p>
    <w:p>
      <w:r>
        <w:t>Toute réponse officielle doit être claire, complète, vérifiable et directement liée à la question posée.</w:t>
      </w:r>
    </w:p>
    <w:p>
      <w:r>
        <w:t>Le refus de répondre, l'évitement, la réponse vague, la justification non vérifiable, la statistique manipulée ou la communication destinée à noyer l'information constituent un manquement à la transparence publique.</w:t>
      </w:r>
    </w:p>
    <w:p>
      <w:pPr>
        <w:pStyle w:val="Heading2"/>
      </w:pPr>
      <w:r>
        <w:t>19. Archives, versions officielles et traçabilité</w:t>
      </w:r>
    </w:p>
    <w:p>
      <w:r>
        <w:t>Toute version officielle d'un document du projet, d'une loi, d'un règlement, d'un contrat, d'une décision publique ou d'un rapport d'audit doit être horodatée, numérotée, conservée et archivée.</w:t>
      </w:r>
    </w:p>
    <w:p>
      <w:r>
        <w:t>Toute modification doit laisser une trace indiquant l'auteur, la date, le motif, la version antérieure, la version nouvelle et les différences significatives.</w:t>
      </w:r>
    </w:p>
    <w:p>
      <w:r>
        <w:t>La falsification, la suppression ou la modification occulte d'une archive publique constitue une faute grave.</w:t>
      </w:r>
    </w:p>
    <w:p>
      <w:pPr>
        <w:pStyle w:val="Heading2"/>
      </w:pPr>
      <w:r>
        <w:t>20. Agriculture saine, OGM et souveraineté alimentaire</w:t>
      </w:r>
    </w:p>
    <w:p>
      <w:r>
        <w:t>Pour le Projet Nova, la santé du peuple, la qualité de l'eau, la protection des sols, la biodiversité, les pollinisateurs et l'autonomie alimentaire passent avant les intérêts des grandes multinationales agrochimiques.</w:t>
      </w:r>
    </w:p>
    <w:p>
      <w:r>
        <w:rPr>
          <w:b/>
        </w:rPr>
        <w:t>Toute forme d'OGM est interdite sur le territoire du Québec, tant dans la phase provinciale actuelle que dans le futur pays souverain. Cette interdiction vise notamment la culture, la production, la dissémination, l'ensemencement, l'importation pour culture, la commercialisation agricole et l'utilisation alimentaire ou animale d'organismes génétiquement modifiés.</w:t>
      </w:r>
    </w:p>
    <w:p>
      <w:r>
        <w:t>Aucun pesticide interdit, aucun OGM et aucune technologie agricole créant une dépendance envers des semences brevetées, produits chimiques contrôlés, plateformes technologiques privées ou grands intérêts agrochimiques ne peut être introduit, réintroduit, toléré ou financé par l'État.</w:t>
      </w:r>
    </w:p>
    <w:p>
      <w:r>
        <w:t>Le Québec soutient ses agriculteurs sans les rendre prisonniers d'un modèle contrôlé par les lobbys, brevets, contrats exclusifs, intrants obligatoires ou grandes corporations.</w:t>
      </w:r>
    </w:p>
    <w:p>
      <w:r>
        <w:t>Les principes applicables sont : précaution maximale, interdiction des OGM, transparence complète, traçabilité obligatoire, protection de l'agriculture locale, soutien aux semences libres et protection de l'autonomie alimentaire.</w:t>
      </w:r>
    </w:p>
    <w:p>
      <w:r>
        <w:t>Toute décision agricole ayant un impact sur la santé, l'eau, les sols, la biodiversité, les pollinisateurs ou l'autonomie alimentaire doit être précédée d'études indépendantes, publiques, contradictoires et libres de financement industriel direct ou indirect.</w:t>
      </w:r>
    </w:p>
    <w:p>
      <w:pPr>
        <w:pStyle w:val="Heading2"/>
      </w:pPr>
      <w:r>
        <w:t>21. Sanctions et responsabilité personnelle</w:t>
      </w:r>
    </w:p>
    <w:p>
      <w:r>
        <w:t>Toute personne qui conçoit, autorise, signe, applique, conseille, finance, camoufle ou tolère un contournement engage sa responsabilité personnelle, civile, administrative, politique et, lorsque requis, pénale.</w:t>
      </w:r>
    </w:p>
    <w:p>
      <w:r>
        <w:t>La bonne foi ne peut être invoquée lorsqu'une personne raisonnablement compétente devait savoir que l'effet réel de l'acte contournait une règle supérieure.</w:t>
      </w:r>
    </w:p>
    <w:p>
      <w:r>
        <w:t>Tout avantage obtenu par contournement est restitué, tout contrat abusif est résilié et toute décision contaminée est annulée.</w:t>
      </w:r>
    </w:p>
    <w:p>
      <w:r/>
    </w:p>
    <w:p>
      <w:pPr>
        <w:pStyle w:val="Heading1"/>
      </w:pPr>
      <w:r>
        <w:t>Infrastructures durables et chantiers accélérés</w:t>
      </w:r>
    </w:p>
    <w:p>
      <w:pPr>
        <w:spacing w:after="120"/>
      </w:pPr>
      <w:r>
        <w:t>Le Projet Nova intègre une règle directe : toute infrastructure publique doit être construite pour durer, avec des matériaux de qualité supérieure, une méthode scientifique, une gestion de chantier disciplinée et une transparence complète des coûts.</w:t>
      </w:r>
    </w:p>
    <w:p>
      <w:pPr>
        <w:pStyle w:val="Heading2"/>
      </w:pPr>
      <w:r>
        <w:t>Principe directeur</w:t>
      </w:r>
    </w:p>
    <w:p>
      <w:pPr>
        <w:spacing w:after="120"/>
      </w:pPr>
      <w:r>
        <w:t>Lorsqu'un gouvernement construit une infrastructure publique, il doit construire pour durer, terminer rapidement, protéger l'argent public et limiter les nuisances pour la population. Le principe Nova est clair : mieux construire une fois que reconstruire sans fin.</w:t>
      </w:r>
    </w:p>
    <w:p>
      <w:pPr>
        <w:pStyle w:val="Heading2"/>
      </w:pPr>
      <w:r>
        <w:t>Matériaux de qualité supérieure</w:t>
      </w:r>
    </w:p>
    <w:p>
      <w:pPr>
        <w:spacing w:after="120"/>
      </w:pPr>
      <w:r>
        <w:t>Pour tout projet public majeur, l'État doit prioriser des matériaux durables, éprouvés, adaptés au climat du Québec et choisis selon la science, l'ingénierie et le coût total du cycle de vie.</w:t>
      </w:r>
    </w:p>
    <w:p>
      <w:pPr>
        <w:spacing w:after="120"/>
      </w:pPr>
      <w:r>
        <w:t>La qualité supérieure signifie : haute durabilité, haute résistance, haute fiabilité, entretien réduit, traçabilité technique et performance vérifiable. Elle ne signifie pas acheter aveuglément le produit le plus cher.</w:t>
      </w:r>
    </w:p>
    <w:p>
      <w:pPr>
        <w:spacing w:after="120"/>
      </w:pPr>
      <w:r>
        <w:t>Aucun matériau de moindre qualité ne peut être choisi uniquement pour réduire le coût initial si ce choix augmente les réparations, raccourcit la durée de vie ou crée des dépenses futures prévisibles.</w:t>
      </w:r>
    </w:p>
    <w:p>
      <w:pPr>
        <w:pStyle w:val="Heading2"/>
      </w:pPr>
      <w:r>
        <w:t>Méthode scientifique et coût total de cycle de vie</w:t>
      </w:r>
    </w:p>
    <w:p>
      <w:pPr>
        <w:spacing w:after="120"/>
      </w:pPr>
      <w:r>
        <w:t>Chaque infrastructure majeure doit être évaluée selon son cycle complet : conception, construction, entretien, réparation, remplacement, impact sur la circulation, interruption de service, coûts indirects et durée de vie prévue.</w:t>
      </w:r>
    </w:p>
    <w:p>
      <w:pPr>
        <w:spacing w:after="120"/>
      </w:pPr>
      <w:r>
        <w:t>Les choix techniques doivent tenir compte du gel-dégel, de l'eau, du sel, des charges lourdes, des hivers québécois, des risques climatiques, de l'usure intensive et de la sécurité publique.</w:t>
      </w:r>
    </w:p>
    <w:p>
      <w:pPr>
        <w:spacing w:after="120"/>
      </w:pPr>
      <w:r>
        <w:t>Les études, critères de sélection, justifications techniques, échéanciers et hypothèses de durée de vie doivent être conservés, auditables et rendus publics lorsque la sécurité ne s'y oppose pas.</w:t>
      </w:r>
    </w:p>
    <w:p>
      <w:pPr>
        <w:pStyle w:val="Heading2"/>
      </w:pPr>
      <w:r>
        <w:t>Fin des chantiers dispersés et incomplets</w:t>
      </w:r>
    </w:p>
    <w:p>
      <w:pPr>
        <w:spacing w:after="120"/>
      </w:pPr>
      <w:r>
        <w:t>L'État ne doit pas ouvrir simultanément un nombre excessif de chantiers publics si cette dispersion empêche de terminer rapidement les projets déjà commencés.</w:t>
      </w:r>
    </w:p>
    <w:p>
      <w:pPr>
        <w:spacing w:after="120"/>
      </w:pPr>
      <w:r>
        <w:t>Avant d'ouvrir un nouveau chantier public majeur, le gouvernement doit évaluer les chantiers actifs, les ressources disponibles, le taux d'achèvement, les contraintes logistiques et l'effet sur la population.</w:t>
      </w:r>
    </w:p>
    <w:p>
      <w:pPr>
        <w:spacing w:after="120"/>
      </w:pPr>
      <w:r>
        <w:t>Sauf urgence réelle, danger pour la sécurité publique ou nécessité stratégique démontrée, la priorité doit être de terminer le maximum de chantiers déjà ouverts avant d'en lancer de nouveaux.</w:t>
      </w:r>
    </w:p>
    <w:p>
      <w:pPr>
        <w:pStyle w:val="Heading2"/>
      </w:pPr>
      <w:r>
        <w:t>Travail continu lorsque justifié</w:t>
      </w:r>
    </w:p>
    <w:p>
      <w:pPr>
        <w:spacing w:after="120"/>
      </w:pPr>
      <w:r>
        <w:t>Pour les infrastructures critiques ou les chantiers causant des perturbations importantes, le travail en continu peut être imposé ou autorisé lorsque cela réduit significativement les délais, les coûts indirects et les nuisances publiques.</w:t>
      </w:r>
    </w:p>
    <w:p>
      <w:pPr>
        <w:spacing w:after="120"/>
      </w:pPr>
      <w:r>
        <w:t>Le travail continu doit se faire par équipes en rotation, sans épuisement des travailleurs, avec respect strict de la santé et sécurité, supervision technique permanente, contrôle de qualité et mesures raisonnables de réduction du bruit dans les zones résidentielles.</w:t>
      </w:r>
    </w:p>
    <w:p>
      <w:pPr>
        <w:pStyle w:val="Heading2"/>
      </w:pPr>
      <w:r>
        <w:t>Transparence, marchés publics et responsabilité</w:t>
      </w:r>
    </w:p>
    <w:p>
      <w:pPr>
        <w:spacing w:after="120"/>
      </w:pPr>
      <w:r>
        <w:t>Tout projet public majeur doit disposer d'un responsable identifiable, d'un échéancier public, d'étapes mesurables, d'un budget de référence, d'une justification des matériaux et d'un mécanisme de reddition de comptes.</w:t>
      </w:r>
    </w:p>
    <w:p>
      <w:pPr>
        <w:spacing w:after="120"/>
      </w:pPr>
      <w:r>
        <w:t>Les appels d'offres doivent intégrer la qualité, la durabilité, la compétence, le calendrier, les garanties, la capacité réelle d'exécution et le coût total du cycle de vie, et non seulement le prix initial le plus bas.</w:t>
      </w:r>
    </w:p>
    <w:p>
      <w:pPr>
        <w:spacing w:after="120"/>
      </w:pPr>
      <w:r>
        <w:t>Aucune entreprise ne doit obtenir un avantage par collusion, favoritisme, sous-traitance opaque, modification tardive du devis ou interprétation abusive des critères techniques.</w:t>
      </w:r>
    </w:p>
    <w:p>
      <w:pPr>
        <w:spacing w:after="120"/>
      </w:pPr>
      <w:r>
        <w:t>Un chantier public ne doit pas devenir une excuse permanente pour gaspiller, retarder, improviser ou enrichir des intérêts privés au détriment des citoyens.</w:t>
      </w:r>
    </w:p>
    <w:p>
      <w:pPr>
        <w:spacing w:after="120"/>
      </w:pPr>
      <w:r>
        <w:t>Formule officielle : Projet Nova - mieux construire, finir plus vite, gaspiller moins.</w:t>
      </w:r>
    </w:p>
    <w:p>
      <w:pPr>
        <w:pStyle w:val="Heading1"/>
      </w:pPr>
      <w:r>
        <w:t>Révocation citoyenne des décideurs publics</w:t>
      </w:r>
    </w:p>
    <w:p>
      <w:pPr>
        <w:spacing w:after="120"/>
      </w:pPr>
      <w:r>
        <w:t>Les décideurs publics ne sont pas intouchables. Si un élu, gestionnaire, responsable administratif, dirigeant d'organisme ou décideur nommé ne sert plus correctement l'intérêt public, les citoyens doivent pouvoir déclencher une procédure de révocation encadrée. Le pouvoir appartient au peuple, pas aux postes.</w:t>
      </w:r>
    </w:p>
    <w:p>
      <w:pPr>
        <w:pStyle w:val="Heading2"/>
      </w:pPr>
      <w:r>
        <w:t>Principe général</w:t>
      </w:r>
    </w:p>
    <w:p>
      <w:pPr>
        <w:spacing w:after="120"/>
      </w:pPr>
      <w:r>
        <w:t>Aucun élu, dirigeant public, gestionnaire d'organisme, responsable administratif ou décideur nommé ne doit devenir intouchable pendant la durée de son mandat. Le pouvoir public demeure un mandat de service, non un droit acquis contre les citoyens.</w:t>
      </w:r>
    </w:p>
    <w:p>
      <w:pPr>
        <w:pStyle w:val="Heading2"/>
      </w:pPr>
      <w:r>
        <w:t>Droit de révocation citoyenne</w:t>
      </w:r>
    </w:p>
    <w:p>
      <w:pPr>
        <w:spacing w:after="120"/>
      </w:pPr>
      <w:r>
        <w:t>Lorsqu'un décideur public ne remplit pas adéquatement ses fonctions, agit avec négligence grave, accumule des échecs injustifiés, refuse la reddition de comptes, abuse de son pouvoir, ment au public, se place en conflit d'intérêts, tolère la corruption, compromet l'intérêt public ou rompt gravement la confiance citoyenne, les citoyens concernés peuvent déclencher une procédure de révocation démocratique.</w:t>
      </w:r>
    </w:p>
    <w:p>
      <w:pPr>
        <w:pStyle w:val="Heading2"/>
      </w:pPr>
      <w:r>
        <w:t>Limites contre les abus</w:t>
      </w:r>
    </w:p>
    <w:p>
      <w:pPr>
        <w:spacing w:after="120"/>
      </w:pPr>
      <w:r>
        <w:t>La révocation citoyenne ne peut pas servir à punir une opinion, un vote de conscience, un désaccord politique normal, une décision impopulaire mais légalement justifiée, une pression partisane ou une campagne de vengeance.</w:t>
      </w:r>
    </w:p>
    <w:p>
      <w:pPr>
        <w:spacing w:after="120"/>
      </w:pPr>
      <w:r>
        <w:t>Elle doit viser des motifs sérieux : incompétence manifeste, inefficacité persistante, faute grave, abus de pouvoir, corruption, conflit d'intérêts, refus de transparence, manquement au devoir, rupture de confiance publique ou mauvaise gestion grave.</w:t>
      </w:r>
    </w:p>
    <w:p>
      <w:pPr>
        <w:pStyle w:val="Heading2"/>
      </w:pPr>
      <w:r>
        <w:t>Procédure obligatoire</w:t>
      </w:r>
    </w:p>
    <w:p>
      <w:pPr>
        <w:spacing w:after="120"/>
      </w:pPr>
      <w:r>
        <w:t>Toute procédure de révocation doit comprendre une pétition citoyenne formelle, un seuil minimal de signatures vérifiées, une publication claire des motifs, un droit de réponse pour la personne visée, une vérification indépendante de la validité de la demande, un délai raisonnable d'information publique, un vote citoyen lorsque le seuil est atteint, puis une décision finale prise par les citoyens concernés.</w:t>
      </w:r>
    </w:p>
    <w:p>
      <w:pPr>
        <w:pStyle w:val="Heading2"/>
      </w:pPr>
      <w:r>
        <w:t>Seuils et stabilité</w:t>
      </w:r>
    </w:p>
    <w:p>
      <w:pPr>
        <w:spacing w:after="120"/>
      </w:pPr>
      <w:r>
        <w:t>Les seuils de signatures, les délais, les preuves minimales et les conditions de vote doivent être assez élevés pour empêcher les campagnes abusives, mais assez accessibles pour que le peuple puisse réellement retirer un décideur qui ne sert plus correctement l'intérêt public.</w:t>
      </w:r>
    </w:p>
    <w:p>
      <w:pPr>
        <w:pStyle w:val="Heading2"/>
      </w:pPr>
      <w:r>
        <w:t>Clause anti-contournement</w:t>
      </w:r>
    </w:p>
    <w:p>
      <w:pPr>
        <w:spacing w:after="120"/>
      </w:pPr>
      <w:r>
        <w:t>Aucune autorité ne peut neutraliser, retarder abusivement ou contourner une procédure de révocation citoyenne par règlement, décret, contrat, nomination temporaire, transfert de fonction, restructuration administrative, état d'urgence, interprétation partisane ou manoeuvre institutionnelle.</w:t>
      </w:r>
    </w:p>
    <w:p>
      <w:pPr>
        <w:spacing w:after="120"/>
      </w:pPr>
      <w:r>
        <w:t>Toute loi, directive, contrat, nomination, restructuration ou délégation ayant pour effet réel de supprimer, neutraliser, retarder abusivement ou rendre illusoire le droit de révocation est nulle de plein droit.</w:t>
      </w:r>
    </w:p>
    <w:p>
      <w:pPr>
        <w:pStyle w:val="Heading2"/>
      </w:pPr>
      <w:r>
        <w:t>Protection contre les campagnes abusives</w:t>
      </w:r>
    </w:p>
    <w:p>
      <w:pPr>
        <w:spacing w:after="120"/>
      </w:pPr>
      <w:r>
        <w:t>La loi doit prévoir des protections contre les campagnes mensongères, répétitives, financées par des intérêts cachés, fondées sur de fausses informations ou utilisées comme harcèlement politique. Les signatures doivent être vérifiées par une autorité électorale indépendante, et le financement de toute campagne de révocation doit être public, transparent, limité et auditable.</w:t>
      </w:r>
    </w:p>
    <w:p>
      <w:pPr>
        <w:pStyle w:val="Heading2"/>
      </w:pPr>
      <w:r>
        <w:t>Effet juridique</w:t>
      </w:r>
    </w:p>
    <w:p>
      <w:pPr>
        <w:spacing w:after="120"/>
      </w:pPr>
      <w:r>
        <w:t>Lorsqu'une révocation est approuvée par les citoyens selon la procédure prévue, le mandat de la personne visée prend fin. Une succession, une nomination intérimaire ou une élection de remplacement doit alors être organisée selon les règles prévues par la loi.</w:t>
      </w:r>
    </w:p>
    <w:p>
      <w:pPr>
        <w:pStyle w:val="Heading2"/>
      </w:pPr>
      <w:r>
        <w:t>Responsabilité démocratique</w:t>
      </w:r>
    </w:p>
    <w:p>
      <w:pPr>
        <w:spacing w:after="120"/>
      </w:pPr>
      <w:r>
        <w:t>Le principe est simple : le pouvoir appartient au peuple. Si un décideur ne fait pas son travail, refuse de corriger ses erreurs ou trahit la confiance publique, le peuple doit pouvoir le remplacer de façon ordonnée, transparente et démocratique.</w:t>
      </w:r>
    </w:p>
    <w:sectPr w:rsidR="00FC693F" w:rsidRPr="0006063C" w:rsidSect="00034616">
      <w:footerReference w:type="default" r:id="rId9"/>
      <w:headerReference w:type="default" r:id="rId11"/>
      <w:headerReference w:type="first" r:id="rId12"/>
      <w:footerReference w:type="first" r:id="rId13"/>
      <w:headerReference w:type="even" r:id="rId14"/>
      <w:footerReference w:type="even" r:id="rId15"/>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Projet Nova - version officielle V1.6 intégrée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Projet Nova - V1.6 - Version officielle intégrée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ptos"/>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ptos Display"/>
      <w:b/>
      <w:bCs/>
      <w:color w:val="0718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ptos Display"/>
      <w:b/>
      <w:bCs/>
      <w:color w:val="005F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ptos Display"/>
      <w:b/>
      <w:bCs/>
      <w:color w:val="0B1F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7183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vaQuote">
    <w:name w:val="Nova Quote"/>
    <w:rPr>
      <w:rFonts w:ascii="Arial" w:hAnsi="Arial"/>
      <w:i/>
      <w:color w:val="005F7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Livre Nova</dc:title>
  <dc:subject/>
  <dc:creator>Projet Nova</dc:creator>
  <cp:keywords/>
  <dc:description>generated by python-docx</dc:description>
  <cp:lastModifiedBy>Projet Nova</cp:lastModifiedBy>
  <cp:revision>1</cp:revision>
  <dcterms:created xsi:type="dcterms:W3CDTF">2013-12-23T23:15:00Z</dcterms:created>
  <dcterms:modified xsi:type="dcterms:W3CDTF">2013-12-23T23:15:00Z</dcterms:modified>
  <cp:category/>
</cp:coreProperties>
</file>