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r/>
    </w:p>
    <w:p>
      <w:pPr>
        <w:pStyle w:val="Heading1"/>
      </w:pPr>
      <w:r>
        <w:t>Programme électoral complet - version officielle V1.6 intégrée</w:t>
      </w:r>
    </w:p>
    <w:p>
      <w:pPr>
        <w:spacing w:after="120"/>
      </w:pPr>
      <w:r>
        <w:t>Ce programme transforme le Livre Nova en engagements politiques vérifiables. Chaque engagement doit avoir un responsable, un échéancier, un coût estimé, un indicateur et un mécanisme de correction.</w:t>
      </w:r>
    </w:p>
    <w:p>
      <w:pPr>
        <w:pStyle w:val="Heading1"/>
      </w:pPr>
      <w:r>
        <w:t>Démocratie et contrôle populaire</w:t>
      </w:r>
    </w:p>
    <w:p>
      <w:pPr>
        <w:pStyle w:val="ListBullet"/>
      </w:pPr>
      <w:r>
        <w:t>Autorité électorale indépendante</w:t>
      </w:r>
    </w:p>
    <w:p>
      <w:pPr>
        <w:pStyle w:val="ListBullet"/>
      </w:pPr>
      <w:r>
        <w:t>Référendums clairs et initiatives citoyennes</w:t>
      </w:r>
    </w:p>
    <w:p>
      <w:pPr>
        <w:pStyle w:val="ListBullet"/>
      </w:pPr>
      <w:r>
        <w:t>Révocation encadrée pour faute grave</w:t>
      </w:r>
    </w:p>
    <w:p>
      <w:pPr>
        <w:pStyle w:val="ListBullet"/>
      </w:pPr>
      <w:r>
        <w:t>Nominations sensibles indépendantes</w:t>
      </w:r>
    </w:p>
    <w:p>
      <w:pPr>
        <w:pStyle w:val="Heading2"/>
      </w:pPr>
      <w:r>
        <w:t>Mise en œuvre</w:t>
      </w:r>
    </w:p>
    <w:p>
      <w:pPr>
        <w:pStyle w:val="ListNumber"/>
      </w:pPr>
      <w:r>
        <w:t>Mandat de vérification initiale</w:t>
      </w:r>
    </w:p>
    <w:p>
      <w:pPr>
        <w:pStyle w:val="ListNumber"/>
      </w:pPr>
      <w:r>
        <w:t>Publication du diagnostic</w:t>
      </w:r>
    </w:p>
    <w:p>
      <w:pPr>
        <w:pStyle w:val="ListNumber"/>
      </w:pPr>
      <w:r>
        <w:t>Projet de loi ou règlement</w:t>
      </w:r>
    </w:p>
    <w:p>
      <w:pPr>
        <w:pStyle w:val="ListNumber"/>
      </w:pPr>
      <w:r>
        <w:t>Indicateurs publics</w:t>
      </w:r>
    </w:p>
    <w:p>
      <w:pPr>
        <w:pStyle w:val="ListNumber"/>
      </w:pPr>
      <w:r>
        <w:t>Rapport de correction trimestriel</w:t>
      </w:r>
    </w:p>
    <w:p>
      <w:pPr>
        <w:pStyle w:val="Heading1"/>
      </w:pPr>
      <w:r>
        <w:t>Finances publiques et argent du peuple</w:t>
      </w:r>
    </w:p>
    <w:p>
      <w:pPr>
        <w:pStyle w:val="ListBullet"/>
      </w:pPr>
      <w:r>
        <w:t>Affectation prioritaire aux services essentiels</w:t>
      </w:r>
    </w:p>
    <w:p>
      <w:pPr>
        <w:pStyle w:val="ListBullet"/>
      </w:pPr>
      <w:r>
        <w:t>Fin du financement obligatoire des activités non essentielles</w:t>
      </w:r>
    </w:p>
    <w:p>
      <w:pPr>
        <w:pStyle w:val="ListBullet"/>
      </w:pPr>
      <w:r>
        <w:t>Registre des taxes cachées</w:t>
      </w:r>
    </w:p>
    <w:p>
      <w:pPr>
        <w:pStyle w:val="ListBullet"/>
      </w:pPr>
      <w:r>
        <w:t>Audit des dépenses de prestige</w:t>
      </w:r>
    </w:p>
    <w:p>
      <w:pPr>
        <w:pStyle w:val="ListBullet"/>
      </w:pPr>
      <w:r>
        <w:t>Aucune hausse salariale d’élus votée par eux-mêmes sans contrôle citoyen</w:t>
      </w:r>
    </w:p>
    <w:p>
      <w:pPr>
        <w:pStyle w:val="Heading2"/>
      </w:pPr>
      <w:r>
        <w:t>Mise en œuvre</w:t>
      </w:r>
    </w:p>
    <w:p>
      <w:pPr>
        <w:pStyle w:val="ListNumber"/>
      </w:pPr>
      <w:r>
        <w:t>Mandat de vérification initiale</w:t>
      </w:r>
    </w:p>
    <w:p>
      <w:pPr>
        <w:pStyle w:val="ListNumber"/>
      </w:pPr>
      <w:r>
        <w:t>Publication du diagnostic</w:t>
      </w:r>
    </w:p>
    <w:p>
      <w:pPr>
        <w:pStyle w:val="ListNumber"/>
      </w:pPr>
      <w:r>
        <w:t>Projet de loi ou règlement</w:t>
      </w:r>
    </w:p>
    <w:p>
      <w:pPr>
        <w:pStyle w:val="ListNumber"/>
      </w:pPr>
      <w:r>
        <w:t>Indicateurs publics</w:t>
      </w:r>
    </w:p>
    <w:p>
      <w:pPr>
        <w:pStyle w:val="ListNumber"/>
      </w:pPr>
      <w:r>
        <w:t>Rapport de correction trimestriel</w:t>
      </w:r>
    </w:p>
    <w:p>
      <w:pPr>
        <w:pStyle w:val="Heading1"/>
      </w:pPr>
      <w:r>
        <w:t>Services essentiels</w:t>
      </w:r>
    </w:p>
    <w:p>
      <w:pPr>
        <w:pStyle w:val="ListBullet"/>
      </w:pPr>
      <w:r>
        <w:t>Santé mesurée par délais réels</w:t>
      </w:r>
    </w:p>
    <w:p>
      <w:pPr>
        <w:pStyle w:val="ListBullet"/>
      </w:pPr>
      <w:r>
        <w:t>Éducation fondamentale et civisme</w:t>
      </w:r>
    </w:p>
    <w:p>
      <w:pPr>
        <w:pStyle w:val="ListBullet"/>
      </w:pPr>
      <w:r>
        <w:t>Logement essentiel lié à la capacité d’accueil</w:t>
      </w:r>
    </w:p>
    <w:p>
      <w:pPr>
        <w:pStyle w:val="ListBullet"/>
      </w:pPr>
      <w:r>
        <w:t>Accès humain obligatoire aux services essentiels</w:t>
      </w:r>
    </w:p>
    <w:p>
      <w:pPr>
        <w:pStyle w:val="Heading2"/>
      </w:pPr>
      <w:r>
        <w:t>Mise en œuvre</w:t>
      </w:r>
    </w:p>
    <w:p>
      <w:pPr>
        <w:pStyle w:val="ListNumber"/>
      </w:pPr>
      <w:r>
        <w:t>Mandat de vérification initiale</w:t>
      </w:r>
    </w:p>
    <w:p>
      <w:pPr>
        <w:pStyle w:val="ListNumber"/>
      </w:pPr>
      <w:r>
        <w:t>Publication du diagnostic</w:t>
      </w:r>
    </w:p>
    <w:p>
      <w:pPr>
        <w:pStyle w:val="ListNumber"/>
      </w:pPr>
      <w:r>
        <w:t>Projet de loi ou règlement</w:t>
      </w:r>
    </w:p>
    <w:p>
      <w:pPr>
        <w:pStyle w:val="ListNumber"/>
      </w:pPr>
      <w:r>
        <w:t>Indicateurs publics</w:t>
      </w:r>
    </w:p>
    <w:p>
      <w:pPr>
        <w:pStyle w:val="ListNumber"/>
      </w:pPr>
      <w:r>
        <w:t>Rapport de correction trimestriel</w:t>
      </w:r>
    </w:p>
    <w:p>
      <w:pPr>
        <w:pStyle w:val="Heading1"/>
      </w:pPr>
      <w:r>
        <w:t>Sécurité, police et justice</w:t>
      </w:r>
    </w:p>
    <w:p>
      <w:pPr>
        <w:pStyle w:val="ListBullet"/>
      </w:pPr>
      <w:r>
        <w:t>Fin des quotas policiers</w:t>
      </w:r>
    </w:p>
    <w:p>
      <w:pPr>
        <w:pStyle w:val="ListBullet"/>
      </w:pPr>
      <w:r>
        <w:t>Priorité aux gangs et crimes graves</w:t>
      </w:r>
    </w:p>
    <w:p>
      <w:pPr>
        <w:pStyle w:val="ListBullet"/>
      </w:pPr>
      <w:r>
        <w:t>Enquête civile indépendante</w:t>
      </w:r>
    </w:p>
    <w:p>
      <w:pPr>
        <w:pStyle w:val="ListBullet"/>
      </w:pPr>
      <w:r>
        <w:t>Séparation enquêter/poursuivre/juger</w:t>
      </w:r>
    </w:p>
    <w:p>
      <w:pPr>
        <w:pStyle w:val="Heading2"/>
      </w:pPr>
      <w:r>
        <w:t>Mise en œuvre</w:t>
      </w:r>
    </w:p>
    <w:p>
      <w:pPr>
        <w:pStyle w:val="ListNumber"/>
      </w:pPr>
      <w:r>
        <w:t>Mandat de vérification initiale</w:t>
      </w:r>
    </w:p>
    <w:p>
      <w:pPr>
        <w:pStyle w:val="ListNumber"/>
      </w:pPr>
      <w:r>
        <w:t>Publication du diagnostic</w:t>
      </w:r>
    </w:p>
    <w:p>
      <w:pPr>
        <w:pStyle w:val="ListNumber"/>
      </w:pPr>
      <w:r>
        <w:t>Projet de loi ou règlement</w:t>
      </w:r>
    </w:p>
    <w:p>
      <w:pPr>
        <w:pStyle w:val="ListNumber"/>
      </w:pPr>
      <w:r>
        <w:t>Indicateurs publics</w:t>
      </w:r>
    </w:p>
    <w:p>
      <w:pPr>
        <w:pStyle w:val="ListNumber"/>
      </w:pPr>
      <w:r>
        <w:t>Rapport de correction trimestriel</w:t>
      </w:r>
    </w:p>
    <w:p>
      <w:pPr>
        <w:pStyle w:val="Heading1"/>
      </w:pPr>
      <w:r>
        <w:t>Territoire et proximité</w:t>
      </w:r>
    </w:p>
    <w:p>
      <w:pPr>
        <w:pStyle w:val="ListBullet"/>
      </w:pPr>
      <w:r>
        <w:t>Deux paliers principaux: national et local</w:t>
      </w:r>
    </w:p>
    <w:p>
      <w:pPr>
        <w:pStyle w:val="ListBullet"/>
      </w:pPr>
      <w:r>
        <w:t>MRC maintenues mais auditées et redéployées</w:t>
      </w:r>
    </w:p>
    <w:p>
      <w:pPr>
        <w:pStyle w:val="ListBullet"/>
      </w:pPr>
      <w:r>
        <w:t>Référendums locaux pour gouvernance territoriale</w:t>
      </w:r>
    </w:p>
    <w:p>
      <w:pPr>
        <w:pStyle w:val="ListBullet"/>
      </w:pPr>
      <w:r>
        <w:t>Pouvoir accru aux banlieues, quartiers, villages et municipalités</w:t>
      </w:r>
    </w:p>
    <w:p>
      <w:pPr>
        <w:pStyle w:val="Heading2"/>
      </w:pPr>
      <w:r>
        <w:t>Mise en œuvre</w:t>
      </w:r>
    </w:p>
    <w:p>
      <w:pPr>
        <w:pStyle w:val="ListNumber"/>
      </w:pPr>
      <w:r>
        <w:t>Mandat de vérification initiale</w:t>
      </w:r>
    </w:p>
    <w:p>
      <w:pPr>
        <w:pStyle w:val="ListNumber"/>
      </w:pPr>
      <w:r>
        <w:t>Publication du diagnostic</w:t>
      </w:r>
    </w:p>
    <w:p>
      <w:pPr>
        <w:pStyle w:val="ListNumber"/>
      </w:pPr>
      <w:r>
        <w:t>Projet de loi ou règlement</w:t>
      </w:r>
    </w:p>
    <w:p>
      <w:pPr>
        <w:pStyle w:val="ListNumber"/>
      </w:pPr>
      <w:r>
        <w:t>Indicateurs publics</w:t>
      </w:r>
    </w:p>
    <w:p>
      <w:pPr>
        <w:pStyle w:val="ListNumber"/>
      </w:pPr>
      <w:r>
        <w:t>Rapport de correction trimestriel</w:t>
      </w:r>
    </w:p>
    <w:p>
      <w:pPr>
        <w:pStyle w:val="Heading1"/>
      </w:pPr>
      <w:r>
        <w:t>Français, cohésion et liberté de conscience</w:t>
      </w:r>
    </w:p>
    <w:p>
      <w:pPr>
        <w:pStyle w:val="ListBullet"/>
      </w:pPr>
      <w:r>
        <w:t>Français langue officielle et commune</w:t>
      </w:r>
    </w:p>
    <w:p>
      <w:pPr>
        <w:pStyle w:val="ListBullet"/>
      </w:pPr>
      <w:r>
        <w:t>Neutralité institutionnelle de l’État</w:t>
      </w:r>
    </w:p>
    <w:p>
      <w:pPr>
        <w:pStyle w:val="ListBullet"/>
      </w:pPr>
      <w:r>
        <w:t>Prières collectives hors voie publique</w:t>
      </w:r>
    </w:p>
    <w:p>
      <w:pPr>
        <w:pStyle w:val="ListBullet"/>
      </w:pPr>
      <w:r>
        <w:t>Faits, science et politiques fondées sur données</w:t>
      </w:r>
    </w:p>
    <w:p>
      <w:pPr>
        <w:pStyle w:val="ListBullet"/>
      </w:pPr>
      <w:r>
        <w:t>Distinction sexe biologique/identité personnelle/droits civils</w:t>
      </w:r>
    </w:p>
    <w:p>
      <w:pPr>
        <w:pStyle w:val="Heading2"/>
      </w:pPr>
      <w:r>
        <w:t>Mise en œuvre</w:t>
      </w:r>
    </w:p>
    <w:p>
      <w:pPr>
        <w:pStyle w:val="ListNumber"/>
      </w:pPr>
      <w:r>
        <w:t>Mandat de vérification initiale</w:t>
      </w:r>
    </w:p>
    <w:p>
      <w:pPr>
        <w:pStyle w:val="ListNumber"/>
      </w:pPr>
      <w:r>
        <w:t>Publication du diagnostic</w:t>
      </w:r>
    </w:p>
    <w:p>
      <w:pPr>
        <w:pStyle w:val="ListNumber"/>
      </w:pPr>
      <w:r>
        <w:t>Projet de loi ou règlement</w:t>
      </w:r>
    </w:p>
    <w:p>
      <w:pPr>
        <w:pStyle w:val="ListNumber"/>
      </w:pPr>
      <w:r>
        <w:t>Indicateurs publics</w:t>
      </w:r>
    </w:p>
    <w:p>
      <w:pPr>
        <w:pStyle w:val="ListNumber"/>
      </w:pPr>
      <w:r>
        <w:t>Rapport de correction trimestriel</w:t>
      </w:r>
    </w:p>
    <w:p>
      <w:pPr>
        <w:pStyle w:val="Heading1"/>
      </w:pPr>
      <w:r>
        <w:t>Numérique et données</w:t>
      </w:r>
    </w:p>
    <w:p>
      <w:pPr>
        <w:pStyle w:val="ListBullet"/>
      </w:pPr>
      <w:r>
        <w:t>Protection des données Nova</w:t>
      </w:r>
    </w:p>
    <w:p>
      <w:pPr>
        <w:pStyle w:val="ListBullet"/>
      </w:pPr>
      <w:r>
        <w:t>Souveraineté numérique</w:t>
      </w:r>
    </w:p>
    <w:p>
      <w:pPr>
        <w:pStyle w:val="ListBullet"/>
      </w:pPr>
      <w:r>
        <w:t>Interdiction du score social</w:t>
      </w:r>
    </w:p>
    <w:p>
      <w:pPr>
        <w:pStyle w:val="ListBullet"/>
      </w:pPr>
      <w:r>
        <w:t>Recours humain contre décisions automatisées</w:t>
      </w:r>
    </w:p>
    <w:p>
      <w:pPr>
        <w:pStyle w:val="Heading2"/>
      </w:pPr>
      <w:r>
        <w:t>Mise en œuvre</w:t>
      </w:r>
    </w:p>
    <w:p>
      <w:pPr>
        <w:pStyle w:val="ListNumber"/>
      </w:pPr>
      <w:r>
        <w:t>Mandat de vérification initiale</w:t>
      </w:r>
    </w:p>
    <w:p>
      <w:pPr>
        <w:pStyle w:val="ListNumber"/>
      </w:pPr>
      <w:r>
        <w:t>Publication du diagnostic</w:t>
      </w:r>
    </w:p>
    <w:p>
      <w:pPr>
        <w:pStyle w:val="ListNumber"/>
      </w:pPr>
      <w:r>
        <w:t>Projet de loi ou règlement</w:t>
      </w:r>
    </w:p>
    <w:p>
      <w:pPr>
        <w:pStyle w:val="ListNumber"/>
      </w:pPr>
      <w:r>
        <w:t>Indicateurs publics</w:t>
      </w:r>
    </w:p>
    <w:p>
      <w:pPr>
        <w:pStyle w:val="ListNumber"/>
      </w:pPr>
      <w:r>
        <w:t>Rapport de correction trimestriel</w:t>
      </w:r>
    </w:p>
    <w:p>
      <w:pPr>
        <w:pStyle w:val="Heading1"/>
      </w:pPr>
      <w:r>
        <w:t>Premier mandat</w:t>
      </w:r>
    </w:p>
    <w:p>
      <w:pPr>
        <w:pStyle w:val="ListBullet"/>
      </w:pPr>
      <w:r>
        <w:t>Audit national</w:t>
      </w:r>
    </w:p>
    <w:p>
      <w:pPr>
        <w:pStyle w:val="ListBullet"/>
      </w:pPr>
      <w:r>
        <w:t>Registre public des engagements</w:t>
      </w:r>
    </w:p>
    <w:p>
      <w:pPr>
        <w:pStyle w:val="ListBullet"/>
      </w:pPr>
      <w:r>
        <w:t>Gel des dépenses de prestige</w:t>
      </w:r>
    </w:p>
    <w:p>
      <w:pPr>
        <w:pStyle w:val="ListBullet"/>
      </w:pPr>
      <w:r>
        <w:t>Plan services essentiels</w:t>
      </w:r>
    </w:p>
    <w:p>
      <w:pPr>
        <w:pStyle w:val="ListBullet"/>
      </w:pPr>
      <w:r>
        <w:t>Révision des programmes non essentiels</w:t>
      </w:r>
    </w:p>
    <w:p>
      <w:pPr>
        <w:pStyle w:val="Heading2"/>
      </w:pPr>
      <w:r>
        <w:t>Mise en œuvre</w:t>
      </w:r>
    </w:p>
    <w:p>
      <w:pPr>
        <w:pStyle w:val="ListNumber"/>
      </w:pPr>
      <w:r>
        <w:t>Mandat de vérification initiale</w:t>
      </w:r>
    </w:p>
    <w:p>
      <w:pPr>
        <w:pStyle w:val="ListNumber"/>
      </w:pPr>
      <w:r>
        <w:t>Publication du diagnostic</w:t>
      </w:r>
    </w:p>
    <w:p>
      <w:pPr>
        <w:pStyle w:val="ListNumber"/>
      </w:pPr>
      <w:r>
        <w:t>Projet de loi ou règlement</w:t>
      </w:r>
    </w:p>
    <w:p>
      <w:pPr>
        <w:pStyle w:val="ListNumber"/>
      </w:pPr>
      <w:r>
        <w:t>Indicateurs publics</w:t>
      </w:r>
    </w:p>
    <w:p>
      <w:pPr>
        <w:pStyle w:val="ListNumber"/>
      </w:pPr>
      <w:r>
        <w:t>Rapport de correction trimestriel</w:t>
      </w:r>
    </w:p>
    <w:p>
      <w:r/>
    </w:p>
    <w:p>
      <w:pPr>
        <w:pStyle w:val="Heading1"/>
      </w:pPr>
      <w:r>
        <w:t>MISE A JOUR V1.6 - VERROUILLAGE INTEGRAL</w:t>
      </w:r>
    </w:p>
    <w:p>
      <w:r>
        <w:t>La présente version intègre directement le correctif structurel no 4 : verrouillage anti-contournement, anti-corruption, anti-capture institutionnelle, interpretation stricte du pouvoir et agriculture saine sans OGM.</w:t>
      </w:r>
    </w:p>
    <w:p>
      <w:pPr>
        <w:pStyle w:val="Heading1"/>
      </w:pPr>
      <w:r>
        <w:t>Intégration directe - correctif structurel no 4</w:t>
      </w:r>
    </w:p>
    <w:p>
      <w:r>
        <w:t xml:space="preserve">Principe directeur : </w:t>
      </w:r>
      <w:r>
        <w:rPr>
          <w:b/>
        </w:rPr>
        <w:t>aucune interpretation ne peut agrandir le pouvoir de l'Etat, reduire la responsabilite, camoufler une depense, proteger un avantage indu ou permettre la capture du peuple par un interet prive.</w:t>
      </w:r>
    </w:p>
    <w:p>
      <w:pPr>
        <w:pStyle w:val="Heading2"/>
      </w:pPr>
      <w:r>
        <w:t>1. Objet de l'correctif intégré no 4</w:t>
      </w:r>
    </w:p>
    <w:p>
      <w:r>
        <w:t>Le présent correctif intégré renforce l'ensemble du Projet Nova contre toute tentative de contournement, d'interprétation abusive, de corruption directe ou indirecte, de capture institutionnelle, de dilution de responsabilité, de financement public déguisé ou de réintroduction de modèles agricoles contraires à l'autonomie alimentaire du Québec.</w:t>
      </w:r>
    </w:p>
    <w:p>
      <w:r>
        <w:t>Il s'applique au Projet Nova durant la phase provinciale actuelle, à toute phase de transition constitutionnelle et au futur Québec souverain. Il doit être intégré directement à la Constitution, aux lois organiques, aux lois administratives, aux lois ordinaires, aux règlements, au Livre Nova, au programme, au registre des risques, au code de conduite et aux documents publics.</w:t>
      </w:r>
    </w:p>
    <w:p>
      <w:pPr>
        <w:pStyle w:val="Heading2"/>
      </w:pPr>
      <w:r>
        <w:t>2. Clause générale anti-contournement</w:t>
      </w:r>
    </w:p>
    <w:p>
      <w:r>
        <w:rPr>
          <w:b/>
        </w:rPr>
        <w:t>Nul ne peut faire indirectement ce qu'il lui est interdit de faire directement.</w:t>
      </w:r>
    </w:p>
    <w:p>
      <w:r>
        <w:t>Toute tentative de contourner une règle constitutionnelle, législative, administrative, financière, électorale ou éthique par un montage, une exception, une délégation, une société, une fondation, une agence, un contrat, un règlement, une directive, une urgence, une structure municipale, une société d'État, un partenariat public-prive, une sous-traitance, une interprétation abusive ou tout mécanisme équivalent est nulle de plein droit.</w:t>
      </w:r>
    </w:p>
    <w:p>
      <w:r>
        <w:t>La nullité s'applique peu importe le titre donné à l'acte, sa forme juridique, son auteur, son véhicule administratif ou le niveau de gouvernement qui l'utilise.</w:t>
      </w:r>
    </w:p>
    <w:p>
      <w:pPr>
        <w:pStyle w:val="Heading2"/>
      </w:pPr>
      <w:r>
        <w:t>3. Effet réel avant apparence</w:t>
      </w:r>
    </w:p>
    <w:p>
      <w:r>
        <w:t>L'interprétation de tout acte public, contrat, règlement, décision, politique, programme, subvention, entente ou directive doit se fonder sur son effet réel.</w:t>
      </w:r>
    </w:p>
    <w:p>
      <w:r>
        <w:t>Lorsqu'un acte produit un effet équivalent à une mesure interdite, il est réputé interdit, même s'il porte un autre nom, utilise une structure différente ou prétend poursuivre un objectif distinct.</w:t>
      </w:r>
    </w:p>
    <w:p>
      <w:r>
        <w:t>Le vocabulaire administratif ne peut jamais servir à transformer une interdiction en permission.</w:t>
      </w:r>
    </w:p>
    <w:p>
      <w:pPr>
        <w:pStyle w:val="Heading2"/>
      </w:pPr>
      <w:r>
        <w:t>4. Interprétation restrictive du pouvoir</w:t>
      </w:r>
    </w:p>
    <w:p>
      <w:r>
        <w:rPr>
          <w:b/>
        </w:rPr>
        <w:t>Tout pouvoir public s'interprète strictement.</w:t>
      </w:r>
    </w:p>
    <w:p>
      <w:r>
        <w:t>Aucune autorité ne peut déduire un pouvoir implicite, indirect, exceptionnel, élargi ou dérivé d'une disposition générale.</w:t>
      </w:r>
    </w:p>
    <w:p>
      <w:r>
        <w:t>En cas de doute, l'interprétation la plus restrictive du pouvoir public et la plus protectrice du citoyen, de la transparence, de la responsabilité, de la souveraineté populaire et des services essentiels prévaut.</w:t>
      </w:r>
    </w:p>
    <w:p>
      <w:pPr>
        <w:pStyle w:val="Heading2"/>
      </w:pPr>
      <w:r>
        <w:t>5. Exceptions limitées et contrôlables</w:t>
      </w:r>
    </w:p>
    <w:p>
      <w:r>
        <w:t>Toute exception doit être écrite, précise, limitée, motivée, publique, temporaire, contrôlable, révisable et rattachée explicitement à une norme supérieure.</w:t>
      </w:r>
    </w:p>
    <w:p>
      <w:r>
        <w:t>Les formulations vagues, notamment 'si nécessaire', 'selon l'intérêt public', 'dans des circonstances particulières', 'sauf exception raisonnable', 'par règlement' ou 'selon les modalités déterminées par le gouvernement', ne peuvent créer aucun pouvoir autonome.</w:t>
      </w:r>
    </w:p>
    <w:p>
      <w:r>
        <w:t>Toute exception non expressément autorisée par une norme supérieure est réputée inexistante.</w:t>
      </w:r>
    </w:p>
    <w:p>
      <w:pPr>
        <w:pStyle w:val="Heading2"/>
      </w:pPr>
      <w:r>
        <w:t>6. Règlements, directives et politiques publiques</w:t>
      </w:r>
    </w:p>
    <w:p>
      <w:r>
        <w:t>Aucun règlement, directive, politique publique, guide administratif, circulaire ou instruction interne ne peut créer une obligation, une taxe, une sanction, une restriction, une exception, un pouvoir ou une dépense qui n'est pas explicitement prévu par une norme supérieure.</w:t>
      </w:r>
    </w:p>
    <w:p>
      <w:r>
        <w:t>Tout règlement ou acte administratif qui modifie l'effet réel d'une loi, affaiblit une protection, crée un privilège, élargit un pouvoir ou contourne une interdiction est nul de plein droit.</w:t>
      </w:r>
    </w:p>
    <w:p>
      <w:pPr>
        <w:pStyle w:val="Heading2"/>
      </w:pPr>
      <w:r>
        <w:t>7. Contrats publics et montages financiers</w:t>
      </w:r>
    </w:p>
    <w:p>
      <w:r>
        <w:t>Aucun contrat public ne peut accorder à une personne, entreprise, organisme, fournisseur ou partenaire un avantage que la loi interdit à l'État d'accorder directement.</w:t>
      </w:r>
    </w:p>
    <w:p>
      <w:r>
        <w:t>Toute clause contractuelle ayant pour effet de contourner une règle de transparence, de concurrence, de responsabilité, de financement public, de protection des services essentiels, de protection de l'environnement, de protection des données ou d'intégrité publique est nulle.</w:t>
      </w:r>
    </w:p>
    <w:p>
      <w:r>
        <w:t>Les garanties de prêt, crédits d'impôt, commandites publiques, achats symboliques, avances remboursables, fonds spéciaux, contrats de visibilité, fondations liées et sociétés interposées sont soumis aux mêmes interdictions que les subventions directes lorsqu'ils produisent un effet équivalent.</w:t>
      </w:r>
    </w:p>
    <w:p>
      <w:pPr>
        <w:pStyle w:val="Heading2"/>
      </w:pPr>
      <w:r>
        <w:t>8. Organismes parallèles et délégations</w:t>
      </w:r>
    </w:p>
    <w:p>
      <w:r>
        <w:t>Les agences, sociétés d'État, fondations publiques, organismes parapublics, comités, commissions, mandataires, sous-traitants, municipalités, MRC, organismes régionaux et partenaires privés sont soumis aux mêmes interdictions que l'État lorsqu'ils agissent avec de l'argent public, un mandat public, une autorité déléguée, une donnée publique ou un pouvoir réglementaire.</w:t>
      </w:r>
    </w:p>
    <w:p>
      <w:r>
        <w:t>Aucune structure intermédiaire ne peut être créée pour faire indirectement ce que l'État ne peut pas faire directement.</w:t>
      </w:r>
    </w:p>
    <w:p>
      <w:pPr>
        <w:pStyle w:val="Heading2"/>
      </w:pPr>
      <w:r>
        <w:t>9. Corruption directe, indirecte et différée</w:t>
      </w:r>
    </w:p>
    <w:p>
      <w:r>
        <w:t>Est assimilé à de la corruption tout avantage direct, indirect, différé, conditionnel ou non monétaire accordé à un décideur, à sa famille, à ses proches, à ses associés, à une entité liée ou à un futur employeur lorsque cet avantage peut influencer, récompenser, acheter, neutraliser ou orienter une décision publique.</w:t>
      </w:r>
    </w:p>
    <w:p>
      <w:r>
        <w:t>Sont notamment visés les cadeaux, repas, voyages, rabais, prêts avantageux, contrats, emplois futurs, nominations, contributions déguisées, services gratuits, invitations, promesses de carrière, avantages à des proches, dons à des fondations liées ou avantages fournis par un prête-nom.</w:t>
      </w:r>
    </w:p>
    <w:p>
      <w:pPr>
        <w:pStyle w:val="Heading2"/>
      </w:pPr>
      <w:r>
        <w:t>10. Proches, prête-noms et entités liées</w:t>
      </w:r>
    </w:p>
    <w:p>
      <w:r>
        <w:t>Les interdictions visant un élu, dirigeant, fonctionnaire, administrateur public, expert mandaté, membre d'un comité, responsable de contrat ou décideur public s'appliquent également aux personnes liées, prête-noms, sociétés contrôlées, fondations associées, partenaires d'affaires, membres de la famille immédiate et toute structure utilisée pour recevoir indirectement un avantage.</w:t>
      </w:r>
    </w:p>
    <w:p>
      <w:r>
        <w:t>La dissimulation par personne interposée constitue une faute aggravée.</w:t>
      </w:r>
    </w:p>
    <w:p>
      <w:pPr>
        <w:pStyle w:val="Heading2"/>
      </w:pPr>
      <w:r>
        <w:t>11. Registre public des intérêts</w:t>
      </w:r>
    </w:p>
    <w:p>
      <w:r>
        <w:t>Toute personne exerçant une fonction décisionnelle publique doit déclarer ses intérêts financiers, professionnels, familiaux, associatifs, contractuels et relationnels pertinents.</w:t>
      </w:r>
    </w:p>
    <w:p>
      <w:r>
        <w:t>Cette obligation vise les élus, ministres, hauts fonctionnaires, dirigeants de sociétés publiques, responsables de contrats, membres de comités de nomination, responsables électoraux, chefs de police, dirigeants d'autorités indépendantes, experts mandatés et toute personne exerçant une influence décisionnelle réelle.</w:t>
      </w:r>
    </w:p>
    <w:p>
      <w:r>
        <w:t>Une déclaration incomplète, fausse, tardive ou volontairement ambiguë entraîne suspension immédiate, enquête indépendante et sanctions.</w:t>
      </w:r>
    </w:p>
    <w:p>
      <w:pPr>
        <w:pStyle w:val="Heading2"/>
      </w:pPr>
      <w:r>
        <w:t>12. Décisions publiques non anonymes</w:t>
      </w:r>
    </w:p>
    <w:p>
      <w:r>
        <w:t>Toute décision publique doit identifier un décideur humain responsable.</w:t>
      </w:r>
    </w:p>
    <w:p>
      <w:r>
        <w:t>Les décisions anonymes, collectives sans responsable désigné, automatisées sans validation humaine, attribuées à une structure impersonnelle ou diluées par sous-traitance opaque sont nulles.</w:t>
      </w:r>
    </w:p>
    <w:p>
      <w:r>
        <w:t>Le fait d'agir par ordre, par comité, par algorithme, par sous-traitant ou par structure intermédiaire ne protège jamais contre la responsabilité personnelle.</w:t>
      </w:r>
    </w:p>
    <w:p>
      <w:pPr>
        <w:pStyle w:val="Heading2"/>
      </w:pPr>
      <w:r>
        <w:t>13. Nominations et indépendance des fonctions clés</w:t>
      </w:r>
    </w:p>
    <w:p>
      <w:r>
        <w:t>Toute nomination à une fonction indépendante doit être fondée sur des critères publics, une vérification d'intégrité, une audition publique lorsque nécessaire, une décision motivée, une durée de mandat limitée et un mécanisme de contestation.</w:t>
      </w:r>
    </w:p>
    <w:p>
      <w:r>
        <w:t>Aucune nomination ne peut servir à récompenser une loyauté partisane, une proximité personnelle, un service rendu, un financement indirect ou une obéissance idéologique.</w:t>
      </w:r>
    </w:p>
    <w:p>
      <w:r>
        <w:t>Les fonctions de juge, chef de police, responsable électoral, commissaire à l'éthique, vérificateur, enquêteur indépendant et dirigeant d'autorité de contrôle doivent être protégées contre la nomination discrétionnaire par le gouvernement seul.</w:t>
      </w:r>
    </w:p>
    <w:p>
      <w:pPr>
        <w:pStyle w:val="Heading2"/>
      </w:pPr>
      <w:r>
        <w:t>14. Enquêtes indépendantes</w:t>
      </w:r>
    </w:p>
    <w:p>
      <w:r>
        <w:t>Aucune institution ne peut enquêter seule sur ses propres fautes graves.</w:t>
      </w:r>
    </w:p>
    <w:p>
      <w:r>
        <w:t>Toute allégation impliquant une autorité publique doit être confiée à une autorité indépendante extérieure, civile, transparente et protégée contre les pressions politiques, administratives, policières, militaires, économiques ou médiatiques.</w:t>
      </w:r>
    </w:p>
    <w:p>
      <w:r>
        <w:t>Les fonctions d'enquête, de poursuite, de décision administrative et de jugement doivent demeurer séparées.</w:t>
      </w:r>
    </w:p>
    <w:p>
      <w:pPr>
        <w:pStyle w:val="Heading2"/>
      </w:pPr>
      <w:r>
        <w:t>15. Argent public et activités non essentielles</w:t>
      </w:r>
    </w:p>
    <w:p>
      <w:r>
        <w:t>L'interdiction de financer les activités non essentielles s'applique aux subventions, crédits d'impôt, garanties de prêt, commandites publiques, achats symboliques, contrats de visibilité, avances remboursables, fonds spéciaux, sociétés d'État, municipalités, MRC, organismes parapublics et toute structure équivalente.</w:t>
      </w:r>
    </w:p>
    <w:p>
      <w:r>
        <w:t>Aucun financement public ne peut être déguisé sous une autre forme pour financer des athlètes professionnels, équipes sportives privées, artistes commerciaux, festivals non essentiels, spectacles, productions privées, projets médiatiques privés, influenceurs ou activités de prestige.</w:t>
      </w:r>
    </w:p>
    <w:p>
      <w:r>
        <w:t>L'argent public sert d'abord les services essentiels, la protection des personnes, les infrastructures vitales, la justice, la sécurité, la santé, l'éducation fondamentale, l'eau, l'énergie, le logement essentiel, les communications critiques et la dette publique.</w:t>
      </w:r>
    </w:p>
    <w:p>
      <w:pPr>
        <w:pStyle w:val="Heading2"/>
      </w:pPr>
      <w:r>
        <w:t>16. Municipalités, MRC et paliers de proximité</w:t>
      </w:r>
    </w:p>
    <w:p>
      <w:r>
        <w:t>Aucune structure municipale, régionale, métropolitaine ou supralocale ne peut exercer un pouvoir supérieur aux citoyens locaux sans mandat clair, contrôle public, reddition de comptes, audit accessible et possibilité de révision démocratique.</w:t>
      </w:r>
    </w:p>
    <w:p>
      <w:r>
        <w:t>La proximité démocratique prime : tout pouvoir doit être exercé au niveau le plus proche des citoyens, sauf nécessité nationale démontrée, écrite et contrôlable.</w:t>
      </w:r>
    </w:p>
    <w:p>
      <w:pPr>
        <w:pStyle w:val="Heading2"/>
      </w:pPr>
      <w:r>
        <w:t>17. Crise, urgence et transition</w:t>
      </w:r>
    </w:p>
    <w:p>
      <w:r>
        <w:t>Aucune crise, urgence, transition, menace, pandémie, conflit, cyberattaque, perturbation économique, pression extérieure ou désordre administratif ne peut servir à suspendre indéfiniment les droits, reporter abusivement les élections, prolonger un mandat, gouverner par décret permanent ou affaiblir les contrôles indépendants.</w:t>
      </w:r>
    </w:p>
    <w:p>
      <w:r>
        <w:t>Toute mesure d'urgence doit être temporaire, nécessaire, proportionnée, publiée, contrôlée judiciairement, auditée après coup et automatiquement caduque à l'expiration du délai autorisé.</w:t>
      </w:r>
    </w:p>
    <w:p>
      <w:pPr>
        <w:pStyle w:val="Heading2"/>
      </w:pPr>
      <w:r>
        <w:t>18. Réponses officielles et langue de bois</w:t>
      </w:r>
    </w:p>
    <w:p>
      <w:r>
        <w:t>Toute réponse officielle doit être claire, complète, vérifiable et directement liée à la question posée.</w:t>
      </w:r>
    </w:p>
    <w:p>
      <w:r>
        <w:t>Le refus de répondre, l'évitement, la réponse vague, la justification non vérifiable, la statistique manipulée ou la communication destinée à noyer l'information constituent un manquement à la transparence publique.</w:t>
      </w:r>
    </w:p>
    <w:p>
      <w:pPr>
        <w:pStyle w:val="Heading2"/>
      </w:pPr>
      <w:r>
        <w:t>19. Archives, versions officielles et traçabilité</w:t>
      </w:r>
    </w:p>
    <w:p>
      <w:r>
        <w:t>Toute version officielle d'un document du projet, d'une loi, d'un règlement, d'un contrat, d'une décision publique ou d'un rapport d'audit doit être horodatée, numérotée, conservée et archivée.</w:t>
      </w:r>
    </w:p>
    <w:p>
      <w:r>
        <w:t>Toute modification doit laisser une trace indiquant l'auteur, la date, le motif, la version antérieure, la version nouvelle et les différences significatives.</w:t>
      </w:r>
    </w:p>
    <w:p>
      <w:r>
        <w:t>La falsification, la suppression ou la modification occulte d'une archive publique constitue une faute grave.</w:t>
      </w:r>
    </w:p>
    <w:p>
      <w:pPr>
        <w:pStyle w:val="Heading2"/>
      </w:pPr>
      <w:r>
        <w:t>20. Agriculture saine, OGM et souveraineté alimentaire</w:t>
      </w:r>
    </w:p>
    <w:p>
      <w:r>
        <w:t>Pour le Projet Nova, la santé du peuple, la qualité de l'eau, la protection des sols, la biodiversité, les pollinisateurs et l'autonomie alimentaire passent avant les intérêts des grandes multinationales agrochimiques.</w:t>
      </w:r>
    </w:p>
    <w:p>
      <w:r>
        <w:rPr>
          <w:b/>
        </w:rPr>
        <w:t>Toute forme d'OGM est interdite sur le territoire du Québec, tant dans la phase provinciale actuelle que dans le futur pays souverain. Cette interdiction vise notamment la culture, la production, la dissémination, l'ensemencement, l'importation pour culture, la commercialisation agricole et l'utilisation alimentaire ou animale d'organismes génétiquement modifiés.</w:t>
      </w:r>
    </w:p>
    <w:p>
      <w:r>
        <w:t>Aucun pesticide interdit, aucun OGM et aucune technologie agricole créant une dépendance envers des semences brevetées, produits chimiques contrôlés, plateformes technologiques privées ou grands intérêts agrochimiques ne peut être introduit, réintroduit, toléré ou financé par l'État.</w:t>
      </w:r>
    </w:p>
    <w:p>
      <w:r>
        <w:t>Le Québec soutient ses agriculteurs sans les rendre prisonniers d'un modèle contrôlé par les lobbys, brevets, contrats exclusifs, intrants obligatoires ou grandes corporations.</w:t>
      </w:r>
    </w:p>
    <w:p>
      <w:r>
        <w:t>Les principes applicables sont : précaution maximale, interdiction des OGM, transparence complète, traçabilité obligatoire, protection de l'agriculture locale, soutien aux semences libres et protection de l'autonomie alimentaire.</w:t>
      </w:r>
    </w:p>
    <w:p>
      <w:r>
        <w:t>Toute décision agricole ayant un impact sur la santé, l'eau, les sols, la biodiversité, les pollinisateurs ou l'autonomie alimentaire doit être précédée d'études indépendantes, publiques, contradictoires et libres de financement industriel direct ou indirect.</w:t>
      </w:r>
    </w:p>
    <w:p>
      <w:pPr>
        <w:pStyle w:val="Heading2"/>
      </w:pPr>
      <w:r>
        <w:t>21. Sanctions et responsabilité personnelle</w:t>
      </w:r>
    </w:p>
    <w:p>
      <w:r>
        <w:t>Toute personne qui conçoit, autorise, signe, applique, conseille, finance, camoufle ou tolère un contournement engage sa responsabilité personnelle, civile, administrative, politique et, lorsque requis, pénale.</w:t>
      </w:r>
    </w:p>
    <w:p>
      <w:r>
        <w:t>La bonne foi ne peut être invoquée lorsqu'une personne raisonnablement compétente devait savoir que l'effet réel de l'acte contournait une règle supérieure.</w:t>
      </w:r>
    </w:p>
    <w:p>
      <w:r>
        <w:t>Tout avantage obtenu par contournement est restitué, tout contrat abusif est résilié et toute décision contaminée est annulée.</w:t>
      </w:r>
    </w:p>
    <w:p>
      <w:r/>
    </w:p>
    <w:p>
      <w:pPr>
        <w:pStyle w:val="Heading1"/>
      </w:pPr>
      <w:r>
        <w:t>Infrastructures durables et responsabilité démocratique</w:t>
      </w:r>
    </w:p>
    <w:p>
      <w:pPr>
        <w:spacing w:after="120"/>
      </w:pPr>
      <w:r>
        <w:t>Le Projet Nova affirme deux principes complémentaires : l'État doit construire mieux, plus vite et avec moins de gaspillage; et les décideurs publics doivent demeurer responsables devant les citoyens.</w:t>
      </w:r>
    </w:p>
    <w:p>
      <w:pPr>
        <w:spacing w:after="120"/>
      </w:pPr>
      <w:r>
        <w:t>Les infrastructures publiques doivent être évaluées selon la durabilité, le coût total du cycle de vie, la qualité des matériaux, la compétence réelle des fournisseurs, les échéanciers publics et l'impact sur la population.</w:t>
      </w:r>
    </w:p>
    <w:p>
      <w:pPr>
        <w:spacing w:after="120"/>
      </w:pPr>
      <w:r>
        <w:t>Les chantiers majeurs doivent être priorisés, terminés avec discipline et accélérés lorsque l'intérêt public le justifie, sans sacrifier la santé des travailleurs, la sécurité ou la qualité.</w:t>
      </w:r>
    </w:p>
    <w:p>
      <w:pPr>
        <w:spacing w:after="120"/>
      </w:pPr>
      <w:r>
        <w:t>La révocation citoyenne permet au peuple de retirer un décideur public qui ne sert plus correctement l'intérêt public. Elle doit être encadrée par des seuils sérieux, une vérification indépendante, un droit de réponse, une information publique et un vote citoyen.</w:t>
      </w:r>
    </w:p>
    <w:p>
      <w:pPr>
        <w:spacing w:after="120"/>
      </w:pPr>
      <w:r>
        <w:t>Ce mécanisme ne peut pas servir à punir une opinion, un vote de conscience ou un désaccord politique normal. Il vise les fautes graves, l'incompétence manifeste, la mauvaise gestion grave, la corruption, l'abus de pouvoir, le refus de transparence ou la rupture réelle de confiance publique.</w:t>
      </w:r>
    </w:p>
    <w:p>
      <w:pPr>
        <w:spacing w:after="120"/>
      </w:pPr>
      <w:r>
        <w:t>Projet Nova - mieux construire, finir plus vite, gaspiller moins et redonner au peuple un vrai pouvoir de contrôle.</w:t>
      </w:r>
    </w:p>
    <w:sectPr w:rsidR="00FC693F" w:rsidRPr="0006063C" w:rsidSect="00034616">
      <w:footerReference w:type="default" r:id="rId9"/>
      <w:headerReference w:type="default" r:id="rId11"/>
      <w:headerReference w:type="first" r:id="rId12"/>
      <w:footerReference w:type="first" r:id="rId13"/>
      <w:headerReference w:type="even" r:id="rId14"/>
      <w:footerReference w:type="even" r:id="rId15"/>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Projet Nova - version officielle V1.6 intégrée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Projet Nova - V1.6 - Version officielle intégrée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ptos Display"/>
      <w:b/>
      <w:bCs/>
      <w:color w:val="0718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ptos Display"/>
      <w:b/>
      <w:bCs/>
      <w:color w:val="005F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ptos Display"/>
      <w:b/>
      <w:bCs/>
      <w:color w:val="0B1F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7183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aQuote">
    <w:name w:val="Nova Quote"/>
    <w:rPr>
      <w:rFonts w:ascii="Arial" w:hAnsi="Arial"/>
      <w:i/>
      <w:color w:val="005F7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dc:title>
  <dc:subject/>
  <dc:creator>Projet Nova</dc:creator>
  <cp:keywords/>
  <dc:description>generated by python-docx</dc:description>
  <cp:lastModifiedBy>Projet Nova</cp:lastModifiedBy>
  <cp:revision>1</cp:revision>
  <dcterms:created xsi:type="dcterms:W3CDTF">2013-12-23T23:15:00Z</dcterms:created>
  <dcterms:modified xsi:type="dcterms:W3CDTF">2013-12-23T23:15:00Z</dcterms:modified>
  <cp:category/>
</cp:coreProperties>
</file>