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1F3763"/>
          <w:sz w:val="36"/>
        </w:rPr>
        <w:t>DOCUMENT OFFICIEL</w:t>
      </w:r>
    </w:p>
    <w:p>
      <w:pPr>
        <w:jc w:val="center"/>
      </w:pPr>
      <w:r>
        <w:rPr>
          <w:b/>
          <w:color w:val="1F3763"/>
          <w:sz w:val="56"/>
        </w:rPr>
        <w:t>SYSTÈME NOVA</w:t>
      </w:r>
    </w:p>
    <w:p>
      <w:pPr>
        <w:jc w:val="center"/>
      </w:pPr>
      <w:r>
        <w:rPr>
          <w:b/>
          <w:color w:val="2F5597"/>
          <w:sz w:val="36"/>
        </w:rPr>
        <w:t>RÈGLEMENTS &amp; APPLICATION NORMATIVE</w:t>
      </w:r>
    </w:p>
    <w:p>
      <w:pPr>
        <w:jc w:val="center"/>
      </w:pPr>
      <w:r>
        <w:rPr>
          <w:b w:val="0"/>
          <w:color w:val="595959"/>
          <w:sz w:val="22"/>
        </w:rPr>
        <w:t>Version officielle consolidée - Projet Nova</w:t>
      </w:r>
    </w:p>
    <w:p>
      <w:pPr>
        <w:pStyle w:val="SmallNote"/>
        <w:jc w:val="center"/>
      </w:pPr>
      <w:r>
        <w:t>Document de consolidation réglementaire et opérationnelle.</w:t>
      </w:r>
    </w:p>
    <w:p>
      <w:pPr>
        <w:pStyle w:val="SmallNote"/>
        <w:jc w:val="center"/>
      </w:pPr>
      <w:r>
        <w:t>Texte préparatoire destiné à encadrer les règlements, directives, formulaires, procédures, guides administratifs et mécanismes d’application du Système Nova.</w:t>
      </w:r>
    </w:p>
    <w:p>
      <w:pPr>
        <w:pStyle w:val="SmallNote"/>
        <w:jc w:val="center"/>
      </w:pPr>
      <w:r>
        <w:t>Ce document doit être lu avec la Constitution, les normes fondamentales, les lois organiques, les lois administratives et les lois ordinaires du Système Nova.</w:t>
      </w:r>
    </w:p>
    <w:p>
      <w:r/>
    </w:p>
    <w:p>
      <w:pPr>
        <w:pStyle w:val="Heading1"/>
      </w:pPr>
      <w:r>
        <w:t>AVIS DE CONSOLIDATION</w:t>
      </w:r>
    </w:p>
    <w:p>
      <w:r>
        <w:t>Le présent document constitue une version consolidée des règlements et mécanismes d’application normative du Système Nova.</w:t>
      </w:r>
    </w:p>
    <w:p>
      <w:r>
        <w:t>Il ne crée pas une norme supérieure à la Constitution, aux normes fondamentales ni aux lois. Il précise comment les autorités publiques doivent appliquer les normes sans les déformer.</w:t>
      </w:r>
    </w:p>
    <w:p>
      <w:r>
        <w:t>Les règlements, directives, guides, formulaires, politiques internes et procédures administratives doivent respecter la hiérarchie normative du Système Nova et ne peuvent jamais servir à contourner une protection supérieure.</w:t>
      </w:r>
    </w:p>
    <w:p>
      <w:r>
        <w:t>Le principe directeur est simple : un règlement doit faciliter l’application claire de la loi, non créer un pouvoir autonome, opaque ou contraire au mandat démocratique.</w:t>
      </w:r>
    </w:p>
    <w:p>
      <w:pPr>
        <w:pStyle w:val="Heading1"/>
      </w:pPr>
      <w:r>
        <w:t>TABLE DE REPÉRAGE GÉNÉRALE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
              <w:rPr>
                <w:rFonts w:ascii="Arial" w:hAnsi="Arial" w:eastAsia="Arial"/>
                <w:b/>
                <w:color w:val="FFFFFF"/>
                <w:sz w:val="16"/>
              </w:rPr>
              <w:t>Partie</w:t>
            </w:r>
          </w:p>
        </w:tc>
        <w:tc>
          <w:tcPr>
            <w:tcW w:type="dxa" w:w="3331"/>
            <w:vAlign w:val="center"/>
            <w:shd w:fill="1F4E79"/>
          </w:tcPr>
          <w:p>
            <w:r/>
            <w:r>
              <w:rPr>
                <w:rFonts w:ascii="Arial" w:hAnsi="Arial" w:eastAsia="Arial"/>
                <w:b/>
                <w:color w:val="FFFFFF"/>
                <w:sz w:val="16"/>
              </w:rPr>
              <w:t>Objet</w:t>
            </w:r>
          </w:p>
        </w:tc>
        <w:tc>
          <w:tcPr>
            <w:tcW w:type="dxa" w:w="3331"/>
            <w:vAlign w:val="center"/>
            <w:shd w:fill="1F4E79"/>
          </w:tcPr>
          <w:p>
            <w:r/>
            <w:r>
              <w:rPr>
                <w:rFonts w:ascii="Arial" w:hAnsi="Arial" w:eastAsia="Arial"/>
                <w:b/>
                <w:color w:val="FFFFFF"/>
                <w:sz w:val="16"/>
              </w:rPr>
              <w:t>Articles</w:t>
            </w:r>
          </w:p>
        </w:tc>
      </w:tr>
      <w:tr>
        <w:tc>
          <w:tcPr>
            <w:tcW w:type="dxa" w:w="3331"/>
            <w:vAlign w:val="center"/>
          </w:tcPr>
          <w:p>
            <w:r/>
            <w:r>
              <w:rPr>
                <w:rFonts w:ascii="Arial" w:hAnsi="Arial" w:eastAsia="Arial"/>
                <w:b w:val="0"/>
                <w:color w:val="000000"/>
                <w:sz w:val="16"/>
              </w:rPr>
              <w:t>I</w:t>
            </w:r>
          </w:p>
        </w:tc>
        <w:tc>
          <w:tcPr>
            <w:tcW w:type="dxa" w:w="3331"/>
            <w:vAlign w:val="center"/>
          </w:tcPr>
          <w:p>
            <w:r/>
            <w:r>
              <w:rPr>
                <w:rFonts w:ascii="Arial" w:hAnsi="Arial" w:eastAsia="Arial"/>
                <w:b w:val="0"/>
                <w:color w:val="000000"/>
                <w:sz w:val="16"/>
              </w:rPr>
              <w:t>Portée, hiérarchie et fonction des règlements</w:t>
            </w:r>
          </w:p>
        </w:tc>
        <w:tc>
          <w:tcPr>
            <w:tcW w:type="dxa" w:w="3331"/>
            <w:vAlign w:val="center"/>
          </w:tcPr>
          <w:p>
            <w:r/>
            <w:r>
              <w:rPr>
                <w:rFonts w:ascii="Arial" w:hAnsi="Arial" w:eastAsia="Arial"/>
                <w:b w:val="0"/>
                <w:color w:val="000000"/>
                <w:sz w:val="16"/>
              </w:rPr>
              <w:t>R-1 à R-10</w:t>
            </w:r>
          </w:p>
        </w:tc>
      </w:tr>
      <w:tr>
        <w:tc>
          <w:tcPr>
            <w:tcW w:type="dxa" w:w="3331"/>
            <w:vAlign w:val="center"/>
          </w:tcPr>
          <w:p>
            <w:r/>
            <w:r>
              <w:rPr>
                <w:rFonts w:ascii="Arial" w:hAnsi="Arial" w:eastAsia="Arial"/>
                <w:b w:val="0"/>
                <w:color w:val="000000"/>
                <w:sz w:val="16"/>
              </w:rPr>
              <w:t>II</w:t>
            </w:r>
          </w:p>
        </w:tc>
        <w:tc>
          <w:tcPr>
            <w:tcW w:type="dxa" w:w="3331"/>
            <w:vAlign w:val="center"/>
          </w:tcPr>
          <w:p>
            <w:r/>
            <w:r>
              <w:rPr>
                <w:rFonts w:ascii="Arial" w:hAnsi="Arial" w:eastAsia="Arial"/>
                <w:b w:val="0"/>
                <w:color w:val="000000"/>
                <w:sz w:val="16"/>
              </w:rPr>
              <w:t>Adoption, publication et entrée en vigueur</w:t>
            </w:r>
          </w:p>
        </w:tc>
        <w:tc>
          <w:tcPr>
            <w:tcW w:type="dxa" w:w="3331"/>
            <w:vAlign w:val="center"/>
          </w:tcPr>
          <w:p>
            <w:r/>
            <w:r>
              <w:rPr>
                <w:rFonts w:ascii="Arial" w:hAnsi="Arial" w:eastAsia="Arial"/>
                <w:b w:val="0"/>
                <w:color w:val="000000"/>
                <w:sz w:val="16"/>
              </w:rPr>
              <w:t>R-11 à R-20</w:t>
            </w:r>
          </w:p>
        </w:tc>
      </w:tr>
      <w:tr>
        <w:tc>
          <w:tcPr>
            <w:tcW w:type="dxa" w:w="3331"/>
            <w:vAlign w:val="center"/>
          </w:tcPr>
          <w:p>
            <w:r/>
            <w:r>
              <w:rPr>
                <w:rFonts w:ascii="Arial" w:hAnsi="Arial" w:eastAsia="Arial"/>
                <w:b w:val="0"/>
                <w:color w:val="000000"/>
                <w:sz w:val="16"/>
              </w:rPr>
              <w:t>III</w:t>
            </w:r>
          </w:p>
        </w:tc>
        <w:tc>
          <w:tcPr>
            <w:tcW w:type="dxa" w:w="3331"/>
            <w:vAlign w:val="center"/>
          </w:tcPr>
          <w:p>
            <w:r/>
            <w:r>
              <w:rPr>
                <w:rFonts w:ascii="Arial" w:hAnsi="Arial" w:eastAsia="Arial"/>
                <w:b w:val="0"/>
                <w:color w:val="000000"/>
                <w:sz w:val="16"/>
              </w:rPr>
              <w:t>Formulaires, directives et procédures administratives</w:t>
            </w:r>
          </w:p>
        </w:tc>
        <w:tc>
          <w:tcPr>
            <w:tcW w:type="dxa" w:w="3331"/>
            <w:vAlign w:val="center"/>
          </w:tcPr>
          <w:p>
            <w:r/>
            <w:r>
              <w:rPr>
                <w:rFonts w:ascii="Arial" w:hAnsi="Arial" w:eastAsia="Arial"/>
                <w:b w:val="0"/>
                <w:color w:val="000000"/>
                <w:sz w:val="16"/>
              </w:rPr>
              <w:t>R-21 à R-30</w:t>
            </w:r>
          </w:p>
        </w:tc>
      </w:tr>
      <w:tr>
        <w:tc>
          <w:tcPr>
            <w:tcW w:type="dxa" w:w="3331"/>
            <w:vAlign w:val="center"/>
          </w:tcPr>
          <w:p>
            <w:r/>
            <w:r>
              <w:rPr>
                <w:rFonts w:ascii="Arial" w:hAnsi="Arial" w:eastAsia="Arial"/>
                <w:b w:val="0"/>
                <w:color w:val="000000"/>
                <w:sz w:val="16"/>
              </w:rPr>
              <w:t>IV</w:t>
            </w:r>
          </w:p>
        </w:tc>
        <w:tc>
          <w:tcPr>
            <w:tcW w:type="dxa" w:w="3331"/>
            <w:vAlign w:val="center"/>
          </w:tcPr>
          <w:p>
            <w:r/>
            <w:r>
              <w:rPr>
                <w:rFonts w:ascii="Arial" w:hAnsi="Arial" w:eastAsia="Arial"/>
                <w:b w:val="0"/>
                <w:color w:val="000000"/>
                <w:sz w:val="16"/>
              </w:rPr>
              <w:t>Contrôle réglementaire et anti-contournement</w:t>
            </w:r>
          </w:p>
        </w:tc>
        <w:tc>
          <w:tcPr>
            <w:tcW w:type="dxa" w:w="3331"/>
            <w:vAlign w:val="center"/>
          </w:tcPr>
          <w:p>
            <w:r/>
            <w:r>
              <w:rPr>
                <w:rFonts w:ascii="Arial" w:hAnsi="Arial" w:eastAsia="Arial"/>
                <w:b w:val="0"/>
                <w:color w:val="000000"/>
                <w:sz w:val="16"/>
              </w:rPr>
              <w:t>R-31 à R-40</w:t>
            </w:r>
          </w:p>
        </w:tc>
      </w:tr>
      <w:tr>
        <w:tc>
          <w:tcPr>
            <w:tcW w:type="dxa" w:w="3331"/>
            <w:vAlign w:val="center"/>
          </w:tcPr>
          <w:p>
            <w:r/>
            <w:r>
              <w:rPr>
                <w:rFonts w:ascii="Arial" w:hAnsi="Arial" w:eastAsia="Arial"/>
                <w:b w:val="0"/>
                <w:color w:val="000000"/>
                <w:sz w:val="16"/>
              </w:rPr>
              <w:t>V</w:t>
            </w:r>
          </w:p>
        </w:tc>
        <w:tc>
          <w:tcPr>
            <w:tcW w:type="dxa" w:w="3331"/>
            <w:vAlign w:val="center"/>
          </w:tcPr>
          <w:p>
            <w:r/>
            <w:r>
              <w:rPr>
                <w:rFonts w:ascii="Arial" w:hAnsi="Arial" w:eastAsia="Arial"/>
                <w:b w:val="0"/>
                <w:color w:val="000000"/>
                <w:sz w:val="16"/>
              </w:rPr>
              <w:t>Services publics et application opérationnelle</w:t>
            </w:r>
          </w:p>
        </w:tc>
        <w:tc>
          <w:tcPr>
            <w:tcW w:type="dxa" w:w="3331"/>
            <w:vAlign w:val="center"/>
          </w:tcPr>
          <w:p>
            <w:r/>
            <w:r>
              <w:rPr>
                <w:rFonts w:ascii="Arial" w:hAnsi="Arial" w:eastAsia="Arial"/>
                <w:b w:val="0"/>
                <w:color w:val="000000"/>
                <w:sz w:val="16"/>
              </w:rPr>
              <w:t>R-41 à R-50</w:t>
            </w:r>
          </w:p>
        </w:tc>
      </w:tr>
      <w:tr>
        <w:tc>
          <w:tcPr>
            <w:tcW w:type="dxa" w:w="3331"/>
            <w:vAlign w:val="center"/>
          </w:tcPr>
          <w:p>
            <w:r/>
            <w:r>
              <w:rPr>
                <w:rFonts w:ascii="Arial" w:hAnsi="Arial" w:eastAsia="Arial"/>
                <w:b w:val="0"/>
                <w:color w:val="000000"/>
                <w:sz w:val="16"/>
              </w:rPr>
              <w:t>VI</w:t>
            </w:r>
          </w:p>
        </w:tc>
        <w:tc>
          <w:tcPr>
            <w:tcW w:type="dxa" w:w="3331"/>
            <w:vAlign w:val="center"/>
          </w:tcPr>
          <w:p>
            <w:r/>
            <w:r>
              <w:rPr>
                <w:rFonts w:ascii="Arial" w:hAnsi="Arial" w:eastAsia="Arial"/>
                <w:b w:val="0"/>
                <w:color w:val="000000"/>
                <w:sz w:val="16"/>
              </w:rPr>
              <w:t>Numérique, données et automatisation réglementaire</w:t>
            </w:r>
          </w:p>
        </w:tc>
        <w:tc>
          <w:tcPr>
            <w:tcW w:type="dxa" w:w="3331"/>
            <w:vAlign w:val="center"/>
          </w:tcPr>
          <w:p>
            <w:r/>
            <w:r>
              <w:rPr>
                <w:rFonts w:ascii="Arial" w:hAnsi="Arial" w:eastAsia="Arial"/>
                <w:b w:val="0"/>
                <w:color w:val="000000"/>
                <w:sz w:val="16"/>
              </w:rPr>
              <w:t>R-51 à R-60</w:t>
            </w:r>
          </w:p>
        </w:tc>
      </w:tr>
      <w:tr>
        <w:tc>
          <w:tcPr>
            <w:tcW w:type="dxa" w:w="3331"/>
            <w:vAlign w:val="center"/>
          </w:tcPr>
          <w:p>
            <w:r/>
            <w:r>
              <w:rPr>
                <w:rFonts w:ascii="Arial" w:hAnsi="Arial" w:eastAsia="Arial"/>
                <w:b w:val="0"/>
                <w:color w:val="000000"/>
                <w:sz w:val="16"/>
              </w:rPr>
              <w:t>VII</w:t>
            </w:r>
          </w:p>
        </w:tc>
        <w:tc>
          <w:tcPr>
            <w:tcW w:type="dxa" w:w="3331"/>
            <w:vAlign w:val="center"/>
          </w:tcPr>
          <w:p>
            <w:r/>
            <w:r>
              <w:rPr>
                <w:rFonts w:ascii="Arial" w:hAnsi="Arial" w:eastAsia="Arial"/>
                <w:b w:val="0"/>
                <w:color w:val="000000"/>
                <w:sz w:val="16"/>
              </w:rPr>
              <w:t>Règlements économiques, fiscaux et contractuels</w:t>
            </w:r>
          </w:p>
        </w:tc>
        <w:tc>
          <w:tcPr>
            <w:tcW w:type="dxa" w:w="3331"/>
            <w:vAlign w:val="center"/>
          </w:tcPr>
          <w:p>
            <w:r/>
            <w:r>
              <w:rPr>
                <w:rFonts w:ascii="Arial" w:hAnsi="Arial" w:eastAsia="Arial"/>
                <w:b w:val="0"/>
                <w:color w:val="000000"/>
                <w:sz w:val="16"/>
              </w:rPr>
              <w:t>R-61 à R-70</w:t>
            </w:r>
          </w:p>
        </w:tc>
      </w:tr>
      <w:tr>
        <w:tc>
          <w:tcPr>
            <w:tcW w:type="dxa" w:w="3331"/>
            <w:vAlign w:val="center"/>
          </w:tcPr>
          <w:p>
            <w:r/>
            <w:r>
              <w:rPr>
                <w:rFonts w:ascii="Arial" w:hAnsi="Arial" w:eastAsia="Arial"/>
                <w:b w:val="0"/>
                <w:color w:val="000000"/>
                <w:sz w:val="16"/>
              </w:rPr>
              <w:t>VIII</w:t>
            </w:r>
          </w:p>
        </w:tc>
        <w:tc>
          <w:tcPr>
            <w:tcW w:type="dxa" w:w="3331"/>
            <w:vAlign w:val="center"/>
          </w:tcPr>
          <w:p>
            <w:r/>
            <w:r>
              <w:rPr>
                <w:rFonts w:ascii="Arial" w:hAnsi="Arial" w:eastAsia="Arial"/>
                <w:b w:val="0"/>
                <w:color w:val="000000"/>
                <w:sz w:val="16"/>
              </w:rPr>
              <w:t>Régions, municipalités et adaptation territoriale</w:t>
            </w:r>
          </w:p>
        </w:tc>
        <w:tc>
          <w:tcPr>
            <w:tcW w:type="dxa" w:w="3331"/>
            <w:vAlign w:val="center"/>
          </w:tcPr>
          <w:p>
            <w:r/>
            <w:r>
              <w:rPr>
                <w:rFonts w:ascii="Arial" w:hAnsi="Arial" w:eastAsia="Arial"/>
                <w:b w:val="0"/>
                <w:color w:val="000000"/>
                <w:sz w:val="16"/>
              </w:rPr>
              <w:t>R-71 à R-80</w:t>
            </w:r>
          </w:p>
        </w:tc>
      </w:tr>
      <w:tr>
        <w:tc>
          <w:tcPr>
            <w:tcW w:type="dxa" w:w="3331"/>
            <w:vAlign w:val="center"/>
          </w:tcPr>
          <w:p>
            <w:r/>
            <w:r>
              <w:rPr>
                <w:rFonts w:ascii="Arial" w:hAnsi="Arial" w:eastAsia="Arial"/>
                <w:b w:val="0"/>
                <w:color w:val="000000"/>
                <w:sz w:val="16"/>
              </w:rPr>
              <w:t>IX</w:t>
            </w:r>
          </w:p>
        </w:tc>
        <w:tc>
          <w:tcPr>
            <w:tcW w:type="dxa" w:w="3331"/>
            <w:vAlign w:val="center"/>
          </w:tcPr>
          <w:p>
            <w:r/>
            <w:r>
              <w:rPr>
                <w:rFonts w:ascii="Arial" w:hAnsi="Arial" w:eastAsia="Arial"/>
                <w:b w:val="0"/>
                <w:color w:val="000000"/>
                <w:sz w:val="16"/>
              </w:rPr>
              <w:t>Révision, abrogation et simplification réglementaire</w:t>
            </w:r>
          </w:p>
        </w:tc>
        <w:tc>
          <w:tcPr>
            <w:tcW w:type="dxa" w:w="3331"/>
            <w:vAlign w:val="center"/>
          </w:tcPr>
          <w:p>
            <w:r/>
            <w:r>
              <w:rPr>
                <w:rFonts w:ascii="Arial" w:hAnsi="Arial" w:eastAsia="Arial"/>
                <w:b w:val="0"/>
                <w:color w:val="000000"/>
                <w:sz w:val="16"/>
              </w:rPr>
              <w:t>R-81 à R-90</w:t>
            </w:r>
          </w:p>
        </w:tc>
      </w:tr>
      <w:tr>
        <w:tc>
          <w:tcPr>
            <w:tcW w:type="dxa" w:w="3331"/>
            <w:vAlign w:val="center"/>
          </w:tcPr>
          <w:p>
            <w:r/>
            <w:r>
              <w:rPr>
                <w:rFonts w:ascii="Arial" w:hAnsi="Arial" w:eastAsia="Arial"/>
                <w:b w:val="0"/>
                <w:color w:val="000000"/>
                <w:sz w:val="16"/>
              </w:rPr>
              <w:t>X</w:t>
            </w:r>
          </w:p>
        </w:tc>
        <w:tc>
          <w:tcPr>
            <w:tcW w:type="dxa" w:w="3331"/>
            <w:vAlign w:val="center"/>
          </w:tcPr>
          <w:p>
            <w:r/>
            <w:r>
              <w:rPr>
                <w:rFonts w:ascii="Arial" w:hAnsi="Arial" w:eastAsia="Arial"/>
                <w:b w:val="0"/>
                <w:color w:val="000000"/>
                <w:sz w:val="16"/>
              </w:rPr>
              <w:t>Concordance, responsabilité et clause finale</w:t>
            </w:r>
          </w:p>
        </w:tc>
        <w:tc>
          <w:tcPr>
            <w:tcW w:type="dxa" w:w="3331"/>
            <w:vAlign w:val="center"/>
          </w:tcPr>
          <w:p>
            <w:r/>
            <w:r>
              <w:rPr>
                <w:rFonts w:ascii="Arial" w:hAnsi="Arial" w:eastAsia="Arial"/>
                <w:b w:val="0"/>
                <w:color w:val="000000"/>
                <w:sz w:val="16"/>
              </w:rPr>
              <w:t>R-91 à R-100</w:t>
            </w:r>
          </w:p>
        </w:tc>
      </w:tr>
    </w:tbl>
    <w:p>
      <w:r/>
    </w:p>
    <w:p>
      <w:pPr>
        <w:pStyle w:val="Heading1"/>
      </w:pPr>
      <w:r>
        <w:t>PARTIE I - PORTÉE, HIÉRARCHIE ET FONCTION DES RÈGLEMENTS</w:t>
      </w:r>
    </w:p>
    <w:p>
      <w:pPr>
        <w:pStyle w:val="ArticleTitle"/>
      </w:pPr>
      <w:r>
        <w:t>Article R-1 - Objet du règlement</w:t>
      </w:r>
    </w:p>
    <w:p>
      <w:r>
        <w:t>Le règlement sert à appliquer une loi, préciser une procédure, organiser un service ou encadrer une opération administrative. Il ne doit pas remplacer la loi ni ajouter des obligations qui n’ont pas de base légale claire.</w:t>
      </w:r>
    </w:p>
    <w:p>
      <w:pPr>
        <w:pStyle w:val="ArticleTitle"/>
      </w:pPr>
      <w:r>
        <w:t>Article R-2 - Hiérarchie normative</w:t>
      </w:r>
    </w:p>
    <w:p>
      <w:r>
        <w:t>Tout règlement doit respecter la Constitution, les normes fondamentales, les lois organiques, les lois administratives et les lois ordinaires. Une norme inférieure contraire à une norme supérieure doit être corrigée.</w:t>
      </w:r>
    </w:p>
    <w:p>
      <w:pPr>
        <w:pStyle w:val="ArticleTitle"/>
      </w:pPr>
      <w:r>
        <w:t>Article R-3 - Application fidèle</w:t>
      </w:r>
    </w:p>
    <w:p>
      <w:r>
        <w:t>L’autorité réglementaire doit appliquer l’intention de la loi avec fidélité. Elle ne peut pas transformer une règle simple en obstacle administratif ou détourner l’objectif voté.</w:t>
      </w:r>
    </w:p>
    <w:p>
      <w:pPr>
        <w:pStyle w:val="ArticleTitle"/>
      </w:pPr>
      <w:r>
        <w:t>Article R-4 - Clarté obligatoire</w:t>
      </w:r>
    </w:p>
    <w:p>
      <w:r>
        <w:t>Les règlements doivent être rédigés de façon claire, structurée et accessible. Le citoyen doit pouvoir comprendre ses obligations et recours sans dépendre d’une interprétation opaque.</w:t>
      </w:r>
    </w:p>
    <w:p>
      <w:pPr>
        <w:pStyle w:val="ArticleTitle"/>
      </w:pPr>
      <w:r>
        <w:t>Article R-5 - Portée limitée</w:t>
      </w:r>
    </w:p>
    <w:p>
      <w:r>
        <w:t>Un règlement doit limiter sa portée à ce qui est nécessaire pour appliquer la loi. Les pouvoirs discrétionnaires doivent être bornés.</w:t>
      </w:r>
    </w:p>
    <w:p>
      <w:pPr>
        <w:pStyle w:val="ArticleTitle"/>
      </w:pPr>
      <w:r>
        <w:t>Article R-6 - Proportionnalité</w:t>
      </w:r>
    </w:p>
    <w:p>
      <w:r>
        <w:t>Les exigences réglementaires doivent être proportionnées au risque ou à l’objectif public poursuivi. Les charges inutiles doivent être évitées.</w:t>
      </w:r>
    </w:p>
    <w:p>
      <w:pPr>
        <w:pStyle w:val="ArticleTitle"/>
      </w:pPr>
      <w:r>
        <w:t>Article R-7 - Compatibilité avec les droits</w:t>
      </w:r>
    </w:p>
    <w:p>
      <w:r>
        <w:t>Aucun règlement ne peut porter atteinte aux droits fondamentaux, à la liberté de conscience, à la vie privée, au vote, au français ou aux garanties démocratiques sans base légale claire et contrôle approprié.</w:t>
      </w:r>
    </w:p>
    <w:p>
      <w:pPr>
        <w:pStyle w:val="ArticleTitle"/>
      </w:pPr>
      <w:r>
        <w:t>Article R-8 - Traçabilité</w:t>
      </w:r>
    </w:p>
    <w:p>
      <w:r>
        <w:t>Toute décision réglementaire importante doit pouvoir être retracée : autorité responsable, base légale, justification, impacts, date d’entrée en vigueur et mécanisme de révision.</w:t>
      </w:r>
    </w:p>
    <w:p>
      <w:pPr>
        <w:pStyle w:val="ArticleTitle"/>
      </w:pPr>
      <w:r>
        <w:t>Article R-9 - Version citoyenne</w:t>
      </w:r>
    </w:p>
    <w:p>
      <w:r>
        <w:t>Les règlements qui touchent directement les citoyens ou entreprises doivent être accompagnés d’une explication citoyenne lorsque leur complexité le justifie.</w:t>
      </w:r>
    </w:p>
    <w:p>
      <w:pPr>
        <w:pStyle w:val="ArticleTitle"/>
      </w:pPr>
      <w:r>
        <w:t>Article R-10 - Responsabilité</w:t>
      </w:r>
    </w:p>
    <w:p>
      <w:r>
        <w:t>L’autorité qui adopte, applique ou maintient un règlement doit rendre compte de ses effets, délais, coûts et résultats.</w:t>
      </w:r>
    </w:p>
    <w:p>
      <w:r/>
    </w:p>
    <w:p>
      <w:pPr>
        <w:pStyle w:val="Heading1"/>
      </w:pPr>
      <w:r>
        <w:t>PARTIE II - ADOPTION, PUBLICATION ET ENTRÉE EN VIGUEUR</w:t>
      </w:r>
    </w:p>
    <w:p>
      <w:pPr>
        <w:pStyle w:val="ArticleTitle"/>
      </w:pPr>
      <w:r>
        <w:t>Article R-11 - Base légale</w:t>
      </w:r>
    </w:p>
    <w:p>
      <w:r>
        <w:t>Aucun règlement ne peut être adopté sans base légale identifiable. Cette base doit être indiquée dans le dossier réglementaire.</w:t>
      </w:r>
    </w:p>
    <w:p>
      <w:pPr>
        <w:pStyle w:val="ArticleTitle"/>
      </w:pPr>
      <w:r>
        <w:t>Article R-12 - Dossier réglementaire</w:t>
      </w:r>
    </w:p>
    <w:p>
      <w:r>
        <w:t>Tout règlement important doit être accompagné d’un dossier indiquant l’objectif, les coûts, les impacts, les consultations, les alternatives examinées et les mesures de contrôle.</w:t>
      </w:r>
    </w:p>
    <w:p>
      <w:pPr>
        <w:pStyle w:val="ArticleTitle"/>
      </w:pPr>
      <w:r>
        <w:t>Article R-13 - Publication préalable</w:t>
      </w:r>
    </w:p>
    <w:p>
      <w:r>
        <w:t>Sauf urgence justifiée, un projet de règlement important doit être publié avant son adoption afin de permettre commentaires, corrections et examen public.</w:t>
      </w:r>
    </w:p>
    <w:p>
      <w:pPr>
        <w:pStyle w:val="ArticleTitle"/>
      </w:pPr>
      <w:r>
        <w:t>Article R-14 - Consultation ciblée</w:t>
      </w:r>
    </w:p>
    <w:p>
      <w:r>
        <w:t>Les personnes, régions, municipalités, entreprises, services publics ou groupes directement touchés doivent pouvoir transmettre leurs observations lorsque l’impact est significatif.</w:t>
      </w:r>
    </w:p>
    <w:p>
      <w:pPr>
        <w:pStyle w:val="ArticleTitle"/>
      </w:pPr>
      <w:r>
        <w:t>Article R-15 - Entrée en vigueur</w:t>
      </w:r>
    </w:p>
    <w:p>
      <w:r>
        <w:t>L’entrée en vigueur doit laisser un délai raisonnable d’adaptation, sauf urgence réelle, risque grave ou nécessité de protection immédiate.</w:t>
      </w:r>
    </w:p>
    <w:p>
      <w:pPr>
        <w:pStyle w:val="ArticleTitle"/>
      </w:pPr>
      <w:r>
        <w:t>Article R-16 - Urgence réglementaire</w:t>
      </w:r>
    </w:p>
    <w:p>
      <w:r>
        <w:t>Un règlement adopté en urgence doit contenir une justification publiée, une durée limitée et une obligation de révision rapide.</w:t>
      </w:r>
    </w:p>
    <w:p>
      <w:pPr>
        <w:pStyle w:val="ArticleTitle"/>
      </w:pPr>
      <w:r>
        <w:t>Article R-17 - Publication officielle</w:t>
      </w:r>
    </w:p>
    <w:p>
      <w:r>
        <w:t>Les règlements en vigueur doivent être publiés dans un registre officiel, accessible, à jour et consultable gratuitement.</w:t>
      </w:r>
    </w:p>
    <w:p>
      <w:pPr>
        <w:pStyle w:val="ArticleTitle"/>
      </w:pPr>
      <w:r>
        <w:t>Article R-18 - Historique des modifications</w:t>
      </w:r>
    </w:p>
    <w:p>
      <w:r>
        <w:t>Le registre réglementaire doit conserver l’historique des versions, modifications, abrogations et dates d’application.</w:t>
      </w:r>
    </w:p>
    <w:p>
      <w:pPr>
        <w:pStyle w:val="ArticleTitle"/>
      </w:pPr>
      <w:r>
        <w:t>Article R-19 - Avis aux citoyens</w:t>
      </w:r>
    </w:p>
    <w:p>
      <w:r>
        <w:t>Lorsqu’un règlement impose une nouvelle obligation importante, les citoyens ou entreprises concernés doivent être informés de manière claire.</w:t>
      </w:r>
    </w:p>
    <w:p>
      <w:pPr>
        <w:pStyle w:val="ArticleTitle"/>
      </w:pPr>
      <w:r>
        <w:t>Article R-20 - Entrée en vigueur conditionnelle</w:t>
      </w:r>
    </w:p>
    <w:p>
      <w:r>
        <w:t>Certains règlements peuvent prévoir une entrée en vigueur progressive lorsque l’administration, les citoyens ou les entreprises ont besoin d’une transition.</w:t>
      </w:r>
    </w:p>
    <w:p>
      <w:r/>
    </w:p>
    <w:p>
      <w:pPr>
        <w:pStyle w:val="Heading1"/>
      </w:pPr>
      <w:r>
        <w:t>PARTIE III - FORMULAIRES, DIRECTIVES ET PROCÉDURES ADMINISTRATIVES</w:t>
      </w:r>
    </w:p>
    <w:p>
      <w:pPr>
        <w:pStyle w:val="ArticleTitle"/>
      </w:pPr>
      <w:r>
        <w:t>Article R-21 - Formulaires publics</w:t>
      </w:r>
    </w:p>
    <w:p>
      <w:r>
        <w:t>Les formulaires doivent être simples, nécessaires et proportionnés. Aucune information ne doit être demandée sans utilité claire.</w:t>
      </w:r>
    </w:p>
    <w:p>
      <w:pPr>
        <w:pStyle w:val="ArticleTitle"/>
      </w:pPr>
      <w:r>
        <w:t>Article R-22 - Langage clair</w:t>
      </w:r>
    </w:p>
    <w:p>
      <w:r>
        <w:t>Les formulaires, guides et directives destinés au public doivent utiliser un langage clair et expliquer les conséquences d’une demande.</w:t>
      </w:r>
    </w:p>
    <w:p>
      <w:pPr>
        <w:pStyle w:val="ArticleTitle"/>
      </w:pPr>
      <w:r>
        <w:t>Article R-23 - Preuves exigées</w:t>
      </w:r>
    </w:p>
    <w:p>
      <w:r>
        <w:t>Les documents exigés doivent être limités à ce qui est nécessaire. L’administration ne doit pas multiplier les preuves lorsque l’information est déjà disponible dans l’État.</w:t>
      </w:r>
    </w:p>
    <w:p>
      <w:pPr>
        <w:pStyle w:val="ArticleTitle"/>
      </w:pPr>
      <w:r>
        <w:t>Article R-24 - Délais administratifs</w:t>
      </w:r>
    </w:p>
    <w:p>
      <w:r>
        <w:t>Les procédures doivent prévoir des délais de traitement raisonnables et mesurables. Les délais doivent être publiés dans les services importants.</w:t>
      </w:r>
    </w:p>
    <w:p>
      <w:pPr>
        <w:pStyle w:val="ArticleTitle"/>
      </w:pPr>
      <w:r>
        <w:t>Article R-25 - Recours et révision</w:t>
      </w:r>
    </w:p>
    <w:p>
      <w:r>
        <w:t>Toute procédure touchant un droit, un service essentiel, une sanction ou une prestation doit indiquer clairement les recours disponibles.</w:t>
      </w:r>
    </w:p>
    <w:p>
      <w:pPr>
        <w:pStyle w:val="ArticleTitle"/>
      </w:pPr>
      <w:r>
        <w:t>Article R-26 - Directives internes</w:t>
      </w:r>
    </w:p>
    <w:p>
      <w:r>
        <w:t>Les directives internes ne peuvent pas modifier les droits des citoyens en secret. Lorsqu’elles influencent les décisions publiques, elles doivent être accessibles, sauf exception justifiée.</w:t>
      </w:r>
    </w:p>
    <w:p>
      <w:pPr>
        <w:pStyle w:val="ArticleTitle"/>
      </w:pPr>
      <w:r>
        <w:t>Article R-27 - Guichet humain</w:t>
      </w:r>
    </w:p>
    <w:p>
      <w:r>
        <w:t>Les procédures numériques doivent prévoir un accès humain raisonnable pour les citoyens vulnérables, les cas complexes ou les décisions importantes.</w:t>
      </w:r>
    </w:p>
    <w:p>
      <w:pPr>
        <w:pStyle w:val="ArticleTitle"/>
      </w:pPr>
      <w:r>
        <w:t>Article R-28 - Preuve de réception</w:t>
      </w:r>
    </w:p>
    <w:p>
      <w:r>
        <w:t>L’administration doit fournir une preuve de dépôt, réception ou transmission pour les demandes importantes.</w:t>
      </w:r>
    </w:p>
    <w:p>
      <w:pPr>
        <w:pStyle w:val="ArticleTitle"/>
      </w:pPr>
      <w:r>
        <w:t>Article R-29 - Réduction des doublons</w:t>
      </w:r>
    </w:p>
    <w:p>
      <w:r>
        <w:t>Les procédures doivent être révisées pour réduire les demandes répétées, les formulaires redondants et les échanges inutiles entre bureaux.</w:t>
      </w:r>
    </w:p>
    <w:p>
      <w:pPr>
        <w:pStyle w:val="ArticleTitle"/>
      </w:pPr>
      <w:r>
        <w:t>Article R-30 - Responsable identifiable</w:t>
      </w:r>
    </w:p>
    <w:p>
      <w:r>
        <w:t>Chaque procédure importante doit indiquer l’autorité responsable du traitement et de la correction en cas de problème.</w:t>
      </w:r>
    </w:p>
    <w:p>
      <w:r/>
    </w:p>
    <w:p>
      <w:pPr>
        <w:pStyle w:val="Heading1"/>
      </w:pPr>
      <w:r>
        <w:t>PARTIE IV - CONTRÔLE RÉGLEMENTAIRE ET ANTI-CONTOURNEMENT</w:t>
      </w:r>
    </w:p>
    <w:p>
      <w:pPr>
        <w:pStyle w:val="ArticleTitle"/>
      </w:pPr>
      <w:r>
        <w:t>Article R-31 - Contrôle de conformité</w:t>
      </w:r>
    </w:p>
    <w:p>
      <w:r>
        <w:t>Tout règlement important doit être examiné selon sa conformité à la hiérarchie normative, aux droits, aux finances publiques, au français, au vote et à la transparence.</w:t>
      </w:r>
    </w:p>
    <w:p>
      <w:pPr>
        <w:pStyle w:val="ArticleTitle"/>
      </w:pPr>
      <w:r>
        <w:t>Article R-32 - Interdiction du contournement</w:t>
      </w:r>
    </w:p>
    <w:p>
      <w:r>
        <w:t>Aucun règlement, formulaire, directive, guide ou procédure ne peut servir à contourner une loi, une norme fondamentale ou une garantie constitutionnelle.</w:t>
      </w:r>
    </w:p>
    <w:p>
      <w:pPr>
        <w:pStyle w:val="ArticleTitle"/>
      </w:pPr>
      <w:r>
        <w:t>Article R-33 - Pouvoir réglementaire limité</w:t>
      </w:r>
    </w:p>
    <w:p>
      <w:r>
        <w:t>Un ministre, organisme ou fonctionnaire ne peut pas créer par règlement un pouvoir que la loi ne lui donne pas.</w:t>
      </w:r>
    </w:p>
    <w:p>
      <w:pPr>
        <w:pStyle w:val="ArticleTitle"/>
      </w:pPr>
      <w:r>
        <w:t>Article R-34 - Charge administrative excessive</w:t>
      </w:r>
    </w:p>
    <w:p>
      <w:r>
        <w:t>Un règlement imposant une charge excessive doit être corrigé, simplifié ou abrogé si l’objectif peut être atteint autrement.</w:t>
      </w:r>
    </w:p>
    <w:p>
      <w:pPr>
        <w:pStyle w:val="ArticleTitle"/>
      </w:pPr>
      <w:r>
        <w:t>Article R-35 - Examen des effets réels</w:t>
      </w:r>
    </w:p>
    <w:p>
      <w:r>
        <w:t>Les effets réels d’un règlement doivent être examinés : délais, coûts, refus, plaintes, impacts régionaux, impacts sur PME et services essentiels.</w:t>
      </w:r>
    </w:p>
    <w:p>
      <w:pPr>
        <w:pStyle w:val="ArticleTitle"/>
      </w:pPr>
      <w:r>
        <w:t>Article R-36 - Clause de révision</w:t>
      </w:r>
    </w:p>
    <w:p>
      <w:r>
        <w:t>Les règlements importants doivent inclure ou prévoir un mécanisme de révision périodique.</w:t>
      </w:r>
    </w:p>
    <w:p>
      <w:pPr>
        <w:pStyle w:val="ArticleTitle"/>
      </w:pPr>
      <w:r>
        <w:t>Article R-37 - Plainte réglementaire</w:t>
      </w:r>
    </w:p>
    <w:p>
      <w:r>
        <w:t>Les citoyens, entreprises, municipalités ou organismes doivent pouvoir signaler un règlement ou une procédure excessive, contradictoire ou abusive.</w:t>
      </w:r>
    </w:p>
    <w:p>
      <w:pPr>
        <w:pStyle w:val="ArticleTitle"/>
      </w:pPr>
      <w:r>
        <w:t>Article R-38 - Publication des corrections</w:t>
      </w:r>
    </w:p>
    <w:p>
      <w:r>
        <w:t>Les corrections réglementaires importantes doivent être publiées avec explication de la modification et de son motif.</w:t>
      </w:r>
    </w:p>
    <w:p>
      <w:pPr>
        <w:pStyle w:val="ArticleTitle"/>
      </w:pPr>
      <w:r>
        <w:t>Article R-39 - Contrôle des sanctions</w:t>
      </w:r>
    </w:p>
    <w:p>
      <w:r>
        <w:t>Les sanctions réglementaires doivent être proportionnées, graduées lorsque possible et accompagnées de recours.</w:t>
      </w:r>
    </w:p>
    <w:p>
      <w:pPr>
        <w:pStyle w:val="ArticleTitle"/>
      </w:pPr>
      <w:r>
        <w:t>Article R-40 - Protection du peuple</w:t>
      </w:r>
    </w:p>
    <w:p>
      <w:r>
        <w:t>En cas de doute sérieux, l’interprétation réglementaire doit privilégier la protection du citoyen contre l’arbitraire administratif.</w:t>
      </w:r>
    </w:p>
    <w:p>
      <w:r/>
    </w:p>
    <w:p>
      <w:pPr>
        <w:pStyle w:val="Heading1"/>
      </w:pPr>
      <w:r>
        <w:t>PARTIE V - SERVICES PUBLICS ET APPLICATION OPÉRATIONNELLE</w:t>
      </w:r>
    </w:p>
    <w:p>
      <w:pPr>
        <w:pStyle w:val="ArticleTitle"/>
      </w:pPr>
      <w:r>
        <w:t>Article R-41 - Règlements de service</w:t>
      </w:r>
    </w:p>
    <w:p>
      <w:r>
        <w:t>Les règlements de service public doivent préciser les conditions d’accès, délais, responsables, recours et exceptions applicables.</w:t>
      </w:r>
    </w:p>
    <w:p>
      <w:pPr>
        <w:pStyle w:val="ArticleTitle"/>
      </w:pPr>
      <w:r>
        <w:t>Article R-42 - Services essentiels</w:t>
      </w:r>
    </w:p>
    <w:p>
      <w:r>
        <w:t>Les règlements touchant les services essentiels doivent protéger la continuité, la sécurité, la capacité minimale, la cybersécurité et l’accès humain.</w:t>
      </w:r>
    </w:p>
    <w:p>
      <w:pPr>
        <w:pStyle w:val="ArticleTitle"/>
      </w:pPr>
      <w:r>
        <w:t>Article R-43 - Indicateurs de service</w:t>
      </w:r>
    </w:p>
    <w:p>
      <w:r>
        <w:t>Les règlements opérationnels doivent prévoir des indicateurs lorsque le service est critique : délais, ruptures, files d’attente, erreurs et plaintes.</w:t>
      </w:r>
    </w:p>
    <w:p>
      <w:pPr>
        <w:pStyle w:val="ArticleTitle"/>
      </w:pPr>
      <w:r>
        <w:t>Article R-44 - Priorité au service direct</w:t>
      </w:r>
    </w:p>
    <w:p>
      <w:r>
        <w:t>Les procédures internes ne doivent pas détourner excessivement les ressources du service direct aux citoyens.</w:t>
      </w:r>
    </w:p>
    <w:p>
      <w:pPr>
        <w:pStyle w:val="ArticleTitle"/>
      </w:pPr>
      <w:r>
        <w:t>Article R-45 - Accessibilité régionale</w:t>
      </w:r>
    </w:p>
    <w:p>
      <w:r>
        <w:t>Les règles d’application doivent tenir compte des distances, ressources et réalités régionales.</w:t>
      </w:r>
    </w:p>
    <w:p>
      <w:pPr>
        <w:pStyle w:val="ArticleTitle"/>
      </w:pPr>
      <w:r>
        <w:t>Article R-46 - Protection des personnes vulnérables</w:t>
      </w:r>
    </w:p>
    <w:p>
      <w:r>
        <w:t>Les règlements de service doivent prévoir des adaptations raisonnables pour les personnes vulnérables ou en difficulté d’accès.</w:t>
      </w:r>
    </w:p>
    <w:p>
      <w:pPr>
        <w:pStyle w:val="ArticleTitle"/>
      </w:pPr>
      <w:r>
        <w:t>Article R-47 - Continuité administrative</w:t>
      </w:r>
    </w:p>
    <w:p>
      <w:r>
        <w:t>Les services critiques doivent avoir des règles de relève en cas de panne numérique, crise, grève, sinistre ou rupture d’approvisionnement.</w:t>
      </w:r>
    </w:p>
    <w:p>
      <w:pPr>
        <w:pStyle w:val="ArticleTitle"/>
      </w:pPr>
      <w:r>
        <w:t>Article R-48 - Coordination ministérielle</w:t>
      </w:r>
    </w:p>
    <w:p>
      <w:r>
        <w:t>Lorsque plusieurs autorités participent à un service, les règlements doivent désigner les responsabilités afin d’éviter le renvoi entre bureaux.</w:t>
      </w:r>
    </w:p>
    <w:p>
      <w:pPr>
        <w:pStyle w:val="ArticleTitle"/>
      </w:pPr>
      <w:r>
        <w:t>Article R-49 - Information publique</w:t>
      </w:r>
    </w:p>
    <w:p>
      <w:r>
        <w:t>Les règles de service doivent être accessibles au public et mises à jour.</w:t>
      </w:r>
    </w:p>
    <w:p>
      <w:pPr>
        <w:pStyle w:val="ArticleTitle"/>
      </w:pPr>
      <w:r>
        <w:t>Article R-50 - Correction des blocages</w:t>
      </w:r>
    </w:p>
    <w:p>
      <w:r>
        <w:t>Les blocages récurrents détectés dans un service doivent déclencher une révision de la procédure.</w:t>
      </w:r>
    </w:p>
    <w:p>
      <w:r/>
    </w:p>
    <w:p>
      <w:pPr>
        <w:pStyle w:val="Heading1"/>
      </w:pPr>
      <w:r>
        <w:t>PARTIE VI - NUMÉRIQUE, DONNÉES ET AUTOMATISATION RÉGLEMENTAIRE</w:t>
      </w:r>
    </w:p>
    <w:p>
      <w:pPr>
        <w:pStyle w:val="ArticleTitle"/>
      </w:pPr>
      <w:r>
        <w:t>Article R-51 - Numérique au service du citoyen</w:t>
      </w:r>
    </w:p>
    <w:p>
      <w:r>
        <w:t>Les outils numériques doivent simplifier l’accès aux services sans exclure les citoyens qui ne peuvent pas les utiliser.</w:t>
      </w:r>
    </w:p>
    <w:p>
      <w:pPr>
        <w:pStyle w:val="ArticleTitle"/>
      </w:pPr>
      <w:r>
        <w:t>Article R-52 - Collecte minimale</w:t>
      </w:r>
    </w:p>
    <w:p>
      <w:r>
        <w:t>Les règlements numériques doivent limiter la collecte de données à ce qui est nécessaire, proportionné et autorisé.</w:t>
      </w:r>
    </w:p>
    <w:p>
      <w:pPr>
        <w:pStyle w:val="ArticleTitle"/>
      </w:pPr>
      <w:r>
        <w:t>Article R-53 - Journalisation des accès</w:t>
      </w:r>
    </w:p>
    <w:p>
      <w:r>
        <w:t>Les systèmes publics contenant des données sensibles doivent enregistrer les accès afin de détecter les abus.</w:t>
      </w:r>
    </w:p>
    <w:p>
      <w:pPr>
        <w:pStyle w:val="ArticleTitle"/>
      </w:pPr>
      <w:r>
        <w:t>Article R-54 - Décision automatisée</w:t>
      </w:r>
    </w:p>
    <w:p>
      <w:r>
        <w:t>Une décision automatisée ayant un effet important sur un citoyen doit être explicable, contestable et révisable par une personne humaine.</w:t>
      </w:r>
    </w:p>
    <w:p>
      <w:pPr>
        <w:pStyle w:val="ArticleTitle"/>
      </w:pPr>
      <w:r>
        <w:t>Article R-55 - Interdiction du score social</w:t>
      </w:r>
    </w:p>
    <w:p>
      <w:r>
        <w:t>Aucun règlement ne peut créer un système de classement social généralisé des citoyens.</w:t>
      </w:r>
    </w:p>
    <w:p>
      <w:pPr>
        <w:pStyle w:val="ArticleTitle"/>
      </w:pPr>
      <w:r>
        <w:t>Article R-56 - Identité numérique</w:t>
      </w:r>
    </w:p>
    <w:p>
      <w:r>
        <w:t>L’identité numérique doit être encadrée, limitée à des usages justifiés et accompagnée d’alternatives lorsque des droits ou services essentiels sont en jeu.</w:t>
      </w:r>
    </w:p>
    <w:p>
      <w:pPr>
        <w:pStyle w:val="ArticleTitle"/>
      </w:pPr>
      <w:r>
        <w:t>Article R-57 - Cybersécurité</w:t>
      </w:r>
    </w:p>
    <w:p>
      <w:r>
        <w:t>Les règlements touchant les systèmes critiques doivent inclure des exigences de cybersécurité, sauvegarde, continuité et notification des incidents.</w:t>
      </w:r>
    </w:p>
    <w:p>
      <w:pPr>
        <w:pStyle w:val="ArticleTitle"/>
      </w:pPr>
      <w:r>
        <w:t>Article R-58 - Interopérabilité</w:t>
      </w:r>
    </w:p>
    <w:p>
      <w:r>
        <w:t>Les systèmes numériques publics doivent favoriser l’interopérabilité, la portabilité et la réduction des dépendances excessives à un fournisseur.</w:t>
      </w:r>
    </w:p>
    <w:p>
      <w:pPr>
        <w:pStyle w:val="ArticleTitle"/>
      </w:pPr>
      <w:r>
        <w:t>Article R-59 - Audit algorithmique</w:t>
      </w:r>
    </w:p>
    <w:p>
      <w:r>
        <w:t>Les systèmes d’intelligence artificielle utilisés par l’État doivent pouvoir faire l’objet d’audits de biais, sécurité, performance et conformité.</w:t>
      </w:r>
    </w:p>
    <w:p>
      <w:pPr>
        <w:pStyle w:val="ArticleTitle"/>
      </w:pPr>
      <w:r>
        <w:t>Article R-60 - Accès aux données personnelles</w:t>
      </w:r>
    </w:p>
    <w:p>
      <w:r>
        <w:t>Le citoyen doit pouvoir connaître, corriger et contester l’usage de ses données selon les règles prévues.</w:t>
      </w:r>
    </w:p>
    <w:p>
      <w:r/>
    </w:p>
    <w:p>
      <w:pPr>
        <w:pStyle w:val="Heading1"/>
      </w:pPr>
      <w:r>
        <w:t>PARTIE VII - RÈGLEMENTS ÉCONOMIQUES, FISCAUX ET CONTRACTUELS</w:t>
      </w:r>
    </w:p>
    <w:p>
      <w:pPr>
        <w:pStyle w:val="ArticleTitle"/>
      </w:pPr>
      <w:r>
        <w:t>Article R-61 - Prévisibilité économique</w:t>
      </w:r>
    </w:p>
    <w:p>
      <w:r>
        <w:t>Les règlements économiques doivent être prévisibles, proportionnés et publiés avec un délai d’adaptation raisonnable.</w:t>
      </w:r>
    </w:p>
    <w:p>
      <w:pPr>
        <w:pStyle w:val="ArticleTitle"/>
      </w:pPr>
      <w:r>
        <w:t>Article R-62 - PME et paperasse</w:t>
      </w:r>
    </w:p>
    <w:p>
      <w:r>
        <w:t>Les impacts réglementaires sur les PME doivent être évalués afin d’éviter une charge qui favorise uniquement les grandes structures.</w:t>
      </w:r>
    </w:p>
    <w:p>
      <w:pPr>
        <w:pStyle w:val="ArticleTitle"/>
      </w:pPr>
      <w:r>
        <w:t>Article R-63 - Contrats publics</w:t>
      </w:r>
    </w:p>
    <w:p>
      <w:r>
        <w:t>Les règlements contractuels doivent protéger la concurrence, l’intégrité, la transparence, la traçabilité et l’accès équitable aux marchés publics.</w:t>
      </w:r>
    </w:p>
    <w:p>
      <w:pPr>
        <w:pStyle w:val="ArticleTitle"/>
      </w:pPr>
      <w:r>
        <w:t>Article R-64 - Dépenses et remboursements</w:t>
      </w:r>
    </w:p>
    <w:p>
      <w:r>
        <w:t>Les règles de dépenses publiques doivent interdire les dépenses de prestige injustifiées, les remboursements abusifs et les avantages opaques.</w:t>
      </w:r>
    </w:p>
    <w:p>
      <w:pPr>
        <w:pStyle w:val="ArticleTitle"/>
      </w:pPr>
      <w:r>
        <w:t>Article R-65 - Frais publics</w:t>
      </w:r>
    </w:p>
    <w:p>
      <w:r>
        <w:t>Tout frais, tarif ou contribution imposé par règlement doit être justifié, publié et compatible avec le principe de protection des contribuables.</w:t>
      </w:r>
    </w:p>
    <w:p>
      <w:pPr>
        <w:pStyle w:val="ArticleTitle"/>
      </w:pPr>
      <w:r>
        <w:t>Article R-66 - Effet sur le coût de la vie</w:t>
      </w:r>
    </w:p>
    <w:p>
      <w:r>
        <w:t>Les règlements ayant un effet sur les prix, loyers, services ou biens essentiels doivent être accompagnés d’une analyse d’impact.</w:t>
      </w:r>
    </w:p>
    <w:p>
      <w:pPr>
        <w:pStyle w:val="ArticleTitle"/>
      </w:pPr>
      <w:r>
        <w:t>Article R-67 - Refus des contre-tarifs automatiques</w:t>
      </w:r>
    </w:p>
    <w:p>
      <w:r>
        <w:t>Les mesures réglementaires commerciales ne doivent pas imposer des coûts aux citoyens sans analyse rigoureuse et justification publique.</w:t>
      </w:r>
    </w:p>
    <w:p>
      <w:pPr>
        <w:pStyle w:val="ArticleTitle"/>
      </w:pPr>
      <w:r>
        <w:t>Article R-68 - Subventions</w:t>
      </w:r>
    </w:p>
    <w:p>
      <w:r>
        <w:t>Les règlements liés aux subventions doivent prévoir critères, publication, suivi, résultats et mécanisme de récupération en cas d’abus.</w:t>
      </w:r>
    </w:p>
    <w:p>
      <w:pPr>
        <w:pStyle w:val="ArticleTitle"/>
      </w:pPr>
      <w:r>
        <w:t>Article R-69 - Concurrence loyale</w:t>
      </w:r>
    </w:p>
    <w:p>
      <w:r>
        <w:t>Les règlements ne doivent pas créer des privilèges économiques injustifiés ou des barrières d’entrée inutiles.</w:t>
      </w:r>
    </w:p>
    <w:p>
      <w:pPr>
        <w:pStyle w:val="ArticleTitle"/>
      </w:pPr>
      <w:r>
        <w:t>Article R-70 - Révision des normes économiques</w:t>
      </w:r>
    </w:p>
    <w:p>
      <w:r>
        <w:t>Les normes économiques doivent être révisées périodiquement pour réduire les obstacles inutiles à la production et à l’innovation.</w:t>
      </w:r>
    </w:p>
    <w:p>
      <w:r/>
    </w:p>
    <w:p>
      <w:pPr>
        <w:pStyle w:val="Heading1"/>
      </w:pPr>
      <w:r>
        <w:t>PARTIE VIII - RÉGIONS, MUNICIPALITÉS ET ADAPTATION TERRITORIALE</w:t>
      </w:r>
    </w:p>
    <w:p>
      <w:pPr>
        <w:pStyle w:val="ArticleTitle"/>
      </w:pPr>
      <w:r>
        <w:t>Article R-71 - Adaptation régionale</w:t>
      </w:r>
    </w:p>
    <w:p>
      <w:r>
        <w:t>Les règlements doivent tenir compte des réalités territoriales, distances, ressources, infrastructures et capacités administratives locales.</w:t>
      </w:r>
    </w:p>
    <w:p>
      <w:pPr>
        <w:pStyle w:val="ArticleTitle"/>
      </w:pPr>
      <w:r>
        <w:t>Article R-72 - Municipalités</w:t>
      </w:r>
    </w:p>
    <w:p>
      <w:r>
        <w:t>Les règlements touchant les municipalités doivent préciser les obligations, coûts, délais et marges d’adaptation locale.</w:t>
      </w:r>
    </w:p>
    <w:p>
      <w:pPr>
        <w:pStyle w:val="ArticleTitle"/>
      </w:pPr>
      <w:r>
        <w:t>Article R-73 - Logement et permis</w:t>
      </w:r>
    </w:p>
    <w:p>
      <w:r>
        <w:t>Les règlements liés au logement doivent viser la clarté, la réduction des délais inutiles, la protection contre les abus et l’augmentation de l’offre.</w:t>
      </w:r>
    </w:p>
    <w:p>
      <w:pPr>
        <w:pStyle w:val="ArticleTitle"/>
      </w:pPr>
      <w:r>
        <w:t>Article R-74 - Infrastructures</w:t>
      </w:r>
    </w:p>
    <w:p>
      <w:r>
        <w:t>Les règles d’application des projets d’infrastructure doivent favoriser la maintenance, la transparence des coûts et la prévention des dépassements.</w:t>
      </w:r>
    </w:p>
    <w:p>
      <w:pPr>
        <w:pStyle w:val="ArticleTitle"/>
      </w:pPr>
      <w:r>
        <w:t>Article R-75 - Territoire agricole</w:t>
      </w:r>
    </w:p>
    <w:p>
      <w:r>
        <w:t>Les règlements doivent protéger les terres agricoles, la sécurité alimentaire et l’aménagement responsable du territoire.</w:t>
      </w:r>
    </w:p>
    <w:p>
      <w:pPr>
        <w:pStyle w:val="ArticleTitle"/>
      </w:pPr>
      <w:r>
        <w:t>Article R-76 - Ressources naturelles</w:t>
      </w:r>
    </w:p>
    <w:p>
      <w:r>
        <w:t>Les règlements liés aux ressources doivent assurer transformation locale, responsabilité environnementale, retombées régionales et transparence.</w:t>
      </w:r>
    </w:p>
    <w:p>
      <w:pPr>
        <w:pStyle w:val="ArticleTitle"/>
      </w:pPr>
      <w:r>
        <w:t>Article R-77 - Transport régional</w:t>
      </w:r>
    </w:p>
    <w:p>
      <w:r>
        <w:t>Les règles de transport doivent tenir compte de la dépendance réelle des régions aux routes, ports, aviation régionale, rail et transport collectif adapté.</w:t>
      </w:r>
    </w:p>
    <w:p>
      <w:pPr>
        <w:pStyle w:val="ArticleTitle"/>
      </w:pPr>
      <w:r>
        <w:t>Article R-78 - Langue française</w:t>
      </w:r>
    </w:p>
    <w:p>
      <w:r>
        <w:t>Les règlements territoriaux et municipaux doivent respecter le français comme langue commune de l’administration publique.</w:t>
      </w:r>
    </w:p>
    <w:p>
      <w:pPr>
        <w:pStyle w:val="ArticleTitle"/>
      </w:pPr>
      <w:r>
        <w:t>Article R-79 - Consultation locale</w:t>
      </w:r>
    </w:p>
    <w:p>
      <w:r>
        <w:t>Les règlements ayant un impact territorial significatif doivent prévoir une consultation locale proportionnée.</w:t>
      </w:r>
    </w:p>
    <w:p>
      <w:pPr>
        <w:pStyle w:val="ArticleTitle"/>
      </w:pPr>
      <w:r>
        <w:t>Article R-80 - Équité territoriale</w:t>
      </w:r>
    </w:p>
    <w:p>
      <w:r>
        <w:t>L’application réglementaire ne doit pas favoriser systématiquement les grands centres au détriment des régions.</w:t>
      </w:r>
    </w:p>
    <w:p>
      <w:r/>
    </w:p>
    <w:p>
      <w:pPr>
        <w:pStyle w:val="Heading1"/>
      </w:pPr>
      <w:r>
        <w:t>PARTIE IX - RÉVISION, ABROGATION ET SIMPLIFICATION RÉGLEMENTAIRE</w:t>
      </w:r>
    </w:p>
    <w:p>
      <w:pPr>
        <w:pStyle w:val="ArticleTitle"/>
      </w:pPr>
      <w:r>
        <w:t>Article R-81 - Inventaire réglementaire</w:t>
      </w:r>
    </w:p>
    <w:p>
      <w:r>
        <w:t>L’État doit maintenir un inventaire des règlements, directives et procédures applicables.</w:t>
      </w:r>
    </w:p>
    <w:p>
      <w:pPr>
        <w:pStyle w:val="ArticleTitle"/>
      </w:pPr>
      <w:r>
        <w:t>Article R-82 - Révision périodique</w:t>
      </w:r>
    </w:p>
    <w:p>
      <w:r>
        <w:t>Les règlements doivent être révisés périodiquement afin d’identifier les normes inutiles, contradictoires, dépassées ou coûteuses.</w:t>
      </w:r>
    </w:p>
    <w:p>
      <w:pPr>
        <w:pStyle w:val="ArticleTitle"/>
      </w:pPr>
      <w:r>
        <w:t>Article R-83 - Abrogation</w:t>
      </w:r>
    </w:p>
    <w:p>
      <w:r>
        <w:t>Un règlement inutile, obsolète ou contraire à une norme supérieure doit être abrogé ou remplacé.</w:t>
      </w:r>
    </w:p>
    <w:p>
      <w:pPr>
        <w:pStyle w:val="ArticleTitle"/>
      </w:pPr>
      <w:r>
        <w:t>Article R-84 - Simplification</w:t>
      </w:r>
    </w:p>
    <w:p>
      <w:r>
        <w:t>La simplification réglementaire doit viser la réduction réelle des délais, formulaires, preuves, doublons et obligations inutiles.</w:t>
      </w:r>
    </w:p>
    <w:p>
      <w:pPr>
        <w:pStyle w:val="ArticleTitle"/>
      </w:pPr>
      <w:r>
        <w:t>Article R-85 - Test citoyen</w:t>
      </w:r>
    </w:p>
    <w:p>
      <w:r>
        <w:t>Un règlement ou formulaire important doit être testé du point de vue d’un citoyen ou d’une PME afin d’identifier les obstacles pratiques.</w:t>
      </w:r>
    </w:p>
    <w:p>
      <w:pPr>
        <w:pStyle w:val="ArticleTitle"/>
      </w:pPr>
      <w:r>
        <w:t>Article R-86 - Clause de caducité</w:t>
      </w:r>
    </w:p>
    <w:p>
      <w:r>
        <w:t>Certains règlements temporaires ou expérimentaux doivent comporter une date de fin ou une obligation de renouvellement motivé.</w:t>
      </w:r>
    </w:p>
    <w:p>
      <w:pPr>
        <w:pStyle w:val="ArticleTitle"/>
      </w:pPr>
      <w:r>
        <w:t>Article R-87 - Projets pilotes</w:t>
      </w:r>
    </w:p>
    <w:p>
      <w:r>
        <w:t>Les projets pilotes réglementaires doivent être limités, évalués et corrigés avant généralisation.</w:t>
      </w:r>
    </w:p>
    <w:p>
      <w:pPr>
        <w:pStyle w:val="ArticleTitle"/>
      </w:pPr>
      <w:r>
        <w:t>Article R-88 - Rapport de simplification</w:t>
      </w:r>
    </w:p>
    <w:p>
      <w:r>
        <w:t>Un rapport de simplification réglementaire doit être publié périodiquement.</w:t>
      </w:r>
    </w:p>
    <w:p>
      <w:pPr>
        <w:pStyle w:val="ArticleTitle"/>
      </w:pPr>
      <w:r>
        <w:t>Article R-89 - Protection contre la recréation</w:t>
      </w:r>
    </w:p>
    <w:p>
      <w:r>
        <w:t>Une obligation abrogée ne doit pas être recréée par directive interne sans base légale et justification.</w:t>
      </w:r>
    </w:p>
    <w:p>
      <w:pPr>
        <w:pStyle w:val="ArticleTitle"/>
      </w:pPr>
      <w:r>
        <w:t>Article R-90 - Culture administrative</w:t>
      </w:r>
    </w:p>
    <w:p>
      <w:r>
        <w:t>La simplification doit devenir une obligation permanente de l’administration, non une opération temporaire de communication.</w:t>
      </w:r>
    </w:p>
    <w:p>
      <w:r/>
    </w:p>
    <w:p>
      <w:pPr>
        <w:pStyle w:val="Heading1"/>
      </w:pPr>
      <w:r>
        <w:t>PARTIE X - CONCORDANCE, RESPONSABILITÉ ET CLAUSE FINALE</w:t>
      </w:r>
    </w:p>
    <w:p>
      <w:pPr>
        <w:pStyle w:val="ArticleTitle"/>
      </w:pPr>
      <w:r>
        <w:t>Article R-91 - Table de concordance</w:t>
      </w:r>
    </w:p>
    <w:p>
      <w:r>
        <w:t>Les règlements importants doivent être rattachés à leur base légale dans une table de concordance.</w:t>
      </w:r>
    </w:p>
    <w:p>
      <w:pPr>
        <w:pStyle w:val="ArticleTitle"/>
      </w:pPr>
      <w:r>
        <w:t>Article R-92 - Responsabilité de l’autorité réglementaire</w:t>
      </w:r>
    </w:p>
    <w:p>
      <w:r>
        <w:t>L’autorité qui adopte un règlement doit assumer les effets prévisibles et corriger les erreurs constatées.</w:t>
      </w:r>
    </w:p>
    <w:p>
      <w:pPr>
        <w:pStyle w:val="ArticleTitle"/>
      </w:pPr>
      <w:r>
        <w:t>Article R-93 - Traçabilité des décisions</w:t>
      </w:r>
    </w:p>
    <w:p>
      <w:r>
        <w:t>Les décisions réglementaires importantes doivent être conservées dans un dossier accessible aux autorités de contrôle.</w:t>
      </w:r>
    </w:p>
    <w:p>
      <w:pPr>
        <w:pStyle w:val="ArticleTitle"/>
      </w:pPr>
      <w:r>
        <w:t>Article R-94 - Contrôle parlementaire</w:t>
      </w:r>
    </w:p>
    <w:p>
      <w:r>
        <w:t>Les règlements à fort impact doivent pouvoir être examinés par une instance parlementaire ou indépendante selon leur portée.</w:t>
      </w:r>
    </w:p>
    <w:p>
      <w:pPr>
        <w:pStyle w:val="ArticleTitle"/>
      </w:pPr>
      <w:r>
        <w:t>Article R-95 - Contrôle citoyen</w:t>
      </w:r>
    </w:p>
    <w:p>
      <w:r>
        <w:t>Les citoyens doivent pouvoir signaler une application réglementaire abusive, excessive, opaque ou contraire à la loi.</w:t>
      </w:r>
    </w:p>
    <w:p>
      <w:pPr>
        <w:pStyle w:val="ArticleTitle"/>
      </w:pPr>
      <w:r>
        <w:t>Article R-96 - Compatibilité avec la souveraineté populaire</w:t>
      </w:r>
    </w:p>
    <w:p>
      <w:r>
        <w:t>Aucun règlement ne peut diminuer l’indépendance du vote, le contrôle citoyen, les référendums ou les mécanismes démocratiques prévus.</w:t>
      </w:r>
    </w:p>
    <w:p>
      <w:pPr>
        <w:pStyle w:val="ArticleTitle"/>
      </w:pPr>
      <w:r>
        <w:t>Article R-97 - Compatibilité financière</w:t>
      </w:r>
    </w:p>
    <w:p>
      <w:r>
        <w:t>Les règlements créant des coûts publics importants doivent être accompagnés d’une justification financière.</w:t>
      </w:r>
    </w:p>
    <w:p>
      <w:pPr>
        <w:pStyle w:val="ArticleTitle"/>
      </w:pPr>
      <w:r>
        <w:t>Article R-98 - Compatibilité linguistique</w:t>
      </w:r>
    </w:p>
    <w:p>
      <w:r>
        <w:t>Les règlements doivent respecter le français comme langue commune, administrative et civique du Québec.</w:t>
      </w:r>
    </w:p>
    <w:p>
      <w:pPr>
        <w:pStyle w:val="ArticleTitle"/>
      </w:pPr>
      <w:r>
        <w:t>Article R-99 - Protection contre l’État administratif autonome</w:t>
      </w:r>
    </w:p>
    <w:p>
      <w:r>
        <w:t>Le pouvoir réglementaire ne doit pas créer un État administratif autonome échappant au peuple, au gouvernement responsable, au Parlement ou aux mécanismes de contrôle.</w:t>
      </w:r>
    </w:p>
    <w:p>
      <w:pPr>
        <w:pStyle w:val="ArticleTitle"/>
      </w:pPr>
      <w:r>
        <w:t>Article R-100 - Clause finale</w:t>
      </w:r>
    </w:p>
    <w:p>
      <w:r>
        <w:t>Le présent document constitue le cadre réglementaire consolidé du Système Nova. Il doit être appliqué comme instrument de clarté, de contrôle, de simplification, de transparence et de protection contre le contournement normatif.</w:t>
      </w:r>
    </w:p>
    <w:p>
      <w:r/>
    </w:p>
    <w:p>
      <w:pPr>
        <w:pStyle w:val="Heading1"/>
      </w:pPr>
      <w:r>
        <w:t>TABLE DE CONCORDANCE RÉGLEMENTAIRE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
              <w:rPr>
                <w:rFonts w:ascii="Arial" w:hAnsi="Arial" w:eastAsia="Arial"/>
                <w:b/>
                <w:color w:val="FFFFFF"/>
                <w:sz w:val="16"/>
              </w:rPr>
              <w:t>Bloc</w:t>
            </w:r>
          </w:p>
        </w:tc>
        <w:tc>
          <w:tcPr>
            <w:tcW w:type="dxa" w:w="2498"/>
            <w:vAlign w:val="center"/>
            <w:shd w:fill="1F4E79"/>
          </w:tcPr>
          <w:p>
            <w:r/>
            <w:r>
              <w:rPr>
                <w:rFonts w:ascii="Arial" w:hAnsi="Arial" w:eastAsia="Arial"/>
                <w:b/>
                <w:color w:val="FFFFFF"/>
                <w:sz w:val="16"/>
              </w:rPr>
              <w:t>Articles</w:t>
            </w:r>
          </w:p>
        </w:tc>
        <w:tc>
          <w:tcPr>
            <w:tcW w:type="dxa" w:w="2498"/>
            <w:vAlign w:val="center"/>
            <w:shd w:fill="1F4E79"/>
          </w:tcPr>
          <w:p>
            <w:r/>
            <w:r>
              <w:rPr>
                <w:rFonts w:ascii="Arial" w:hAnsi="Arial" w:eastAsia="Arial"/>
                <w:b/>
                <w:color w:val="FFFFFF"/>
                <w:sz w:val="16"/>
              </w:rPr>
              <w:t>Fonction</w:t>
            </w:r>
          </w:p>
        </w:tc>
        <w:tc>
          <w:tcPr>
            <w:tcW w:type="dxa" w:w="2498"/>
            <w:vAlign w:val="center"/>
            <w:shd w:fill="1F4E79"/>
          </w:tcPr>
          <w:p>
            <w:r/>
            <w:r>
              <w:rPr>
                <w:rFonts w:ascii="Arial" w:hAnsi="Arial" w:eastAsia="Arial"/>
                <w:b/>
                <w:color w:val="FFFFFF"/>
                <w:sz w:val="16"/>
              </w:rPr>
              <w:t>Contrôle principal</w:t>
            </w:r>
          </w:p>
        </w:tc>
      </w:tr>
      <w:tr>
        <w:tc>
          <w:tcPr>
            <w:tcW w:type="dxa" w:w="2498"/>
            <w:vAlign w:val="center"/>
          </w:tcPr>
          <w:p>
            <w:r/>
            <w:r>
              <w:rPr>
                <w:rFonts w:ascii="Arial" w:hAnsi="Arial" w:eastAsia="Arial"/>
                <w:b w:val="0"/>
                <w:color w:val="000000"/>
                <w:sz w:val="16"/>
              </w:rPr>
              <w:t>Hiérarchie</w:t>
            </w:r>
          </w:p>
        </w:tc>
        <w:tc>
          <w:tcPr>
            <w:tcW w:type="dxa" w:w="2498"/>
            <w:vAlign w:val="center"/>
          </w:tcPr>
          <w:p>
            <w:r/>
            <w:r>
              <w:rPr>
                <w:rFonts w:ascii="Arial" w:hAnsi="Arial" w:eastAsia="Arial"/>
                <w:b w:val="0"/>
                <w:color w:val="000000"/>
                <w:sz w:val="16"/>
              </w:rPr>
              <w:t>R-1 à R-10</w:t>
            </w:r>
          </w:p>
        </w:tc>
        <w:tc>
          <w:tcPr>
            <w:tcW w:type="dxa" w:w="2498"/>
            <w:vAlign w:val="center"/>
          </w:tcPr>
          <w:p>
            <w:r/>
            <w:r>
              <w:rPr>
                <w:rFonts w:ascii="Arial" w:hAnsi="Arial" w:eastAsia="Arial"/>
                <w:b w:val="0"/>
                <w:color w:val="000000"/>
                <w:sz w:val="16"/>
              </w:rPr>
              <w:t>Définir la fonction des règlements</w:t>
            </w:r>
          </w:p>
        </w:tc>
        <w:tc>
          <w:tcPr>
            <w:tcW w:type="dxa" w:w="2498"/>
            <w:vAlign w:val="center"/>
          </w:tcPr>
          <w:p>
            <w:r/>
            <w:r>
              <w:rPr>
                <w:rFonts w:ascii="Arial" w:hAnsi="Arial" w:eastAsia="Arial"/>
                <w:b w:val="0"/>
                <w:color w:val="000000"/>
                <w:sz w:val="16"/>
              </w:rPr>
              <w:t>Constitution et lois supérieures</w:t>
            </w:r>
          </w:p>
        </w:tc>
      </w:tr>
      <w:tr>
        <w:tc>
          <w:tcPr>
            <w:tcW w:type="dxa" w:w="2498"/>
            <w:vAlign w:val="center"/>
          </w:tcPr>
          <w:p>
            <w:r/>
            <w:r>
              <w:rPr>
                <w:rFonts w:ascii="Arial" w:hAnsi="Arial" w:eastAsia="Arial"/>
                <w:b w:val="0"/>
                <w:color w:val="000000"/>
                <w:sz w:val="16"/>
              </w:rPr>
              <w:t>Adoption</w:t>
            </w:r>
          </w:p>
        </w:tc>
        <w:tc>
          <w:tcPr>
            <w:tcW w:type="dxa" w:w="2498"/>
            <w:vAlign w:val="center"/>
          </w:tcPr>
          <w:p>
            <w:r/>
            <w:r>
              <w:rPr>
                <w:rFonts w:ascii="Arial" w:hAnsi="Arial" w:eastAsia="Arial"/>
                <w:b w:val="0"/>
                <w:color w:val="000000"/>
                <w:sz w:val="16"/>
              </w:rPr>
              <w:t>R-11 à R-20</w:t>
            </w:r>
          </w:p>
        </w:tc>
        <w:tc>
          <w:tcPr>
            <w:tcW w:type="dxa" w:w="2498"/>
            <w:vAlign w:val="center"/>
          </w:tcPr>
          <w:p>
            <w:r/>
            <w:r>
              <w:rPr>
                <w:rFonts w:ascii="Arial" w:hAnsi="Arial" w:eastAsia="Arial"/>
                <w:b w:val="0"/>
                <w:color w:val="000000"/>
                <w:sz w:val="16"/>
              </w:rPr>
              <w:t>Encadrer publication et entrée en vigueur</w:t>
            </w:r>
          </w:p>
        </w:tc>
        <w:tc>
          <w:tcPr>
            <w:tcW w:type="dxa" w:w="2498"/>
            <w:vAlign w:val="center"/>
          </w:tcPr>
          <w:p>
            <w:r/>
            <w:r>
              <w:rPr>
                <w:rFonts w:ascii="Arial" w:hAnsi="Arial" w:eastAsia="Arial"/>
                <w:b w:val="0"/>
                <w:color w:val="000000"/>
                <w:sz w:val="16"/>
              </w:rPr>
              <w:t>Dossier réglementaire</w:t>
            </w:r>
          </w:p>
        </w:tc>
      </w:tr>
      <w:tr>
        <w:tc>
          <w:tcPr>
            <w:tcW w:type="dxa" w:w="2498"/>
            <w:vAlign w:val="center"/>
          </w:tcPr>
          <w:p>
            <w:r/>
            <w:r>
              <w:rPr>
                <w:rFonts w:ascii="Arial" w:hAnsi="Arial" w:eastAsia="Arial"/>
                <w:b w:val="0"/>
                <w:color w:val="000000"/>
                <w:sz w:val="16"/>
              </w:rPr>
              <w:t>Procédures</w:t>
            </w:r>
          </w:p>
        </w:tc>
        <w:tc>
          <w:tcPr>
            <w:tcW w:type="dxa" w:w="2498"/>
            <w:vAlign w:val="center"/>
          </w:tcPr>
          <w:p>
            <w:r/>
            <w:r>
              <w:rPr>
                <w:rFonts w:ascii="Arial" w:hAnsi="Arial" w:eastAsia="Arial"/>
                <w:b w:val="0"/>
                <w:color w:val="000000"/>
                <w:sz w:val="16"/>
              </w:rPr>
              <w:t>R-21 à R-30</w:t>
            </w:r>
          </w:p>
        </w:tc>
        <w:tc>
          <w:tcPr>
            <w:tcW w:type="dxa" w:w="2498"/>
            <w:vAlign w:val="center"/>
          </w:tcPr>
          <w:p>
            <w:r/>
            <w:r>
              <w:rPr>
                <w:rFonts w:ascii="Arial" w:hAnsi="Arial" w:eastAsia="Arial"/>
                <w:b w:val="0"/>
                <w:color w:val="000000"/>
                <w:sz w:val="16"/>
              </w:rPr>
              <w:t>Limiter formulaires et directives</w:t>
            </w:r>
          </w:p>
        </w:tc>
        <w:tc>
          <w:tcPr>
            <w:tcW w:type="dxa" w:w="2498"/>
            <w:vAlign w:val="center"/>
          </w:tcPr>
          <w:p>
            <w:r/>
            <w:r>
              <w:rPr>
                <w:rFonts w:ascii="Arial" w:hAnsi="Arial" w:eastAsia="Arial"/>
                <w:b w:val="0"/>
                <w:color w:val="000000"/>
                <w:sz w:val="16"/>
              </w:rPr>
              <w:t>Langage clair et recours</w:t>
            </w:r>
          </w:p>
        </w:tc>
      </w:tr>
      <w:tr>
        <w:tc>
          <w:tcPr>
            <w:tcW w:type="dxa" w:w="2498"/>
            <w:vAlign w:val="center"/>
          </w:tcPr>
          <w:p>
            <w:r/>
            <w:r>
              <w:rPr>
                <w:rFonts w:ascii="Arial" w:hAnsi="Arial" w:eastAsia="Arial"/>
                <w:b w:val="0"/>
                <w:color w:val="000000"/>
                <w:sz w:val="16"/>
              </w:rPr>
              <w:t>Anti-contournement</w:t>
            </w:r>
          </w:p>
        </w:tc>
        <w:tc>
          <w:tcPr>
            <w:tcW w:type="dxa" w:w="2498"/>
            <w:vAlign w:val="center"/>
          </w:tcPr>
          <w:p>
            <w:r/>
            <w:r>
              <w:rPr>
                <w:rFonts w:ascii="Arial" w:hAnsi="Arial" w:eastAsia="Arial"/>
                <w:b w:val="0"/>
                <w:color w:val="000000"/>
                <w:sz w:val="16"/>
              </w:rPr>
              <w:t>R-31 à R-40</w:t>
            </w:r>
          </w:p>
        </w:tc>
        <w:tc>
          <w:tcPr>
            <w:tcW w:type="dxa" w:w="2498"/>
            <w:vAlign w:val="center"/>
          </w:tcPr>
          <w:p>
            <w:r/>
            <w:r>
              <w:rPr>
                <w:rFonts w:ascii="Arial" w:hAnsi="Arial" w:eastAsia="Arial"/>
                <w:b w:val="0"/>
                <w:color w:val="000000"/>
                <w:sz w:val="16"/>
              </w:rPr>
              <w:t>Empêcher les abus réglementaires</w:t>
            </w:r>
          </w:p>
        </w:tc>
        <w:tc>
          <w:tcPr>
            <w:tcW w:type="dxa" w:w="2498"/>
            <w:vAlign w:val="center"/>
          </w:tcPr>
          <w:p>
            <w:r/>
            <w:r>
              <w:rPr>
                <w:rFonts w:ascii="Arial" w:hAnsi="Arial" w:eastAsia="Arial"/>
                <w:b w:val="0"/>
                <w:color w:val="000000"/>
                <w:sz w:val="16"/>
              </w:rPr>
              <w:t>Contrôle de conformité</w:t>
            </w:r>
          </w:p>
        </w:tc>
      </w:tr>
      <w:tr>
        <w:tc>
          <w:tcPr>
            <w:tcW w:type="dxa" w:w="2498"/>
            <w:vAlign w:val="center"/>
          </w:tcPr>
          <w:p>
            <w:r/>
            <w:r>
              <w:rPr>
                <w:rFonts w:ascii="Arial" w:hAnsi="Arial" w:eastAsia="Arial"/>
                <w:b w:val="0"/>
                <w:color w:val="000000"/>
                <w:sz w:val="16"/>
              </w:rPr>
              <w:t>Services publics</w:t>
            </w:r>
          </w:p>
        </w:tc>
        <w:tc>
          <w:tcPr>
            <w:tcW w:type="dxa" w:w="2498"/>
            <w:vAlign w:val="center"/>
          </w:tcPr>
          <w:p>
            <w:r/>
            <w:r>
              <w:rPr>
                <w:rFonts w:ascii="Arial" w:hAnsi="Arial" w:eastAsia="Arial"/>
                <w:b w:val="0"/>
                <w:color w:val="000000"/>
                <w:sz w:val="16"/>
              </w:rPr>
              <w:t>R-41 à R-50</w:t>
            </w:r>
          </w:p>
        </w:tc>
        <w:tc>
          <w:tcPr>
            <w:tcW w:type="dxa" w:w="2498"/>
            <w:vAlign w:val="center"/>
          </w:tcPr>
          <w:p>
            <w:r/>
            <w:r>
              <w:rPr>
                <w:rFonts w:ascii="Arial" w:hAnsi="Arial" w:eastAsia="Arial"/>
                <w:b w:val="0"/>
                <w:color w:val="000000"/>
                <w:sz w:val="16"/>
              </w:rPr>
              <w:t>Organiser l’application des services</w:t>
            </w:r>
          </w:p>
        </w:tc>
        <w:tc>
          <w:tcPr>
            <w:tcW w:type="dxa" w:w="2498"/>
            <w:vAlign w:val="center"/>
          </w:tcPr>
          <w:p>
            <w:r/>
            <w:r>
              <w:rPr>
                <w:rFonts w:ascii="Arial" w:hAnsi="Arial" w:eastAsia="Arial"/>
                <w:b w:val="0"/>
                <w:color w:val="000000"/>
                <w:sz w:val="16"/>
              </w:rPr>
              <w:t>Indicateurs et continuité</w:t>
            </w:r>
          </w:p>
        </w:tc>
      </w:tr>
      <w:tr>
        <w:tc>
          <w:tcPr>
            <w:tcW w:type="dxa" w:w="2498"/>
            <w:vAlign w:val="center"/>
          </w:tcPr>
          <w:p>
            <w:r/>
            <w:r>
              <w:rPr>
                <w:rFonts w:ascii="Arial" w:hAnsi="Arial" w:eastAsia="Arial"/>
                <w:b w:val="0"/>
                <w:color w:val="000000"/>
                <w:sz w:val="16"/>
              </w:rPr>
              <w:t>Numérique</w:t>
            </w:r>
          </w:p>
        </w:tc>
        <w:tc>
          <w:tcPr>
            <w:tcW w:type="dxa" w:w="2498"/>
            <w:vAlign w:val="center"/>
          </w:tcPr>
          <w:p>
            <w:r/>
            <w:r>
              <w:rPr>
                <w:rFonts w:ascii="Arial" w:hAnsi="Arial" w:eastAsia="Arial"/>
                <w:b w:val="0"/>
                <w:color w:val="000000"/>
                <w:sz w:val="16"/>
              </w:rPr>
              <w:t>R-51 à R-60</w:t>
            </w:r>
          </w:p>
        </w:tc>
        <w:tc>
          <w:tcPr>
            <w:tcW w:type="dxa" w:w="2498"/>
            <w:vAlign w:val="center"/>
          </w:tcPr>
          <w:p>
            <w:r/>
            <w:r>
              <w:rPr>
                <w:rFonts w:ascii="Arial" w:hAnsi="Arial" w:eastAsia="Arial"/>
                <w:b w:val="0"/>
                <w:color w:val="000000"/>
                <w:sz w:val="16"/>
              </w:rPr>
              <w:t>Protéger données et décisions automatisées</w:t>
            </w:r>
          </w:p>
        </w:tc>
        <w:tc>
          <w:tcPr>
            <w:tcW w:type="dxa" w:w="2498"/>
            <w:vAlign w:val="center"/>
          </w:tcPr>
          <w:p>
            <w:r/>
            <w:r>
              <w:rPr>
                <w:rFonts w:ascii="Arial" w:hAnsi="Arial" w:eastAsia="Arial"/>
                <w:b w:val="0"/>
                <w:color w:val="000000"/>
                <w:sz w:val="16"/>
              </w:rPr>
              <w:t>Audit et accès humain</w:t>
            </w:r>
          </w:p>
        </w:tc>
      </w:tr>
      <w:tr>
        <w:tc>
          <w:tcPr>
            <w:tcW w:type="dxa" w:w="2498"/>
            <w:vAlign w:val="center"/>
          </w:tcPr>
          <w:p>
            <w:r/>
            <w:r>
              <w:rPr>
                <w:rFonts w:ascii="Arial" w:hAnsi="Arial" w:eastAsia="Arial"/>
                <w:b w:val="0"/>
                <w:color w:val="000000"/>
                <w:sz w:val="16"/>
              </w:rPr>
              <w:t>Économie</w:t>
            </w:r>
          </w:p>
        </w:tc>
        <w:tc>
          <w:tcPr>
            <w:tcW w:type="dxa" w:w="2498"/>
            <w:vAlign w:val="center"/>
          </w:tcPr>
          <w:p>
            <w:r/>
            <w:r>
              <w:rPr>
                <w:rFonts w:ascii="Arial" w:hAnsi="Arial" w:eastAsia="Arial"/>
                <w:b w:val="0"/>
                <w:color w:val="000000"/>
                <w:sz w:val="16"/>
              </w:rPr>
              <w:t>R-61 à R-70</w:t>
            </w:r>
          </w:p>
        </w:tc>
        <w:tc>
          <w:tcPr>
            <w:tcW w:type="dxa" w:w="2498"/>
            <w:vAlign w:val="center"/>
          </w:tcPr>
          <w:p>
            <w:r/>
            <w:r>
              <w:rPr>
                <w:rFonts w:ascii="Arial" w:hAnsi="Arial" w:eastAsia="Arial"/>
                <w:b w:val="0"/>
                <w:color w:val="000000"/>
                <w:sz w:val="16"/>
              </w:rPr>
              <w:t>Limiter charges et privilèges</w:t>
            </w:r>
          </w:p>
        </w:tc>
        <w:tc>
          <w:tcPr>
            <w:tcW w:type="dxa" w:w="2498"/>
            <w:vAlign w:val="center"/>
          </w:tcPr>
          <w:p>
            <w:r/>
            <w:r>
              <w:rPr>
                <w:rFonts w:ascii="Arial" w:hAnsi="Arial" w:eastAsia="Arial"/>
                <w:b w:val="0"/>
                <w:color w:val="000000"/>
                <w:sz w:val="16"/>
              </w:rPr>
              <w:t>Analyse d’impact</w:t>
            </w:r>
          </w:p>
        </w:tc>
      </w:tr>
      <w:tr>
        <w:tc>
          <w:tcPr>
            <w:tcW w:type="dxa" w:w="2498"/>
            <w:vAlign w:val="center"/>
          </w:tcPr>
          <w:p>
            <w:r/>
            <w:r>
              <w:rPr>
                <w:rFonts w:ascii="Arial" w:hAnsi="Arial" w:eastAsia="Arial"/>
                <w:b w:val="0"/>
                <w:color w:val="000000"/>
                <w:sz w:val="16"/>
              </w:rPr>
              <w:t>Territoire</w:t>
            </w:r>
          </w:p>
        </w:tc>
        <w:tc>
          <w:tcPr>
            <w:tcW w:type="dxa" w:w="2498"/>
            <w:vAlign w:val="center"/>
          </w:tcPr>
          <w:p>
            <w:r/>
            <w:r>
              <w:rPr>
                <w:rFonts w:ascii="Arial" w:hAnsi="Arial" w:eastAsia="Arial"/>
                <w:b w:val="0"/>
                <w:color w:val="000000"/>
                <w:sz w:val="16"/>
              </w:rPr>
              <w:t>R-71 à R-80</w:t>
            </w:r>
          </w:p>
        </w:tc>
        <w:tc>
          <w:tcPr>
            <w:tcW w:type="dxa" w:w="2498"/>
            <w:vAlign w:val="center"/>
          </w:tcPr>
          <w:p>
            <w:r/>
            <w:r>
              <w:rPr>
                <w:rFonts w:ascii="Arial" w:hAnsi="Arial" w:eastAsia="Arial"/>
                <w:b w:val="0"/>
                <w:color w:val="000000"/>
                <w:sz w:val="16"/>
              </w:rPr>
              <w:t>Adapter aux régions</w:t>
            </w:r>
          </w:p>
        </w:tc>
        <w:tc>
          <w:tcPr>
            <w:tcW w:type="dxa" w:w="2498"/>
            <w:vAlign w:val="center"/>
          </w:tcPr>
          <w:p>
            <w:r/>
            <w:r>
              <w:rPr>
                <w:rFonts w:ascii="Arial" w:hAnsi="Arial" w:eastAsia="Arial"/>
                <w:b w:val="0"/>
                <w:color w:val="000000"/>
                <w:sz w:val="16"/>
              </w:rPr>
              <w:t>Consultation locale</w:t>
            </w:r>
          </w:p>
        </w:tc>
      </w:tr>
      <w:tr>
        <w:tc>
          <w:tcPr>
            <w:tcW w:type="dxa" w:w="2498"/>
            <w:vAlign w:val="center"/>
          </w:tcPr>
          <w:p>
            <w:r/>
            <w:r>
              <w:rPr>
                <w:rFonts w:ascii="Arial" w:hAnsi="Arial" w:eastAsia="Arial"/>
                <w:b w:val="0"/>
                <w:color w:val="000000"/>
                <w:sz w:val="16"/>
              </w:rPr>
              <w:t>Simplification</w:t>
            </w:r>
          </w:p>
        </w:tc>
        <w:tc>
          <w:tcPr>
            <w:tcW w:type="dxa" w:w="2498"/>
            <w:vAlign w:val="center"/>
          </w:tcPr>
          <w:p>
            <w:r/>
            <w:r>
              <w:rPr>
                <w:rFonts w:ascii="Arial" w:hAnsi="Arial" w:eastAsia="Arial"/>
                <w:b w:val="0"/>
                <w:color w:val="000000"/>
                <w:sz w:val="16"/>
              </w:rPr>
              <w:t>R-81 à R-90</w:t>
            </w:r>
          </w:p>
        </w:tc>
        <w:tc>
          <w:tcPr>
            <w:tcW w:type="dxa" w:w="2498"/>
            <w:vAlign w:val="center"/>
          </w:tcPr>
          <w:p>
            <w:r/>
            <w:r>
              <w:rPr>
                <w:rFonts w:ascii="Arial" w:hAnsi="Arial" w:eastAsia="Arial"/>
                <w:b w:val="0"/>
                <w:color w:val="000000"/>
                <w:sz w:val="16"/>
              </w:rPr>
              <w:t>Réviser et abroger l’inutile</w:t>
            </w:r>
          </w:p>
        </w:tc>
        <w:tc>
          <w:tcPr>
            <w:tcW w:type="dxa" w:w="2498"/>
            <w:vAlign w:val="center"/>
          </w:tcPr>
          <w:p>
            <w:r/>
            <w:r>
              <w:rPr>
                <w:rFonts w:ascii="Arial" w:hAnsi="Arial" w:eastAsia="Arial"/>
                <w:b w:val="0"/>
                <w:color w:val="000000"/>
                <w:sz w:val="16"/>
              </w:rPr>
              <w:t>Inventaire et rapport</w:t>
            </w:r>
          </w:p>
        </w:tc>
      </w:tr>
      <w:tr>
        <w:tc>
          <w:tcPr>
            <w:tcW w:type="dxa" w:w="2498"/>
            <w:vAlign w:val="center"/>
          </w:tcPr>
          <w:p>
            <w:r/>
            <w:r>
              <w:rPr>
                <w:rFonts w:ascii="Arial" w:hAnsi="Arial" w:eastAsia="Arial"/>
                <w:b w:val="0"/>
                <w:color w:val="000000"/>
                <w:sz w:val="16"/>
              </w:rPr>
              <w:t>Responsabilité</w:t>
            </w:r>
          </w:p>
        </w:tc>
        <w:tc>
          <w:tcPr>
            <w:tcW w:type="dxa" w:w="2498"/>
            <w:vAlign w:val="center"/>
          </w:tcPr>
          <w:p>
            <w:r/>
            <w:r>
              <w:rPr>
                <w:rFonts w:ascii="Arial" w:hAnsi="Arial" w:eastAsia="Arial"/>
                <w:b w:val="0"/>
                <w:color w:val="000000"/>
                <w:sz w:val="16"/>
              </w:rPr>
              <w:t>R-91 à R-100</w:t>
            </w:r>
          </w:p>
        </w:tc>
        <w:tc>
          <w:tcPr>
            <w:tcW w:type="dxa" w:w="2498"/>
            <w:vAlign w:val="center"/>
          </w:tcPr>
          <w:p>
            <w:r/>
            <w:r>
              <w:rPr>
                <w:rFonts w:ascii="Arial" w:hAnsi="Arial" w:eastAsia="Arial"/>
                <w:b w:val="0"/>
                <w:color w:val="000000"/>
                <w:sz w:val="16"/>
              </w:rPr>
              <w:t>Assurer concordance et contrôle</w:t>
            </w:r>
          </w:p>
        </w:tc>
        <w:tc>
          <w:tcPr>
            <w:tcW w:type="dxa" w:w="2498"/>
            <w:vAlign w:val="center"/>
          </w:tcPr>
          <w:p>
            <w:r/>
            <w:r>
              <w:rPr>
                <w:rFonts w:ascii="Arial" w:hAnsi="Arial" w:eastAsia="Arial"/>
                <w:b w:val="0"/>
                <w:color w:val="000000"/>
                <w:sz w:val="16"/>
              </w:rPr>
              <w:t>Traçabilité et plaintes</w:t>
            </w:r>
          </w:p>
        </w:tc>
      </w:tr>
    </w:tbl>
    <w:p>
      <w:pPr>
        <w:pStyle w:val="Heading1"/>
      </w:pPr>
      <w:r>
        <w:t>CLAUSE FINALE DE PROTECTION</w:t>
      </w:r>
    </w:p>
    <w:p>
      <w:r>
        <w:t>Les règlements du Système Nova doivent rester des instruments d’application et non des instruments de contournement.</w:t>
      </w:r>
    </w:p>
    <w:p>
      <w:r>
        <w:t>Ils doivent servir la clarté, la simplicité, la transparence, la continuité des services, la protection des droits, la responsabilité des décideurs et le contrôle citoyen.</w:t>
      </w:r>
    </w:p>
    <w:p>
      <w:r>
        <w:t>Aucune administration ne peut utiliser une directive, un formulaire, une procédure ou une plateforme numérique pour imposer ce qu’une loi ne permet pas.</w:t>
      </w:r>
    </w:p>
    <w:p>
      <w:r>
        <w:t>Le présent document complète la Constitution, les normes fondamentales, les lois organiques, les lois administratives et les lois ordinaires du Système Nova.</w:t>
      </w:r>
    </w:p>
    <w:p>
      <w:r/>
    </w:p>
    <w:p>
      <w:pPr>
        <w:pStyle w:val="Heading1"/>
      </w:pPr>
      <w:r>
        <w:t>MISE À JOUR INTÉGRÉE - CORRECTIF STRUCTUREL No 1</w:t>
      </w:r>
    </w:p>
    <w:p>
      <w:pPr>
        <w:pStyle w:val="Heading2"/>
      </w:pPr>
      <w:r>
        <w:t>Police, force de defense, nominations sensibles et enquetes independantes</w:t>
      </w:r>
    </w:p>
    <w:tbl>
      <w:tblPr>
        <w:tblStyle w:val="TableGrid"/>
        <w:tblW w:type="auto" w:w="0"/>
        <w:jc w:val="center"/>
        <w:tblLayout w:type="autofit"/>
        <w:tblLook w:firstColumn="1" w:firstRow="1" w:lastColumn="0" w:lastRow="0" w:noHBand="0" w:noVBand="1" w:val="04A0"/>
      </w:tblPr>
      <w:tblGrid>
        <w:gridCol w:w="9994"/>
      </w:tblGrid>
      <w:tr>
        <w:tc>
          <w:tcPr>
            <w:tcW w:type="dxa" w:w="9994"/>
            <w:shd w:fill="1F4E79"/>
          </w:tcPr>
          <w:p>
            <w:pPr>
              <w:spacing w:after="40" w:before="0"/>
            </w:pPr>
            <w:r>
              <w:rPr>
                <w:color w:val="FFFFFF"/>
              </w:rPr>
            </w:r>
            <w:r>
              <w:rPr>
                <w:b/>
                <w:color w:val="FFFFFF"/>
                <w:sz w:val="17"/>
              </w:rPr>
              <w:t>Statut de la mise a jour</w:t>
            </w:r>
          </w:p>
        </w:tc>
      </w:tr>
      <w:tr>
        <w:tc>
          <w:tcPr>
            <w:tcW w:type="dxa" w:w="9994"/>
            <w:shd w:fill="EAF2F8"/>
          </w:tcPr>
          <w:p>
            <w:pPr>
              <w:spacing w:after="40" w:before="0"/>
            </w:pPr>
            <w:r>
              <w:t>La présente mise à jour intégrée porte sur la sécurité publique, la police, l'armée, les nominations sensibles, la reddition de comptes citoyenne et les enquêtes indépendantes. Elle précise les principes applicables sans remplacer les autres dispositions du document, qui demeurent en vigueur lorsqu'elles sont compatibles avec cette mise à jour.</w:t>
            </w:r>
          </w:p>
        </w:tc>
      </w:tr>
    </w:tbl>
    <w:p/>
    <w:p>
      <w:pPr>
        <w:pStyle w:val="Heading2"/>
      </w:pPr>
      <w:r>
        <w:t>Principes generaux intègres</w:t>
      </w:r>
    </w:p>
    <w:p>
      <w:pPr>
        <w:pStyle w:val="ListBullet"/>
      </w:pPr>
      <w:r>
        <w:t>Fin des quotas de contraventions et interdiction des revenus policiers deguises.</w:t>
      </w:r>
    </w:p>
    <w:p>
      <w:pPr>
        <w:pStyle w:val="ListBullet"/>
      </w:pPr>
      <w:r>
        <w:t>Recentrage de la police sur la criminalite reelle, les gangs criminalises, les gangs de rue et le crime organise.</w:t>
      </w:r>
    </w:p>
    <w:p>
      <w:pPr>
        <w:pStyle w:val="ListBullet"/>
      </w:pPr>
      <w:r>
        <w:t>Role de la force de defense limite a la protection du territoire, des frontieres, des infrastructures critiques et au soutien de crise majeure.</w:t>
      </w:r>
    </w:p>
    <w:p>
      <w:pPr>
        <w:pStyle w:val="ListBullet"/>
      </w:pPr>
      <w:r>
        <w:t>Creation ou reconnaissance d un organisme civil independant pour enqueter sur les abus graves.</w:t>
      </w:r>
    </w:p>
    <w:p>
      <w:pPr>
        <w:pStyle w:val="ListBullet"/>
      </w:pPr>
      <w:r>
        <w:t>Separation obligatoire des fonctions : enqueter, poursuivre, juger.</w:t>
      </w:r>
    </w:p>
    <w:p>
      <w:pPr>
        <w:pStyle w:val="ListBullet"/>
      </w:pPr>
      <w:r>
        <w:t>Processus independant, transparent et verifiable pour les nominations sensibles.</w:t>
      </w:r>
    </w:p>
    <w:p>
      <w:pPr>
        <w:pStyle w:val="ListBullet"/>
      </w:pPr>
      <w:r>
        <w:t>Fiche publique de reddition de comptes citoyenne pour les fonctions publiques majeures, sans score social.</w:t>
      </w:r>
    </w:p>
    <w:p>
      <w:pPr>
        <w:pStyle w:val="ListBullet"/>
      </w:pPr>
      <w:r>
        <w:t>Protection contre la corruption, la collusion, l ingerence politique et les nominations partisanes.</w:t>
      </w:r>
    </w:p>
    <w:p>
      <w:pPr>
        <w:pStyle w:val="Heading2"/>
      </w:pPr>
      <w:r>
        <w:t>Regles d application - indicateurs policiers legitimes</w:t>
      </w:r>
    </w:p>
    <w:p>
      <w:pPr>
        <w:pStyle w:val="ListBullet"/>
      </w:pPr>
      <w:r>
        <w:t>Les rapports policiers doivent distinguer les constats d infraction ordinaires des indicateurs de securite reelle.</w:t>
      </w:r>
    </w:p>
    <w:p>
      <w:pPr>
        <w:pStyle w:val="ListBullet"/>
      </w:pPr>
      <w:r>
        <w:t>Les indicateurs legitimes comprennent la reduction des crimes violents, la baisse des activites de gangs, le demantelement de reseaux criminels, la protection des victimes, la rapidite de traitement des plaintes et le respect des droits.</w:t>
      </w:r>
    </w:p>
    <w:p>
      <w:pPr>
        <w:pStyle w:val="ListBullet"/>
      </w:pPr>
      <w:r>
        <w:t>Tout tableau de performance base sur le volume de contraventions, de revenus ou de constats doit etre interdit ou reformule.</w:t>
      </w:r>
    </w:p>
    <w:p>
      <w:pPr>
        <w:pStyle w:val="Heading2"/>
      </w:pPr>
      <w:r>
        <w:t>Regles d application - enquetes externes obligatoires</w:t>
      </w:r>
    </w:p>
    <w:p>
      <w:pPr>
        <w:pStyle w:val="ListBullet"/>
      </w:pPr>
      <w:r>
        <w:t>Lorsqu une intervention policiere ou militaire entraine un deces, une blessure grave, une allegation de corruption, de collusion ou d abus majeur, le dossier doit etre transmis a l organisme civil independant.</w:t>
      </w:r>
    </w:p>
    <w:p>
      <w:pPr>
        <w:pStyle w:val="ListBullet"/>
      </w:pPr>
      <w:r>
        <w:t>La police ou la force de defense concernee doit conserver les preuves, cooperer et s abstenir de toute ingerence dans l enquete externe.</w:t>
      </w:r>
    </w:p>
    <w:p>
      <w:pPr>
        <w:pStyle w:val="ListBullet"/>
      </w:pPr>
      <w:r>
        <w:t>Toute obstruction, destruction de preuve, pression sur un temoin ou falsification doit constituer une faute grave.</w:t>
      </w:r>
    </w:p>
    <w:p>
      <w:pPr>
        <w:pStyle w:val="Heading2"/>
      </w:pPr>
      <w:r>
        <w:t>Regles d application - fiches publiques</w:t>
      </w:r>
    </w:p>
    <w:p>
      <w:pPr>
        <w:pStyle w:val="ListBullet"/>
      </w:pPr>
      <w:r>
        <w:t>Les fiches publiques doivent etre mises a jour selon une periodicite fixe et apres toute decision disciplinaire ou audit pertinent.</w:t>
      </w:r>
    </w:p>
    <w:p>
      <w:pPr>
        <w:pStyle w:val="ListBullet"/>
      </w:pPr>
      <w:r>
        <w:t>Elles doivent etre redigees en langage clair, proteger les donnees personnelles non pertinentes et distinguer les plaintes deposees des plaintes fondees.</w:t>
      </w:r>
    </w:p>
    <w:p>
      <w:pPr>
        <w:pStyle w:val="ListBullet"/>
      </w:pPr>
      <w:r>
        <w:t>Aucune fiche ne doit devenir un outil de harcelement, de vengeance politique ou de score social.</w:t>
      </w:r>
    </w:p>
    <w:p>
      <w:pPr>
        <w:pStyle w:val="Heading2"/>
      </w:pPr>
      <w:r>
        <w:t>Formule de synthese normative</w:t>
      </w:r>
    </w:p>
    <w:p>
      <w:pPr>
        <w:jc w:val="center"/>
      </w:pPr>
      <w:r>
        <w:rPr>
          <w:b/>
          <w:sz w:val="24"/>
        </w:rPr>
        <w:t>La police protege les citoyens.</w:t>
        <w:br/>
        <w:t>L armee protege le territoire.</w:t>
        <w:br/>
        <w:t>Les organismes independants enquetent sur les abus.</w:t>
        <w:br/>
        <w:t>Les tribunaux independants jugent.</w:t>
        <w:br/>
        <w:t>Le peuple controle les institutions.</w:t>
        <w:br/>
        <w:t>Le gouvernement ne doit jamais controler seul ceux qui doivent le surveiller.</w:t>
      </w:r>
    </w:p>
    <w:p>
      <w:r/>
    </w:p>
    <w:p>
      <w:pPr>
        <w:pStyle w:val="Heading1"/>
      </w:pPr>
      <w:r>
        <w:t>Mise a jour intègree - mise a jour intègree no 2</w:t>
      </w:r>
    </w:p>
    <w:p>
      <w:pPr>
        <w:spacing w:after="120"/>
      </w:pPr>
      <w:r>
        <w:t>Le present document (Règlements et application normative)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rPr>
          <w:b/>
          <w:color w:val="006666"/>
          <w:sz w:val="26"/>
        </w:rPr>
        <w:t>Reglement additionnel - Modalites techniques de proximite territoriale</w:t>
      </w:r>
    </w:p>
    <w:p>
      <w:pPr>
        <w:pStyle w:val="ListNumber"/>
        <w:spacing w:after="40"/>
      </w:pPr>
      <w:r>
        <w:rPr>
          <w:sz w:val="21"/>
        </w:rPr>
        <w:t>Les audits des MRC et megastructures municipales utilisent une grille uniforme : cout, services, chevauchements, distance citoyenne, delais, satisfaction locale et redéploiement possible.</w:t>
      </w:r>
    </w:p>
    <w:p>
      <w:pPr>
        <w:pStyle w:val="ListNumber"/>
        <w:spacing w:after="40"/>
      </w:pPr>
      <w:r>
        <w:rPr>
          <w:sz w:val="21"/>
        </w:rPr>
        <w:t>Toute consultation locale doit fournir un resume neutre, les impacts, les couts, les options et les consequences juridiques.</w:t>
      </w:r>
    </w:p>
    <w:p>
      <w:pPr>
        <w:pStyle w:val="ListNumber"/>
        <w:spacing w:after="40"/>
      </w:pPr>
      <w:r>
        <w:rPr>
          <w:sz w:val="21"/>
        </w:rPr>
        <w:t>Les referendums locaux se tiennent selon les regles d integrite, de preuve papier, de verification et de publication des resultats.</w:t>
      </w:r>
    </w:p>
    <w:p>
      <w:pPr>
        <w:pStyle w:val="Heading2"/>
      </w:pPr>
      <w:r>
        <w:rPr>
          <w:b/>
          <w:color w:val="006666"/>
          <w:sz w:val="26"/>
        </w:rPr>
        <w:t>Reglement additionnel - Voie publique et neutralite</w:t>
      </w:r>
    </w:p>
    <w:p>
      <w:pPr>
        <w:pStyle w:val="ListNumber"/>
        <w:spacing w:after="40"/>
      </w:pPr>
      <w:r>
        <w:rPr>
          <w:sz w:val="21"/>
        </w:rPr>
        <w:t>Les demandes d utilisation de l espace public doivent identifier l objet exact, la duree, le lieu, le risque de blocage et les mesures de securite.</w:t>
      </w:r>
    </w:p>
    <w:p>
      <w:pPr>
        <w:pStyle w:val="ListNumber"/>
        <w:spacing w:after="40"/>
      </w:pPr>
      <w:r>
        <w:rPr>
          <w:sz w:val="21"/>
        </w:rPr>
        <w:t>Une activite religieuse collective est refusee lorsqu elle transforme l espace public commun en lieu de culte ou bloque une fonction publique de circulation, securite ou acces.</w:t>
      </w:r>
    </w:p>
    <w:p>
      <w:pPr>
        <w:pStyle w:val="ListNumber"/>
        <w:spacing w:after="40"/>
      </w:pPr>
      <w:r>
        <w:rPr>
          <w:sz w:val="21"/>
        </w:rPr>
        <w:t>Les activites patrimoniales ou culturelles peuvent etre autorisees si elles ne sont pas proselytes et respectent l ordre public.</w:t>
      </w:r>
    </w:p>
    <w:p>
      <w:pPr>
        <w:pStyle w:val="Heading2"/>
      </w:pPr>
      <w:r>
        <w:rPr>
          <w:b/>
          <w:color w:val="006666"/>
          <w:sz w:val="26"/>
        </w:rPr>
        <w:t>Reglement additionnel - Fiche des elus</w:t>
      </w:r>
    </w:p>
    <w:p>
      <w:pPr>
        <w:pStyle w:val="ListNumber"/>
        <w:spacing w:after="40"/>
      </w:pPr>
      <w:r>
        <w:rPr>
          <w:sz w:val="21"/>
        </w:rPr>
        <w:t>La fiche publique des elus est tenue dans un registre ouvert, lisible, verifiable et mis a jour regulierement.</w:t>
      </w:r>
    </w:p>
    <w:p>
      <w:pPr>
        <w:pStyle w:val="ListNumber"/>
        <w:spacing w:after="40"/>
      </w:pPr>
      <w:r>
        <w:rPr>
          <w:sz w:val="21"/>
        </w:rPr>
        <w:t>Les appreciations citoyennes doivent etre non anonymes pour l autorite de controle, protegees contre les manipulations et presentees sous forme agregée au public.</w:t>
      </w:r>
    </w:p>
    <w:p>
      <w:pPr>
        <w:pStyle w:val="ListNumber"/>
        <w:spacing w:after="40"/>
      </w:pPr>
      <w:r>
        <w:rPr>
          <w:sz w:val="21"/>
        </w:rPr>
        <w:t>La fiche ne peut etre utilisee pour evaluer, classer ou sanctionner les citoyens ordinaires.</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Regles techniques intègrees</w:t>
      </w:r>
    </w:p>
    <w:p>
      <w:pPr>
        <w:pStyle w:val="ListBullet"/>
      </w:pPr>
      <w:r>
        <w:t>Format public obligatoire pour les fiches de reddition de comptes des elus.</w:t>
      </w:r>
    </w:p>
    <w:p>
      <w:pPr>
        <w:pStyle w:val="ListBullet"/>
      </w:pPr>
      <w:r>
        <w:t>Modele de publication des audits locaux, des couts municipaux et des indicateurs de service.</w:t>
      </w:r>
    </w:p>
    <w:p>
      <w:pPr>
        <w:pStyle w:val="ListBullet"/>
      </w:pPr>
      <w:r>
        <w:t>Regles de verification des hausses de remuneration et de publication des notes citoyennes des elus.</w:t>
      </w:r>
    </w:p>
    <w:p>
      <w:pPr>
        <w:pStyle w:val="ListBullet"/>
      </w:pPr>
      <w:r>
        <w:t>Procedures de consultation locale avant tout transfert majeur de competence entre municipalites, MRC et structures intermunicipales.</w:t>
      </w:r>
    </w:p>
    <w:p>
      <w:pPr>
        <w:pStyle w:val="ListBullet"/>
      </w:pPr>
      <w:r>
        <w:t>Normes de publication des rectifications publiques en cas d erreur, omission ou information incomplete.</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60" w:after="30"/>
    </w:pPr>
    <w:rPr>
      <w:rFonts w:ascii="Arial" w:hAnsi="Arial" w:eastAsia="Arial"/>
      <w:b/>
      <w:color w:val="1F4E79"/>
      <w:sz w:val="20"/>
    </w:rPr>
  </w:style>
  <w:style w:type="paragraph" w:customStyle="1" w:styleId="SmallNote">
    <w:name w:val="SmallNote"/>
    <w:rPr>
      <w:rFonts w:ascii="Arial" w:hAnsi="Arial" w:eastAsia="Arial"/>
      <w:i/>
      <w:color w:val="5A5A5A"/>
      <w:sz w:val="17"/>
    </w:r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Reglements</dc:title>
  <dc:subject>Projet Nova - Règlements et mécanismes d’application normative</dc:subject>
  <dc:creator>Projet Nova</dc:creator>
  <cp:keywords/>
  <dc:description>Version officielle consolidée générée pour le corpus Projet Nova.</dc:description>
  <cp:lastModifiedBy>Projet Nova</cp:lastModifiedBy>
  <cp:revision>1</cp:revision>
  <dcterms:created xsi:type="dcterms:W3CDTF">2013-12-23T23:15:00Z</dcterms:created>
  <dcterms:modified xsi:type="dcterms:W3CDTF">2013-12-23T23:15:00Z</dcterms:modified>
  <cp:category/>
</cp:coreProperties>
</file>