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Liberation Sans" w:hAnsi="Liberation Sans" w:eastAsia="Liberation Sans"/>
          <w:b/>
        </w:rPr>
        <w:t>Plan maître de consolidation du Projet Nova</w:t>
      </w:r>
    </w:p>
    <w:p>
      <w:pPr>
        <w:pStyle w:val="SmallText"/>
        <w:jc w:val="left"/>
      </w:pPr>
      <w:r>
        <w:rPr>
          <w:rFonts w:ascii="Liberation Sans" w:hAnsi="Liberation Sans" w:eastAsia="Liberation Sans"/>
        </w:rPr>
        <w:t>Document de travail - version corrigée et nettoyée</w:t>
      </w:r>
    </w:p>
    <w:p>
      <w:pPr>
        <w:pStyle w:val="Heading1"/>
      </w:pPr>
      <w:r>
        <w:rPr>
          <w:rFonts w:ascii="Liberation Sans" w:hAnsi="Liberation Sans" w:eastAsia="Liberation Sans"/>
        </w:rPr>
        <w:t>Synthèse exécutive</w:t>
      </w:r>
    </w:p>
    <w:p>
      <w:r>
        <w:rPr>
          <w:rFonts w:ascii="Liberation Sans" w:hAnsi="Liberation Sans" w:eastAsia="Liberation Sans"/>
        </w:rPr>
        <w:t>Le corpus du Projet Nova est déjà riche, mais il mélange encore des éléments de nature différente : norme d’État, doctrine de mouvement politique et outil transitoire. Cette confusion doit être corrigée pour rendre l’ensemble plus solide, plus lisible et plus défendable.</w:t>
      </w:r>
    </w:p>
    <w:p>
      <w:r>
        <w:rPr>
          <w:rFonts w:ascii="Liberation Sans" w:hAnsi="Liberation Sans" w:eastAsia="Liberation Sans"/>
        </w:rPr>
        <w:t>Les correctifs prioritaires sont les suivants : dépolitiser la hiérarchie normative, remplacer partout l’ancienne identité « SCQ » par « Projet Nova », abaisser les seuils irréalistes, distinguer ce qui doit être constitutionnel de ce qui doit relever des lois organiques ou ordinaires, puis verrouiller l’ensemble par une clause de non-régression et un double verrou : majorité qualifiée et référendum.</w:t>
      </w:r>
    </w:p>
    <w:p>
      <w:r>
        <w:rPr>
          <w:rFonts w:ascii="Liberation Sans" w:hAnsi="Liberation Sans" w:eastAsia="Liberation Sans"/>
        </w:rPr>
        <w:t>Les modèles comparés montrent qu’une autorité électorale indépendante, un droit d’accès robuste, des registres d’influence transparents et des marchés publics traçables sont compatibles avec une démocratie forte. Le Québec et le Canada possèdent déjà des bases utiles; le Projet Nova vise à les hausser, les simplifier et les rendre plus contrôlables par les citoyens.</w:t>
      </w:r>
    </w:p>
    <w:p>
      <w:pPr>
        <w:pStyle w:val="Heading1"/>
      </w:pPr>
      <w:r>
        <w:rPr>
          <w:rFonts w:ascii="Liberation Sans" w:hAnsi="Liberation Sans" w:eastAsia="Liberation Sans"/>
        </w:rPr>
        <w:t>Harmonisation du corpus</w:t>
      </w:r>
    </w:p>
    <w:p>
      <w:r>
        <w:rPr>
          <w:rFonts w:ascii="Liberation Sans" w:hAnsi="Liberation Sans" w:eastAsia="Liberation Sans"/>
        </w:rPr>
        <w:t>Les occurrences de l’ancienne appellation « SCQ » doivent être remplacées dans l’ensemble du corpus. Les endroits prioritaires sont : le titre de l’outil transitoire, le Code de conduite, la Mission officielle, la section « Qui sommes-nous », la doctrine, le document consolidé et les mentions internes de la Constitution qui placent un outil partisan dans la hiérarchie des normes.</w:t>
      </w:r>
    </w:p>
    <w:p>
      <w:r>
        <w:rPr>
          <w:rFonts w:ascii="Liberation Sans" w:hAnsi="Liberation Sans" w:eastAsia="Liberation Sans"/>
        </w:rPr>
        <w:t>Remplacement recommandé : utiliser « Projet Nova » dans les documents doctrinaux, politiques et publics. Dans les textes normatifs, remplacer « SCQ - Outil de transition constitutionnelle » par « Loi de transition constitutionnelle », afin de retirer le nom d’un mouvement politique de la pyramide des normes.</w:t>
      </w:r>
    </w:p>
    <w:p>
      <w:r>
        <w:rPr>
          <w:rFonts w:ascii="Liberation Sans" w:hAnsi="Liberation Sans" w:eastAsia="Liberation Sans"/>
        </w:rPr>
        <w:t>Objectif : séparer clairement le mouvement politique, le futur véhicule électoral et l’architecture juridique de l’État. Le Projet Nova peut porter le projet; il ne doit pas devenir une norme constitutionnelle en lui-même.</w:t>
      </w:r>
    </w:p>
    <w:p>
      <w:pPr>
        <w:pStyle w:val="Heading1"/>
      </w:pPr>
      <w:r>
        <w:rPr>
          <w:rFonts w:ascii="Liberation Sans" w:hAnsi="Liberation Sans" w:eastAsia="Liberation Sans"/>
        </w:rPr>
        <w:t>Corrections prioritaires</w:t>
      </w:r>
    </w:p>
    <w:p>
      <w:r>
        <w:rPr>
          <w:rFonts w:ascii="Liberation Sans" w:hAnsi="Liberation Sans" w:eastAsia="Liberation Sans"/>
        </w:rPr>
        <w:t>Les contradictions majeures à corriger sont les suivantes : des seuils de 90 à 95 % de la population admissible pour réviser la Constitution, pratiquement bloquants; un droit de vote accessible toute l’année combiné à des plages horaires limitées de 7 h à 16 h, ce qui nuit à l’accessibilité; une interdiction totale de toute influence alors qu’une démocratie saine doit permettre des représentations transparentes; une duplication massive entre Constitution, lois organiques, lois ordinaires et lois administratives; et la présence d’un instrument transitoire partisan dans le droit suprême.</w:t>
      </w:r>
    </w:p>
    <w:p>
      <w:r>
        <w:rPr>
          <w:rFonts w:ascii="Liberation Sans" w:hAnsi="Liberation Sans" w:eastAsia="Liberation Sans"/>
        </w:rPr>
        <w:t>La refonte recommandée est simple : la Constitution doit contenir les principes fondamentaux; les lois organiques doivent encadrer les institutions; les lois ordinaires doivent régler les procédures et l’application quotidienne; les règlements doivent se limiter aux modalités techniques.</w:t>
      </w:r>
    </w:p>
    <w:p>
      <w:pPr>
        <w:pStyle w:val="Heading1"/>
      </w:pPr>
      <w:r>
        <w:rPr>
          <w:rFonts w:ascii="Liberation Sans" w:hAnsi="Liberation Sans" w:eastAsia="Liberation Sans"/>
        </w:rPr>
        <w:t>Architecture normative proposée</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pPr>
              <w:spacing w:after="60"/>
            </w:pPr>
            <w:r>
              <w:rPr>
                <w:rFonts w:ascii="Liberation Sans" w:hAnsi="Liberation Sans" w:eastAsia="Liberation Sans"/>
                <w:b/>
                <w:sz w:val="18"/>
              </w:rPr>
              <w:t>Niveau normatif</w:t>
            </w:r>
          </w:p>
        </w:tc>
        <w:tc>
          <w:tcPr>
            <w:tcW w:type="dxa" w:w="4896"/>
            <w:vAlign w:val="center"/>
          </w:tcPr>
          <w:p>
            <w:pPr>
              <w:spacing w:after="60"/>
            </w:pPr>
            <w:r>
              <w:rPr>
                <w:rFonts w:ascii="Liberation Sans" w:hAnsi="Liberation Sans" w:eastAsia="Liberation Sans"/>
                <w:b/>
                <w:sz w:val="18"/>
              </w:rPr>
              <w:t>Contenu recommandé</w:t>
            </w:r>
          </w:p>
        </w:tc>
      </w:tr>
      <w:tr>
        <w:tc>
          <w:tcPr>
            <w:tcW w:type="dxa" w:w="4896"/>
            <w:vAlign w:val="top"/>
          </w:tcPr>
          <w:p>
            <w:pPr>
              <w:spacing w:after="60"/>
            </w:pPr>
            <w:r>
              <w:rPr>
                <w:rFonts w:ascii="Liberation Sans" w:hAnsi="Liberation Sans" w:eastAsia="Liberation Sans"/>
                <w:sz w:val="18"/>
              </w:rPr>
              <w:t>Constitutionnel</w:t>
            </w:r>
          </w:p>
        </w:tc>
        <w:tc>
          <w:tcPr>
            <w:tcW w:type="dxa" w:w="4896"/>
            <w:vAlign w:val="top"/>
          </w:tcPr>
          <w:p>
            <w:pPr>
              <w:spacing w:after="60"/>
            </w:pPr>
            <w:r>
              <w:rPr>
                <w:rFonts w:ascii="Liberation Sans" w:hAnsi="Liberation Sans" w:eastAsia="Liberation Sans"/>
                <w:sz w:val="18"/>
              </w:rPr>
              <w:t>RIC, révocation, autorité électorale indépendante, tribunal électoral, non-régression, noyau intangible, indépendance judiciaire, souveraineté numérique, interdiction de notation sociale, clause d’indépendance permanente, liberté de conscience et transparence par défaut.</w:t>
            </w:r>
          </w:p>
        </w:tc>
      </w:tr>
      <w:tr>
        <w:tc>
          <w:tcPr>
            <w:tcW w:type="dxa" w:w="4896"/>
            <w:vAlign w:val="top"/>
          </w:tcPr>
          <w:p>
            <w:pPr>
              <w:spacing w:after="60"/>
            </w:pPr>
            <w:r>
              <w:rPr>
                <w:rFonts w:ascii="Liberation Sans" w:hAnsi="Liberation Sans" w:eastAsia="Liberation Sans"/>
                <w:sz w:val="18"/>
              </w:rPr>
              <w:t>Organique</w:t>
            </w:r>
          </w:p>
        </w:tc>
        <w:tc>
          <w:tcPr>
            <w:tcW w:type="dxa" w:w="4896"/>
            <w:vAlign w:val="top"/>
          </w:tcPr>
          <w:p>
            <w:pPr>
              <w:spacing w:after="60"/>
            </w:pPr>
            <w:r>
              <w:rPr>
                <w:rFonts w:ascii="Liberation Sans" w:hAnsi="Liberation Sans" w:eastAsia="Liberation Sans"/>
                <w:sz w:val="18"/>
              </w:rPr>
              <w:t>Vérificateur des promesses, autorité citoyenne d’évaluation, registre des influences, tribunal anti-corruption, autorité de souveraineté technologique et académie de gouvernance.</w:t>
            </w:r>
          </w:p>
        </w:tc>
      </w:tr>
      <w:tr>
        <w:tc>
          <w:tcPr>
            <w:tcW w:type="dxa" w:w="4896"/>
            <w:vAlign w:val="top"/>
          </w:tcPr>
          <w:p>
            <w:pPr>
              <w:spacing w:after="60"/>
            </w:pPr>
            <w:r>
              <w:rPr>
                <w:rFonts w:ascii="Liberation Sans" w:hAnsi="Liberation Sans" w:eastAsia="Liberation Sans"/>
                <w:sz w:val="18"/>
              </w:rPr>
              <w:t>Ordinaire</w:t>
            </w:r>
          </w:p>
        </w:tc>
        <w:tc>
          <w:tcPr>
            <w:tcW w:type="dxa" w:w="4896"/>
            <w:vAlign w:val="top"/>
          </w:tcPr>
          <w:p>
            <w:pPr>
              <w:spacing w:after="60"/>
            </w:pPr>
            <w:r>
              <w:rPr>
                <w:rFonts w:ascii="Liberation Sans" w:hAnsi="Liberation Sans" w:eastAsia="Liberation Sans"/>
                <w:sz w:val="18"/>
              </w:rPr>
              <w:t>Seuils précis, délais, procédure de rappel, tableau de bord national, contrats ouverts, protection des dénonciateurs, cumul d’emploi, retraite active, régime fiscal des heures supplémentaires et revenus des retraités.</w:t>
            </w:r>
          </w:p>
        </w:tc>
      </w:tr>
      <w:tr>
        <w:tc>
          <w:tcPr>
            <w:tcW w:type="dxa" w:w="4896"/>
            <w:vAlign w:val="top"/>
          </w:tcPr>
          <w:p>
            <w:pPr>
              <w:spacing w:after="60"/>
            </w:pPr>
            <w:r>
              <w:rPr>
                <w:rFonts w:ascii="Liberation Sans" w:hAnsi="Liberation Sans" w:eastAsia="Liberation Sans"/>
                <w:sz w:val="18"/>
              </w:rPr>
              <w:t>Réglementaire</w:t>
            </w:r>
          </w:p>
        </w:tc>
        <w:tc>
          <w:tcPr>
            <w:tcW w:type="dxa" w:w="4896"/>
            <w:vAlign w:val="top"/>
          </w:tcPr>
          <w:p>
            <w:pPr>
              <w:spacing w:after="60"/>
            </w:pPr>
            <w:r>
              <w:rPr>
                <w:rFonts w:ascii="Liberation Sans" w:hAnsi="Liberation Sans" w:eastAsia="Liberation Sans"/>
                <w:sz w:val="18"/>
              </w:rPr>
              <w:t>Formulaires, délais techniques, formats de publication, protocoles d’audit, règles d’accessibilité et procédures d’exécution strictement subordonnées à la loi.</w:t>
            </w:r>
          </w:p>
        </w:tc>
      </w:tr>
    </w:tbl>
    <w:p>
      <w:r>
        <w:rPr>
          <w:rFonts w:ascii="Liberation Sans" w:hAnsi="Liberation Sans" w:eastAsia="Liberation Sans"/>
        </w:rPr>
        <w:t>Cette hiérarchie est plus cohérente avec les modèles canadiens, suisses et estoniens. Elle réduit les contradictions, limite les redondances et facilite l’audit article par article.</w:t>
      </w:r>
    </w:p>
    <w:p>
      <w:pPr>
        <w:pStyle w:val="Heading1"/>
      </w:pPr>
      <w:r>
        <w:rPr>
          <w:rFonts w:ascii="Liberation Sans" w:hAnsi="Liberation Sans" w:eastAsia="Liberation Sans"/>
        </w:rPr>
        <w:t>Transition post-partisane</w:t>
      </w:r>
    </w:p>
    <w:p>
      <w:r>
        <w:rPr>
          <w:rFonts w:ascii="Liberation Sans" w:hAnsi="Liberation Sans" w:eastAsia="Liberation Sans"/>
        </w:rPr>
        <w:t>Le chemin le plus robuste est le suivant : Projet Nova comme mouvement; Parti Nova comme éventuel véhicule électoral temporaire; système mixte sans discipline de vote; puis régime principalement individuel. Cette progression évite de remplacer un appareil partisan par un autre appareil partisan.</w:t>
      </w:r>
    </w:p>
    <w:p>
      <w:r>
        <w:rPr>
          <w:rFonts w:ascii="Liberation Sans" w:hAnsi="Liberation Sans" w:eastAsia="Liberation Sans"/>
        </w:rPr>
        <w:t>Le verrou anti-retour devrait exiger une majorité des deux tiers de l’Assemblée et un référendum sur une question claire pour toute réduction des droits démocratiques. Cette approche est plus réaliste que des seuils quasi impossibles à atteindre et plus fidèle aux principes de démocratie, de primauté du droit et de protection des minorités.</w:t>
      </w:r>
    </w:p>
    <w:p>
      <w:r>
        <w:rPr>
          <w:rFonts w:ascii="Liberation Sans" w:hAnsi="Liberation Sans" w:eastAsia="Liberation Sans"/>
        </w:rPr>
        <w:t>L’autorité électorale devrait s’inspirer du modèle québécois : institution impartiale et indépendante, nomination par l’Assemblée aux deux tiers, mandats fixes, audits publics, preuve matérielle du vote et résultats vérifiables.</w:t>
      </w:r>
    </w:p>
    <w:p>
      <w:pPr>
        <w:pStyle w:val="Heading1"/>
      </w:pPr>
      <w:r>
        <w:rPr>
          <w:rFonts w:ascii="Liberation Sans" w:hAnsi="Liberation Sans" w:eastAsia="Liberation Sans"/>
        </w:rPr>
        <w:t>Évaluation citoyenne et consolidation</w:t>
      </w:r>
    </w:p>
    <w:p>
      <w:r>
        <w:rPr>
          <w:rFonts w:ascii="Liberation Sans" w:hAnsi="Liberation Sans" w:eastAsia="Liberation Sans"/>
        </w:rPr>
        <w:t>Le système d’évaluation citoyenne devrait ne publier que des données agrégées. L’identité citoyenne pourrait être vérifiée en arrière-plan, sans exposition publique. Les garanties minimales devraient inclure : une seule évaluation par période, un journal d’audit, un droit de réponse de l’élu, une modération indépendante et une interdiction d’usage administratif ou policier.</w:t>
      </w:r>
    </w:p>
    <w:p>
      <w:r>
        <w:rPr>
          <w:rFonts w:ascii="Liberation Sans" w:hAnsi="Liberation Sans" w:eastAsia="Liberation Sans"/>
        </w:rPr>
        <w:t>La logique comparative la plus solide est la suivante : participation encadrée comme à Taïwan, droits populaires structurés comme en Suisse, infrastructure interopérable et auditée comme en Estonie.</w:t>
      </w:r>
    </w:p>
    <w:p>
      <w:r>
        <w:rPr>
          <w:rFonts w:ascii="Liberation Sans" w:hAnsi="Liberation Sans" w:eastAsia="Liberation Sans"/>
        </w:rPr>
        <w:t>Première étape recommandée pour la Version maître consolidée : audit article par article, renommage intégral, matrice des redondances, puis refonte par blocs normatifs avant toute nouvelle rédaction de détail.</w:t>
      </w:r>
    </w:p>
    <w:p>
      <w:pPr>
        <w:pStyle w:val="Heading1"/>
      </w:pPr>
      <w:r>
        <w:rPr>
          <w:rFonts w:ascii="Liberation Sans" w:hAnsi="Liberation Sans" w:eastAsia="Liberation Sans"/>
        </w:rPr>
        <w:t>Sources comparatives consultées</w:t>
      </w:r>
    </w:p>
    <w:p>
      <w:r>
        <w:rPr>
          <w:rFonts w:ascii="Liberation Sans" w:hAnsi="Liberation Sans" w:eastAsia="Liberation Sans"/>
        </w:rPr>
        <w:t>Élections Québec - Mission, valeurs et mandats; Lois constitutionnelles de 1867 à 1982; Renvoi relatif à la sécession du Québec; plateforme de participation publique de Taïwan; modèles suisses de droits populaires; infrastructure numérique publique estonienne.</w:t>
      </w:r>
    </w:p>
    <w:p>
      <w:pPr>
        <w:pStyle w:val="Heading1"/>
      </w:pPr>
      <w:r>
        <w:rPr>
          <w:rFonts w:ascii="Liberation Sans" w:hAnsi="Liberation Sans" w:eastAsia="Liberation Sans"/>
        </w:rPr>
        <w:t>Conclusion opérationnelle</w:t>
      </w:r>
    </w:p>
    <w:p>
      <w:r>
        <w:rPr>
          <w:rFonts w:ascii="Liberation Sans" w:hAnsi="Liberation Sans" w:eastAsia="Liberation Sans"/>
        </w:rPr>
        <w:t>Le Projet Nova gagne en solidité si chaque document est rattaché à une fonction précise : doctrine politique, norme constitutionnelle, loi organique, loi ordinaire, règlement technique ou outil de transition. La priorité n’est pas d’ajouter encore plus de texte, mais de classer, simplifier, verrouiller et rendre chaque disposition vérifiable.</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center"/>
    </w:pPr>
    <w:r>
      <w:t>Version corrigée - sans références automatiques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Projet Nova - Plan maître de consolidation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ans" w:hAnsi="Liberation Sans" w:eastAsia="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Liberation Sans" w:hAnsi="Liberation Sans" w:eastAsia="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Text"/>
    <w:rPr>
      <w:rFonts w:ascii="Liberation Sans" w:hAnsi="Liberation Sans" w:eastAsia="Liberation San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maître de consolidation du Projet Nova</dc:title>
  <dc:subject>Version corrigée et nettoyée</dc:subject>
  <dc:creator>Projet Nova</dc:creator>
  <cp:keywords>Projet Nova, consolidation, corpus normatif</cp:keywords>
  <dc:description>Document corrigé, sans références automatiques ni métadonnées externes.</dc:description>
  <cp:lastModifiedBy/>
  <cp:revision>1</cp:revision>
  <dcterms:created xsi:type="dcterms:W3CDTF">2013-12-23T23:15:00Z</dcterms:created>
  <dcterms:modified xsi:type="dcterms:W3CDTF">2013-12-23T23:15:00Z</dcterms:modified>
  <cp:category/>
</cp:coreProperties>
</file>