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1488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234440" cy="1148849"/>
                    </a:xfrm>
                    <a:prstGeom prst="rect"/>
                  </pic:spPr>
                </pic:pic>
              </a:graphicData>
            </a:graphic>
          </wp:inline>
        </w:drawing>
      </w:r>
    </w:p>
    <w:p>
      <w:pPr>
        <w:jc w:val="center"/>
      </w:pPr>
      <w:r>
        <w:rPr>
          <w:b/>
          <w:color w:val="16365C"/>
          <w:sz w:val="44"/>
        </w:rPr>
        <w:t>PROJET NOVA</w:t>
      </w:r>
    </w:p>
    <w:p>
      <w:pPr>
        <w:jc w:val="center"/>
      </w:pPr>
      <w:r>
        <w:rPr>
          <w:b/>
          <w:color w:val="1F4E79"/>
          <w:sz w:val="30"/>
        </w:rPr>
        <w:t>DOCUMENT OFFICIEL - SYSTEME NOVA</w:t>
      </w:r>
    </w:p>
    <w:p>
      <w:pPr>
        <w:jc w:val="center"/>
      </w:pPr>
      <w:r>
        <w:rPr>
          <w:b/>
          <w:color w:val="16365C"/>
          <w:sz w:val="36"/>
        </w:rPr>
        <w:t>AUDIT DE DEFENSE CONSTITUTIONNELLE</w:t>
      </w:r>
    </w:p>
    <w:p>
      <w:pPr>
        <w:jc w:val="center"/>
      </w:pPr>
      <w:r>
        <w:rPr>
          <w:i/>
          <w:sz w:val="20"/>
        </w:rPr>
        <w:t>Tests de resistance institutionnelle, anti-contournement et protection contre les abus de pouvoir</w:t>
      </w:r>
    </w:p>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D9EAF7"/>
          </w:tcPr>
          <w:p>
            <w:r/>
            <w:r>
              <w:rPr>
                <w:b/>
                <w:sz w:val="15"/>
              </w:rPr>
              <w:t>Champ</w:t>
            </w:r>
          </w:p>
        </w:tc>
        <w:tc>
          <w:tcPr>
            <w:tcW w:type="dxa" w:w="8064"/>
            <w:vAlign w:val="center"/>
            <w:shd w:fill="D9EAF7"/>
          </w:tcPr>
          <w:p>
            <w:r/>
            <w:r>
              <w:rPr>
                <w:b/>
                <w:sz w:val="15"/>
              </w:rPr>
              <w:t>Description</w:t>
            </w:r>
          </w:p>
        </w:tc>
      </w:tr>
      <w:tr>
        <w:tc>
          <w:tcPr>
            <w:tcW w:type="dxa" w:w="2160"/>
            <w:vAlign w:val="center"/>
          </w:tcPr>
          <w:p>
            <w:r/>
            <w:r>
              <w:rPr>
                <w:b w:val="0"/>
                <w:sz w:val="14"/>
              </w:rPr>
              <w:t>Statut</w:t>
            </w:r>
          </w:p>
        </w:tc>
        <w:tc>
          <w:tcPr>
            <w:tcW w:type="dxa" w:w="8064"/>
            <w:vAlign w:val="center"/>
          </w:tcPr>
          <w:p>
            <w:r/>
            <w:r>
              <w:rPr>
                <w:b w:val="0"/>
                <w:sz w:val="14"/>
              </w:rPr>
              <w:t>Version officielle de travail</w:t>
            </w:r>
          </w:p>
        </w:tc>
      </w:tr>
      <w:tr>
        <w:tc>
          <w:tcPr>
            <w:tcW w:type="dxa" w:w="2160"/>
            <w:vAlign w:val="center"/>
          </w:tcPr>
          <w:p>
            <w:r/>
            <w:r>
              <w:rPr>
                <w:b w:val="0"/>
                <w:sz w:val="14"/>
              </w:rPr>
              <w:t>Fonction</w:t>
            </w:r>
          </w:p>
        </w:tc>
        <w:tc>
          <w:tcPr>
            <w:tcW w:type="dxa" w:w="8064"/>
            <w:vAlign w:val="center"/>
          </w:tcPr>
          <w:p>
            <w:r/>
            <w:r>
              <w:rPr>
                <w:b w:val="0"/>
                <w:sz w:val="14"/>
              </w:rPr>
              <w:t>Tester la robustesse du Systeme Nova contre la capture, la fraude institutionnelle, la manipulation electorale, la derive administrative et la surveillance abusive.</w:t>
            </w:r>
          </w:p>
        </w:tc>
      </w:tr>
      <w:tr>
        <w:tc>
          <w:tcPr>
            <w:tcW w:type="dxa" w:w="2160"/>
            <w:vAlign w:val="center"/>
          </w:tcPr>
          <w:p>
            <w:r/>
            <w:r>
              <w:rPr>
                <w:b w:val="0"/>
                <w:sz w:val="14"/>
              </w:rPr>
              <w:t>Portee</w:t>
            </w:r>
          </w:p>
        </w:tc>
        <w:tc>
          <w:tcPr>
            <w:tcW w:type="dxa" w:w="8064"/>
            <w:vAlign w:val="center"/>
          </w:tcPr>
          <w:p>
            <w:r/>
            <w:r>
              <w:rPr>
                <w:b w:val="0"/>
                <w:sz w:val="14"/>
              </w:rPr>
              <w:t>Constitution, normes fondamentales, lois organiques, lois administratives, lois ordinaires, reglements, volets de transition et corpus institutionnel.</w:t>
            </w:r>
          </w:p>
        </w:tc>
      </w:tr>
      <w:tr>
        <w:tc>
          <w:tcPr>
            <w:tcW w:type="dxa" w:w="2160"/>
            <w:vAlign w:val="center"/>
          </w:tcPr>
          <w:p>
            <w:r/>
            <w:r>
              <w:rPr>
                <w:b w:val="0"/>
                <w:sz w:val="14"/>
              </w:rPr>
              <w:t>Sortie attendue</w:t>
            </w:r>
          </w:p>
        </w:tc>
        <w:tc>
          <w:tcPr>
            <w:tcW w:type="dxa" w:w="8064"/>
            <w:vAlign w:val="center"/>
          </w:tcPr>
          <w:p>
            <w:r/>
            <w:r>
              <w:rPr>
                <w:b w:val="0"/>
                <w:sz w:val="14"/>
              </w:rPr>
              <w:t>Liste des defenses, correctifs, seuils d alerte et obligations de verification.</w:t>
            </w:r>
          </w:p>
        </w:tc>
      </w:tr>
    </w:tbl>
    <w:p/>
    <w:p>
      <w:r>
        <w:br w:type="page"/>
      </w:r>
    </w:p>
    <w:p>
      <w:pPr>
        <w:pStyle w:val="Heading1"/>
      </w:pPr>
      <w:r>
        <w:t>AVIS DE CONSOLIDATION</w:t>
      </w:r>
    </w:p>
    <w:p>
      <w:pPr>
        <w:pStyle w:val="NovaBody"/>
      </w:pPr>
      <w:r>
        <w:t>Le present document constitue l audit de defense constitutionnelle du Systeme Nova. Il ne remplace pas la Constitution, les lois organiques, les lois administratives, les lois ordinaires, les reglements ni les volets de transition. Il sert a verifier leur coherence defensive.</w:t>
      </w:r>
    </w:p>
    <w:p>
      <w:pPr>
        <w:pStyle w:val="NovaBody"/>
      </w:pPr>
      <w:r>
        <w:t>L objectif est de soumettre le Systeme Nova a des scenarios d abus afin d identifier les points de faiblesse, les protections obligatoires et les mecanismes de correction.</w:t>
      </w:r>
    </w:p>
    <w:p>
      <w:pPr>
        <w:pStyle w:val="NovaBody"/>
      </w:pPr>
      <w:r>
        <w:t>Un systeme politique ne doit pas seulement etre coherent sur papier. Il doit resister aux personnes qui tenteront de l utiliser contre son esprit, contre le peuple ou contre les garanties constitutionnelles.</w:t>
      </w:r>
    </w:p>
    <w:p>
      <w:pPr>
        <w:pStyle w:val="Heading1"/>
      </w:pPr>
      <w:r>
        <w:t>TABLE DE REPERAGE GENERALE</w:t>
      </w:r>
    </w:p>
    <w:tbl>
      <w:tblPr>
        <w:tblStyle w:val="TableGrid"/>
        <w:tblW w:type="auto" w:w="0"/>
        <w:jc w:val="center"/>
        <w:tblLook w:firstColumn="1" w:firstRow="1" w:lastColumn="0" w:lastRow="0" w:noHBand="0" w:noVBand="1" w:val="04A0"/>
      </w:tblPr>
      <w:tblGrid>
        <w:gridCol w:w="3389"/>
        <w:gridCol w:w="3389"/>
        <w:gridCol w:w="3389"/>
      </w:tblGrid>
      <w:tr>
        <w:tc>
          <w:tcPr>
            <w:tcW w:type="dxa" w:w="936"/>
            <w:vAlign w:val="center"/>
            <w:shd w:fill="D9EAF7"/>
          </w:tcPr>
          <w:p>
            <w:r/>
            <w:r>
              <w:rPr>
                <w:b/>
                <w:sz w:val="15"/>
              </w:rPr>
              <w:t>Partie</w:t>
            </w:r>
          </w:p>
        </w:tc>
        <w:tc>
          <w:tcPr>
            <w:tcW w:type="dxa" w:w="7200"/>
            <w:vAlign w:val="center"/>
            <w:shd w:fill="D9EAF7"/>
          </w:tcPr>
          <w:p>
            <w:r/>
            <w:r>
              <w:rPr>
                <w:b/>
                <w:sz w:val="15"/>
              </w:rPr>
              <w:t>Objet</w:t>
            </w:r>
          </w:p>
        </w:tc>
        <w:tc>
          <w:tcPr>
            <w:tcW w:type="dxa" w:w="1944"/>
            <w:vAlign w:val="center"/>
            <w:shd w:fill="D9EAF7"/>
          </w:tcPr>
          <w:p>
            <w:r/>
            <w:r>
              <w:rPr>
                <w:b/>
                <w:sz w:val="15"/>
              </w:rPr>
              <w:t>Articles</w:t>
            </w:r>
          </w:p>
        </w:tc>
      </w:tr>
      <w:tr>
        <w:tc>
          <w:tcPr>
            <w:tcW w:type="dxa" w:w="936"/>
            <w:vAlign w:val="center"/>
          </w:tcPr>
          <w:p>
            <w:r/>
            <w:r>
              <w:rPr>
                <w:b w:val="0"/>
                <w:sz w:val="14"/>
              </w:rPr>
              <w:t>I</w:t>
            </w:r>
          </w:p>
        </w:tc>
        <w:tc>
          <w:tcPr>
            <w:tcW w:type="dxa" w:w="7200"/>
            <w:vAlign w:val="center"/>
          </w:tcPr>
          <w:p>
            <w:r/>
            <w:r>
              <w:rPr>
                <w:b w:val="0"/>
                <w:sz w:val="14"/>
              </w:rPr>
              <w:t>Mission et methode de l audit</w:t>
            </w:r>
          </w:p>
        </w:tc>
        <w:tc>
          <w:tcPr>
            <w:tcW w:type="dxa" w:w="1944"/>
            <w:vAlign w:val="center"/>
          </w:tcPr>
          <w:p>
            <w:r/>
            <w:r>
              <w:rPr>
                <w:b w:val="0"/>
                <w:sz w:val="14"/>
              </w:rPr>
              <w:t>ADC-1 a ADC-10</w:t>
            </w:r>
          </w:p>
        </w:tc>
      </w:tr>
      <w:tr>
        <w:tc>
          <w:tcPr>
            <w:tcW w:type="dxa" w:w="936"/>
            <w:vAlign w:val="center"/>
          </w:tcPr>
          <w:p>
            <w:r/>
            <w:r>
              <w:rPr>
                <w:b w:val="0"/>
                <w:sz w:val="14"/>
              </w:rPr>
              <w:t>II</w:t>
            </w:r>
          </w:p>
        </w:tc>
        <w:tc>
          <w:tcPr>
            <w:tcW w:type="dxa" w:w="7200"/>
            <w:vAlign w:val="center"/>
          </w:tcPr>
          <w:p>
            <w:r/>
            <w:r>
              <w:rPr>
                <w:b w:val="0"/>
                <w:sz w:val="14"/>
              </w:rPr>
              <w:t>Menaces constitutionnelles</w:t>
            </w:r>
          </w:p>
        </w:tc>
        <w:tc>
          <w:tcPr>
            <w:tcW w:type="dxa" w:w="1944"/>
            <w:vAlign w:val="center"/>
          </w:tcPr>
          <w:p>
            <w:r/>
            <w:r>
              <w:rPr>
                <w:b w:val="0"/>
                <w:sz w:val="14"/>
              </w:rPr>
              <w:t>ADC-11 a ADC-20</w:t>
            </w:r>
          </w:p>
        </w:tc>
      </w:tr>
      <w:tr>
        <w:tc>
          <w:tcPr>
            <w:tcW w:type="dxa" w:w="936"/>
            <w:vAlign w:val="center"/>
          </w:tcPr>
          <w:p>
            <w:r/>
            <w:r>
              <w:rPr>
                <w:b w:val="0"/>
                <w:sz w:val="14"/>
              </w:rPr>
              <w:t>III</w:t>
            </w:r>
          </w:p>
        </w:tc>
        <w:tc>
          <w:tcPr>
            <w:tcW w:type="dxa" w:w="7200"/>
            <w:vAlign w:val="center"/>
          </w:tcPr>
          <w:p>
            <w:r/>
            <w:r>
              <w:rPr>
                <w:b w:val="0"/>
                <w:sz w:val="14"/>
              </w:rPr>
              <w:t>Defense de la souverainete populaire et du vote</w:t>
            </w:r>
          </w:p>
        </w:tc>
        <w:tc>
          <w:tcPr>
            <w:tcW w:type="dxa" w:w="1944"/>
            <w:vAlign w:val="center"/>
          </w:tcPr>
          <w:p>
            <w:r/>
            <w:r>
              <w:rPr>
                <w:b w:val="0"/>
                <w:sz w:val="14"/>
              </w:rPr>
              <w:t>ADC-21 a ADC-30</w:t>
            </w:r>
          </w:p>
        </w:tc>
      </w:tr>
      <w:tr>
        <w:tc>
          <w:tcPr>
            <w:tcW w:type="dxa" w:w="936"/>
            <w:vAlign w:val="center"/>
          </w:tcPr>
          <w:p>
            <w:r/>
            <w:r>
              <w:rPr>
                <w:b w:val="0"/>
                <w:sz w:val="14"/>
              </w:rPr>
              <w:t>IV</w:t>
            </w:r>
          </w:p>
        </w:tc>
        <w:tc>
          <w:tcPr>
            <w:tcW w:type="dxa" w:w="7200"/>
            <w:vAlign w:val="center"/>
          </w:tcPr>
          <w:p>
            <w:r/>
            <w:r>
              <w:rPr>
                <w:b w:val="0"/>
                <w:sz w:val="14"/>
              </w:rPr>
              <w:t>Defense contre la capture du gouvernement</w:t>
            </w:r>
          </w:p>
        </w:tc>
        <w:tc>
          <w:tcPr>
            <w:tcW w:type="dxa" w:w="1944"/>
            <w:vAlign w:val="center"/>
          </w:tcPr>
          <w:p>
            <w:r/>
            <w:r>
              <w:rPr>
                <w:b w:val="0"/>
                <w:sz w:val="14"/>
              </w:rPr>
              <w:t>ADC-31 a ADC-40</w:t>
            </w:r>
          </w:p>
        </w:tc>
      </w:tr>
      <w:tr>
        <w:tc>
          <w:tcPr>
            <w:tcW w:type="dxa" w:w="936"/>
            <w:vAlign w:val="center"/>
          </w:tcPr>
          <w:p>
            <w:r/>
            <w:r>
              <w:rPr>
                <w:b w:val="0"/>
                <w:sz w:val="14"/>
              </w:rPr>
              <w:t>V</w:t>
            </w:r>
          </w:p>
        </w:tc>
        <w:tc>
          <w:tcPr>
            <w:tcW w:type="dxa" w:w="7200"/>
            <w:vAlign w:val="center"/>
          </w:tcPr>
          <w:p>
            <w:r/>
            <w:r>
              <w:rPr>
                <w:b w:val="0"/>
                <w:sz w:val="14"/>
              </w:rPr>
              <w:t>Defense administrative et bureaucratique</w:t>
            </w:r>
          </w:p>
        </w:tc>
        <w:tc>
          <w:tcPr>
            <w:tcW w:type="dxa" w:w="1944"/>
            <w:vAlign w:val="center"/>
          </w:tcPr>
          <w:p>
            <w:r/>
            <w:r>
              <w:rPr>
                <w:b w:val="0"/>
                <w:sz w:val="14"/>
              </w:rPr>
              <w:t>ADC-41 a ADC-50</w:t>
            </w:r>
          </w:p>
        </w:tc>
      </w:tr>
      <w:tr>
        <w:tc>
          <w:tcPr>
            <w:tcW w:type="dxa" w:w="936"/>
            <w:vAlign w:val="center"/>
          </w:tcPr>
          <w:p>
            <w:r/>
            <w:r>
              <w:rPr>
                <w:b w:val="0"/>
                <w:sz w:val="14"/>
              </w:rPr>
              <w:t>VI</w:t>
            </w:r>
          </w:p>
        </w:tc>
        <w:tc>
          <w:tcPr>
            <w:tcW w:type="dxa" w:w="7200"/>
            <w:vAlign w:val="center"/>
          </w:tcPr>
          <w:p>
            <w:r/>
            <w:r>
              <w:rPr>
                <w:b w:val="0"/>
                <w:sz w:val="14"/>
              </w:rPr>
              <w:t>Defense financiere, contrats et corruption</w:t>
            </w:r>
          </w:p>
        </w:tc>
        <w:tc>
          <w:tcPr>
            <w:tcW w:type="dxa" w:w="1944"/>
            <w:vAlign w:val="center"/>
          </w:tcPr>
          <w:p>
            <w:r/>
            <w:r>
              <w:rPr>
                <w:b w:val="0"/>
                <w:sz w:val="14"/>
              </w:rPr>
              <w:t>ADC-51 a ADC-60</w:t>
            </w:r>
          </w:p>
        </w:tc>
      </w:tr>
      <w:tr>
        <w:tc>
          <w:tcPr>
            <w:tcW w:type="dxa" w:w="936"/>
            <w:vAlign w:val="center"/>
          </w:tcPr>
          <w:p>
            <w:r/>
            <w:r>
              <w:rPr>
                <w:b w:val="0"/>
                <w:sz w:val="14"/>
              </w:rPr>
              <w:t>VII</w:t>
            </w:r>
          </w:p>
        </w:tc>
        <w:tc>
          <w:tcPr>
            <w:tcW w:type="dxa" w:w="7200"/>
            <w:vAlign w:val="center"/>
          </w:tcPr>
          <w:p>
            <w:r/>
            <w:r>
              <w:rPr>
                <w:b w:val="0"/>
                <w:sz w:val="14"/>
              </w:rPr>
              <w:t>Defense des droits et libertes</w:t>
            </w:r>
          </w:p>
        </w:tc>
        <w:tc>
          <w:tcPr>
            <w:tcW w:type="dxa" w:w="1944"/>
            <w:vAlign w:val="center"/>
          </w:tcPr>
          <w:p>
            <w:r/>
            <w:r>
              <w:rPr>
                <w:b w:val="0"/>
                <w:sz w:val="14"/>
              </w:rPr>
              <w:t>ADC-61 a ADC-70</w:t>
            </w:r>
          </w:p>
        </w:tc>
      </w:tr>
      <w:tr>
        <w:tc>
          <w:tcPr>
            <w:tcW w:type="dxa" w:w="936"/>
            <w:vAlign w:val="center"/>
          </w:tcPr>
          <w:p>
            <w:r/>
            <w:r>
              <w:rPr>
                <w:b w:val="0"/>
                <w:sz w:val="14"/>
              </w:rPr>
              <w:t>VIII</w:t>
            </w:r>
          </w:p>
        </w:tc>
        <w:tc>
          <w:tcPr>
            <w:tcW w:type="dxa" w:w="7200"/>
            <w:vAlign w:val="center"/>
          </w:tcPr>
          <w:p>
            <w:r/>
            <w:r>
              <w:rPr>
                <w:b w:val="0"/>
                <w:sz w:val="14"/>
              </w:rPr>
              <w:t>Defense numerique, donnees et IA</w:t>
            </w:r>
          </w:p>
        </w:tc>
        <w:tc>
          <w:tcPr>
            <w:tcW w:type="dxa" w:w="1944"/>
            <w:vAlign w:val="center"/>
          </w:tcPr>
          <w:p>
            <w:r/>
            <w:r>
              <w:rPr>
                <w:b w:val="0"/>
                <w:sz w:val="14"/>
              </w:rPr>
              <w:t>ADC-71 a ADC-80</w:t>
            </w:r>
          </w:p>
        </w:tc>
      </w:tr>
      <w:tr>
        <w:tc>
          <w:tcPr>
            <w:tcW w:type="dxa" w:w="936"/>
            <w:vAlign w:val="center"/>
          </w:tcPr>
          <w:p>
            <w:r/>
            <w:r>
              <w:rPr>
                <w:b w:val="0"/>
                <w:sz w:val="14"/>
              </w:rPr>
              <w:t>IX</w:t>
            </w:r>
          </w:p>
        </w:tc>
        <w:tc>
          <w:tcPr>
            <w:tcW w:type="dxa" w:w="7200"/>
            <w:vAlign w:val="center"/>
          </w:tcPr>
          <w:p>
            <w:r/>
            <w:r>
              <w:rPr>
                <w:b w:val="0"/>
                <w:sz w:val="14"/>
              </w:rPr>
              <w:t>Defense de la transition et de la souverainete</w:t>
            </w:r>
          </w:p>
        </w:tc>
        <w:tc>
          <w:tcPr>
            <w:tcW w:type="dxa" w:w="1944"/>
            <w:vAlign w:val="center"/>
          </w:tcPr>
          <w:p>
            <w:r/>
            <w:r>
              <w:rPr>
                <w:b w:val="0"/>
                <w:sz w:val="14"/>
              </w:rPr>
              <w:t>ADC-81 a ADC-90</w:t>
            </w:r>
          </w:p>
        </w:tc>
      </w:tr>
      <w:tr>
        <w:tc>
          <w:tcPr>
            <w:tcW w:type="dxa" w:w="936"/>
            <w:vAlign w:val="center"/>
          </w:tcPr>
          <w:p>
            <w:r/>
            <w:r>
              <w:rPr>
                <w:b w:val="0"/>
                <w:sz w:val="14"/>
              </w:rPr>
              <w:t>X</w:t>
            </w:r>
          </w:p>
        </w:tc>
        <w:tc>
          <w:tcPr>
            <w:tcW w:type="dxa" w:w="7200"/>
            <w:vAlign w:val="center"/>
          </w:tcPr>
          <w:p>
            <w:r/>
            <w:r>
              <w:rPr>
                <w:b w:val="0"/>
                <w:sz w:val="14"/>
              </w:rPr>
              <w:t>Tests, indicateurs et clause finale</w:t>
            </w:r>
          </w:p>
        </w:tc>
        <w:tc>
          <w:tcPr>
            <w:tcW w:type="dxa" w:w="1944"/>
            <w:vAlign w:val="center"/>
          </w:tcPr>
          <w:p>
            <w:r/>
            <w:r>
              <w:rPr>
                <w:b w:val="0"/>
                <w:sz w:val="14"/>
              </w:rPr>
              <w:t>ADC-91 a ADC-100</w:t>
            </w:r>
          </w:p>
        </w:tc>
      </w:tr>
    </w:tbl>
    <w:p/>
    <w:p>
      <w:pPr>
        <w:pStyle w:val="Heading1"/>
      </w:pPr>
      <w:r>
        <w:t>PARTIE I - MISSION ET METHODE DE L AUDIT</w:t>
      </w:r>
    </w:p>
    <w:p>
      <w:pPr>
        <w:pStyle w:val="NovaArticle"/>
      </w:pPr>
      <w:r>
        <w:rPr>
          <w:b/>
          <w:color w:val="16365C"/>
        </w:rPr>
        <w:t>ADC-1. Objet de l audit</w:t>
      </w:r>
    </w:p>
    <w:p>
      <w:pPr>
        <w:pStyle w:val="NovaBody"/>
      </w:pPr>
      <w:r>
        <w:t>L audit verifie si le Systeme Nova peut resister a des abus de pouvoir, a des manipulations institutionnelles et a des contournements des garanties fondamentales.</w:t>
      </w:r>
    </w:p>
    <w:p>
      <w:pPr>
        <w:pStyle w:val="NovaArticle"/>
      </w:pPr>
      <w:r>
        <w:rPr>
          <w:b/>
          <w:color w:val="16365C"/>
        </w:rPr>
        <w:t>ADC-2. Principe de defense constitutionnelle</w:t>
      </w:r>
    </w:p>
    <w:p>
      <w:pPr>
        <w:pStyle w:val="NovaBody"/>
      </w:pPr>
      <w:r>
        <w:t>Une Constitution utile doit empecher le pouvoir de se proteger lui-meme contre le peuple.</w:t>
      </w:r>
    </w:p>
    <w:p>
      <w:pPr>
        <w:pStyle w:val="NovaArticle"/>
      </w:pPr>
      <w:r>
        <w:rPr>
          <w:b/>
          <w:color w:val="16365C"/>
        </w:rPr>
        <w:t>ADC-3. Champ d application</w:t>
      </w:r>
    </w:p>
    <w:p>
      <w:pPr>
        <w:pStyle w:val="NovaBody"/>
      </w:pPr>
      <w:r>
        <w:t>L audit vise les institutions, le vote, les finances, l administration, les contrats, le numerique, la transition, les droits et les services essentiels.</w:t>
      </w:r>
    </w:p>
    <w:p>
      <w:pPr>
        <w:pStyle w:val="NovaArticle"/>
      </w:pPr>
      <w:r>
        <w:rPr>
          <w:b/>
          <w:color w:val="16365C"/>
        </w:rPr>
        <w:t>ADC-4. Methode par scenario</w:t>
      </w:r>
    </w:p>
    <w:p>
      <w:pPr>
        <w:pStyle w:val="NovaBody"/>
      </w:pPr>
      <w:r>
        <w:t>Chaque defense doit etre testee par scenario: abus possible, faiblesse exploitee, dommage, correctif et responsable du controle.</w:t>
      </w:r>
    </w:p>
    <w:p>
      <w:pPr>
        <w:pStyle w:val="NovaArticle"/>
      </w:pPr>
      <w:r>
        <w:rPr>
          <w:b/>
          <w:color w:val="16365C"/>
        </w:rPr>
        <w:t>ADC-5. Hierarchie de verification</w:t>
      </w:r>
    </w:p>
    <w:p>
      <w:pPr>
        <w:pStyle w:val="NovaBody"/>
      </w:pPr>
      <w:r>
        <w:t>La verification suit l ordre suivant: Constitution, normes fondamentales, lois organiques, lois administratives, lois ordinaires, reglements, procedures.</w:t>
      </w:r>
    </w:p>
    <w:p>
      <w:pPr>
        <w:pStyle w:val="NovaArticle"/>
      </w:pPr>
      <w:r>
        <w:rPr>
          <w:b/>
          <w:color w:val="16365C"/>
        </w:rPr>
        <w:t>ADC-6. Exigence de traçabilite</w:t>
      </w:r>
    </w:p>
    <w:p>
      <w:pPr>
        <w:pStyle w:val="NovaBody"/>
      </w:pPr>
      <w:r>
        <w:t>Toute mesure de defense doit produire une trace: decision, responsable, date, justification, base normative et recours possible.</w:t>
      </w:r>
    </w:p>
    <w:p>
      <w:pPr>
        <w:pStyle w:val="NovaArticle"/>
      </w:pPr>
      <w:r>
        <w:rPr>
          <w:b/>
          <w:color w:val="16365C"/>
        </w:rPr>
        <w:t>ADC-7. Refus du controle cosmetique</w:t>
      </w:r>
    </w:p>
    <w:p>
      <w:pPr>
        <w:pStyle w:val="NovaBody"/>
      </w:pPr>
      <w:r>
        <w:t>Une defense qui existe seulement dans un texte mais sans autorite, sanction ni recours est consideree insuffisante.</w:t>
      </w:r>
    </w:p>
    <w:p>
      <w:pPr>
        <w:pStyle w:val="NovaArticle"/>
      </w:pPr>
      <w:r>
        <w:rPr>
          <w:b/>
          <w:color w:val="16365C"/>
        </w:rPr>
        <w:t>ADC-8. Seuils d alerte</w:t>
      </w:r>
    </w:p>
    <w:p>
      <w:pPr>
        <w:pStyle w:val="NovaBody"/>
      </w:pPr>
      <w:r>
        <w:t>Les seuils d alerte doivent etre definis avant la crise, afin d eviter les reactions arbitraires et les interpretations opportunistes.</w:t>
      </w:r>
    </w:p>
    <w:p>
      <w:pPr>
        <w:pStyle w:val="NovaArticle"/>
      </w:pPr>
      <w:r>
        <w:rPr>
          <w:b/>
          <w:color w:val="16365C"/>
        </w:rPr>
        <w:t>ADC-9. Independance du controle</w:t>
      </w:r>
    </w:p>
    <w:p>
      <w:pPr>
        <w:pStyle w:val="NovaBody"/>
      </w:pPr>
      <w:r>
        <w:t>Les organes de controle ne doivent pas dependre politiquement des personnes qu ils surveillent.</w:t>
      </w:r>
    </w:p>
    <w:p>
      <w:pPr>
        <w:pStyle w:val="NovaArticle"/>
      </w:pPr>
      <w:r>
        <w:rPr>
          <w:b/>
          <w:color w:val="16365C"/>
        </w:rPr>
        <w:t>ADC-10. Obligation de revision</w:t>
      </w:r>
    </w:p>
    <w:p>
      <w:pPr>
        <w:pStyle w:val="NovaBody"/>
      </w:pPr>
      <w:r>
        <w:t>Le present audit doit etre revise apres toute reforme majeure, crise institutionnelle, referendum ou changement constitutionnel.</w:t>
      </w:r>
    </w:p>
    <w:p>
      <w:pPr>
        <w:pStyle w:val="Heading1"/>
      </w:pPr>
      <w:r>
        <w:t>PARTIE II - MENACES CONSTITUTIONNELLES</w:t>
      </w:r>
    </w:p>
    <w:p>
      <w:pPr>
        <w:pStyle w:val="NovaArticle"/>
      </w:pPr>
      <w:r>
        <w:rPr>
          <w:b/>
          <w:color w:val="16365C"/>
        </w:rPr>
        <w:t>ADC-11. Contournement par loi ordinaire</w:t>
      </w:r>
    </w:p>
    <w:p>
      <w:pPr>
        <w:pStyle w:val="NovaBody"/>
      </w:pPr>
      <w:r>
        <w:t>Une loi ordinaire ne doit pas pouvoir neutraliser une garantie constitutionnelle sous pretexte de precision technique.</w:t>
      </w:r>
    </w:p>
    <w:p>
      <w:pPr>
        <w:pStyle w:val="NovaArticle"/>
      </w:pPr>
      <w:r>
        <w:rPr>
          <w:b/>
          <w:color w:val="16365C"/>
        </w:rPr>
        <w:t>ADC-12. Contournement par reglement</w:t>
      </w:r>
    </w:p>
    <w:p>
      <w:pPr>
        <w:pStyle w:val="NovaBody"/>
      </w:pPr>
      <w:r>
        <w:t>Un reglement ne doit jamais reduire un droit, deplacer un pouvoir essentiel ou modifier la portee d une loi fondamentale.</w:t>
      </w:r>
    </w:p>
    <w:p>
      <w:pPr>
        <w:pStyle w:val="NovaArticle"/>
      </w:pPr>
      <w:r>
        <w:rPr>
          <w:b/>
          <w:color w:val="16365C"/>
        </w:rPr>
        <w:t>ADC-13. Contournement par urgence</w:t>
      </w:r>
    </w:p>
    <w:p>
      <w:pPr>
        <w:pStyle w:val="NovaBody"/>
      </w:pPr>
      <w:r>
        <w:t>L urgence ne doit pas devenir une Constitution parallele. Toute mesure exceptionnelle doit etre limitee, motivee, publiee et contestable.</w:t>
      </w:r>
    </w:p>
    <w:p>
      <w:pPr>
        <w:pStyle w:val="NovaArticle"/>
      </w:pPr>
      <w:r>
        <w:rPr>
          <w:b/>
          <w:color w:val="16365C"/>
        </w:rPr>
        <w:t>ADC-14. Contournement par silence administratif</w:t>
      </w:r>
    </w:p>
    <w:p>
      <w:pPr>
        <w:pStyle w:val="NovaBody"/>
      </w:pPr>
      <w:r>
        <w:t>L absence de decision, les delais excessifs et les refus implicites doivent etre reconnus comme risques constitutionnels lorsque des droits sont touches.</w:t>
      </w:r>
    </w:p>
    <w:p>
      <w:pPr>
        <w:pStyle w:val="NovaArticle"/>
      </w:pPr>
      <w:r>
        <w:rPr>
          <w:b/>
          <w:color w:val="16365C"/>
        </w:rPr>
        <w:t>ADC-15. Contournement par delegation</w:t>
      </w:r>
    </w:p>
    <w:p>
      <w:pPr>
        <w:pStyle w:val="NovaBody"/>
      </w:pPr>
      <w:r>
        <w:t>Le gouvernement ne doit pas transferer a un organisme ou a un fournisseur prive un pouvoir qu il ne pourrait pas exercer directement.</w:t>
      </w:r>
    </w:p>
    <w:p>
      <w:pPr>
        <w:pStyle w:val="NovaArticle"/>
      </w:pPr>
      <w:r>
        <w:rPr>
          <w:b/>
          <w:color w:val="16365C"/>
        </w:rPr>
        <w:t>ADC-16. Contournement par interpretation</w:t>
      </w:r>
    </w:p>
    <w:p>
      <w:pPr>
        <w:pStyle w:val="NovaBody"/>
      </w:pPr>
      <w:r>
        <w:t>Les interpretations administratives doivent respecter la finalite constitutionnelle, non seulement la lettre minimale du texte.</w:t>
      </w:r>
    </w:p>
    <w:p>
      <w:pPr>
        <w:pStyle w:val="NovaArticle"/>
      </w:pPr>
      <w:r>
        <w:rPr>
          <w:b/>
          <w:color w:val="16365C"/>
        </w:rPr>
        <w:t>ADC-17. Contournement par financement</w:t>
      </w:r>
    </w:p>
    <w:p>
      <w:pPr>
        <w:pStyle w:val="NovaBody"/>
      </w:pPr>
      <w:r>
        <w:t>Un droit peut etre vide de sens si l institution responsable n a pas les moyens de fonctionner. Le financement critique doit etre protege.</w:t>
      </w:r>
    </w:p>
    <w:p>
      <w:pPr>
        <w:pStyle w:val="NovaArticle"/>
      </w:pPr>
      <w:r>
        <w:rPr>
          <w:b/>
          <w:color w:val="16365C"/>
        </w:rPr>
        <w:t>ADC-18. Contournement par nomination</w:t>
      </w:r>
    </w:p>
    <w:p>
      <w:pPr>
        <w:pStyle w:val="NovaBody"/>
      </w:pPr>
      <w:r>
        <w:t>Les nominations strategiques doivent etre protegees contre la partisanerie, la dependance personnelle et les conflits d interets.</w:t>
      </w:r>
    </w:p>
    <w:p>
      <w:pPr>
        <w:pStyle w:val="NovaArticle"/>
      </w:pPr>
      <w:r>
        <w:rPr>
          <w:b/>
          <w:color w:val="16365C"/>
        </w:rPr>
        <w:t>ADC-19. Contournement par fragmentation</w:t>
      </w:r>
    </w:p>
    <w:p>
      <w:pPr>
        <w:pStyle w:val="NovaBody"/>
      </w:pPr>
      <w:r>
        <w:t>Diviser une decision entre plusieurs organismes ne doit pas servir a faire disparaitre la responsabilite politique ou juridique.</w:t>
      </w:r>
    </w:p>
    <w:p>
      <w:pPr>
        <w:pStyle w:val="NovaArticle"/>
      </w:pPr>
      <w:r>
        <w:rPr>
          <w:b/>
          <w:color w:val="16365C"/>
        </w:rPr>
        <w:t>ADC-20. Correctif constitutionnel general</w:t>
      </w:r>
    </w:p>
    <w:p>
      <w:pPr>
        <w:pStyle w:val="NovaBody"/>
      </w:pPr>
      <w:r>
        <w:t>Toute atteinte indirecte a une garantie fondamentale doit etre soumise a un test de necessite, proportionnalite, publicite, recours et duree limitee.</w:t>
      </w:r>
    </w:p>
    <w:p>
      <w:pPr>
        <w:pStyle w:val="Heading1"/>
      </w:pPr>
      <w:r>
        <w:t>PARTIE III - DEFENSE DE LA SOUVERAINETE POPULAIRE ET DU VOTE</w:t>
      </w:r>
    </w:p>
    <w:p>
      <w:pPr>
        <w:pStyle w:val="NovaArticle"/>
      </w:pPr>
      <w:r>
        <w:rPr>
          <w:b/>
          <w:color w:val="16365C"/>
        </w:rPr>
        <w:t>ADC-21. Vote hors controle gouvernemental</w:t>
      </w:r>
    </w:p>
    <w:p>
      <w:pPr>
        <w:pStyle w:val="NovaBody"/>
      </w:pPr>
      <w:r>
        <w:t>L autorite electorale doit demeurer independante du gouvernement, des partis, des ministres, des lobbies et des fournisseurs uniques.</w:t>
      </w:r>
    </w:p>
    <w:p>
      <w:pPr>
        <w:pStyle w:val="NovaArticle"/>
      </w:pPr>
      <w:r>
        <w:rPr>
          <w:b/>
          <w:color w:val="16365C"/>
        </w:rPr>
        <w:t>ADC-22. Budget electoral protege</w:t>
      </w:r>
    </w:p>
    <w:p>
      <w:pPr>
        <w:pStyle w:val="NovaBody"/>
      </w:pPr>
      <w:r>
        <w:t>Le budget minimal de l autorite electorale doit etre protege afin d eviter la pression politique par sous-financement.</w:t>
      </w:r>
    </w:p>
    <w:p>
      <w:pPr>
        <w:pStyle w:val="NovaArticle"/>
      </w:pPr>
      <w:r>
        <w:rPr>
          <w:b/>
          <w:color w:val="16365C"/>
        </w:rPr>
        <w:t>ADC-23. Certification des resultats</w:t>
      </w:r>
    </w:p>
    <w:p>
      <w:pPr>
        <w:pStyle w:val="NovaBody"/>
      </w:pPr>
      <w:r>
        <w:t>Les resultats electoraux et referendaires doivent etre certifies selon une procedure publique, auditable et contestable.</w:t>
      </w:r>
    </w:p>
    <w:p>
      <w:pPr>
        <w:pStyle w:val="NovaArticle"/>
      </w:pPr>
      <w:r>
        <w:rPr>
          <w:b/>
          <w:color w:val="16365C"/>
        </w:rPr>
        <w:t>ADC-24. Vote technologique</w:t>
      </w:r>
    </w:p>
    <w:p>
      <w:pPr>
        <w:pStyle w:val="NovaBody"/>
      </w:pPr>
      <w:r>
        <w:t>Tout vote technologique doit conserver une preuve verifiable, un audit independant, une option non numerique et une protection du secret du vote.</w:t>
      </w:r>
    </w:p>
    <w:p>
      <w:pPr>
        <w:pStyle w:val="NovaArticle"/>
      </w:pPr>
      <w:r>
        <w:rPr>
          <w:b/>
          <w:color w:val="16365C"/>
        </w:rPr>
        <w:t>ADC-25. Referendum clair</w:t>
      </w:r>
    </w:p>
    <w:p>
      <w:pPr>
        <w:pStyle w:val="NovaBody"/>
      </w:pPr>
      <w:r>
        <w:t>Une question referendaire doit etre claire, unique, comprehensible et accompagnee d une information equilibree.</w:t>
      </w:r>
    </w:p>
    <w:p>
      <w:pPr>
        <w:pStyle w:val="NovaArticle"/>
      </w:pPr>
      <w:r>
        <w:rPr>
          <w:b/>
          <w:color w:val="16365C"/>
        </w:rPr>
        <w:t>ADC-26. Financement politique</w:t>
      </w:r>
    </w:p>
    <w:p>
      <w:pPr>
        <w:pStyle w:val="NovaBody"/>
      </w:pPr>
      <w:r>
        <w:t>Le financement des campagnes doit etre transparent, limite, traçable et protege contre les prete-noms et les influences etrangeres.</w:t>
      </w:r>
    </w:p>
    <w:p>
      <w:pPr>
        <w:pStyle w:val="NovaArticle"/>
      </w:pPr>
      <w:r>
        <w:rPr>
          <w:b/>
          <w:color w:val="16365C"/>
        </w:rPr>
        <w:t>ADC-27. Initiatives citoyennes</w:t>
      </w:r>
    </w:p>
    <w:p>
      <w:pPr>
        <w:pStyle w:val="NovaBody"/>
      </w:pPr>
      <w:r>
        <w:t>Les initiatives citoyennes ne doivent pas etre bloquees par des seuils artificiellement impossibles ou par des delais administratifs abusifs.</w:t>
      </w:r>
    </w:p>
    <w:p>
      <w:pPr>
        <w:pStyle w:val="NovaArticle"/>
      </w:pPr>
      <w:r>
        <w:rPr>
          <w:b/>
          <w:color w:val="16365C"/>
        </w:rPr>
        <w:t>ADC-28. Revocation encadree</w:t>
      </w:r>
    </w:p>
    <w:p>
      <w:pPr>
        <w:pStyle w:val="NovaBody"/>
      </w:pPr>
      <w:r>
        <w:t>La revocation doit proteger le peuple contre les elus fautifs sans devenir un outil de destabilisation permanente.</w:t>
      </w:r>
    </w:p>
    <w:p>
      <w:pPr>
        <w:pStyle w:val="NovaArticle"/>
      </w:pPr>
      <w:r>
        <w:rPr>
          <w:b/>
          <w:color w:val="16365C"/>
        </w:rPr>
        <w:t>ADC-29. Acceptation sociale</w:t>
      </w:r>
    </w:p>
    <w:p>
      <w:pPr>
        <w:pStyle w:val="NovaBody"/>
      </w:pPr>
      <w:r>
        <w:t>L acceptation sociale ne peut pas remplacer un vote ou referendum lorsque le Systeme Nova exige une decision populaire formelle.</w:t>
      </w:r>
    </w:p>
    <w:p>
      <w:pPr>
        <w:pStyle w:val="NovaArticle"/>
      </w:pPr>
      <w:r>
        <w:rPr>
          <w:b/>
          <w:color w:val="16365C"/>
        </w:rPr>
        <w:t>ADC-30. Alerte democratique</w:t>
      </w:r>
    </w:p>
    <w:p>
      <w:pPr>
        <w:pStyle w:val="NovaBody"/>
      </w:pPr>
      <w:r>
        <w:t>Toute tentative de modifier les regles electorales a l avantage du gouvernement declenche une alerte constitutionnelle prioritaire.</w:t>
      </w:r>
    </w:p>
    <w:p>
      <w:pPr>
        <w:pStyle w:val="Heading1"/>
      </w:pPr>
      <w:r>
        <w:t>PARTIE IV - DEFENSE CONTRE LA CAPTURE DU GOUVERNEMENT</w:t>
      </w:r>
    </w:p>
    <w:p>
      <w:pPr>
        <w:pStyle w:val="NovaArticle"/>
      </w:pPr>
      <w:r>
        <w:rPr>
          <w:b/>
          <w:color w:val="16365C"/>
        </w:rPr>
        <w:t>ADC-31. Capture par le chef</w:t>
      </w:r>
    </w:p>
    <w:p>
      <w:pPr>
        <w:pStyle w:val="NovaBody"/>
      </w:pPr>
      <w:r>
        <w:t>Le Systeme Nova doit empecher qu un chef concentre les pouvoirs de nomination, budget, discipline, communication et candidature.</w:t>
      </w:r>
    </w:p>
    <w:p>
      <w:pPr>
        <w:pStyle w:val="NovaArticle"/>
      </w:pPr>
      <w:r>
        <w:rPr>
          <w:b/>
          <w:color w:val="16365C"/>
        </w:rPr>
        <w:t>ADC-32. Capture par parti</w:t>
      </w:r>
    </w:p>
    <w:p>
      <w:pPr>
        <w:pStyle w:val="NovaBody"/>
      </w:pPr>
      <w:r>
        <w:t>Le parti au pouvoir ne doit pas confondre son interet avec l interet de l Etat ou du peuple.</w:t>
      </w:r>
    </w:p>
    <w:p>
      <w:pPr>
        <w:pStyle w:val="NovaArticle"/>
      </w:pPr>
      <w:r>
        <w:rPr>
          <w:b/>
          <w:color w:val="16365C"/>
        </w:rPr>
        <w:t>ADC-33. Capture par cabinet</w:t>
      </w:r>
    </w:p>
    <w:p>
      <w:pPr>
        <w:pStyle w:val="NovaBody"/>
      </w:pPr>
      <w:r>
        <w:t>Les cabinets politiques ne doivent pas devenir des centres occultes de decision non responsables devant les institutions.</w:t>
      </w:r>
    </w:p>
    <w:p>
      <w:pPr>
        <w:pStyle w:val="NovaArticle"/>
      </w:pPr>
      <w:r>
        <w:rPr>
          <w:b/>
          <w:color w:val="16365C"/>
        </w:rPr>
        <w:t>ADC-34. Capture par reseau financier</w:t>
      </w:r>
    </w:p>
    <w:p>
      <w:pPr>
        <w:pStyle w:val="NovaBody"/>
      </w:pPr>
      <w:r>
        <w:t>Les donneurs, fournisseurs et groupes economiques ne doivent pas obtenir de traitement privilegie en echange d appui politique.</w:t>
      </w:r>
    </w:p>
    <w:p>
      <w:pPr>
        <w:pStyle w:val="NovaArticle"/>
      </w:pPr>
      <w:r>
        <w:rPr>
          <w:b/>
          <w:color w:val="16365C"/>
        </w:rPr>
        <w:t>ADC-35. Capture par consultants</w:t>
      </w:r>
    </w:p>
    <w:p>
      <w:pPr>
        <w:pStyle w:val="NovaBody"/>
      </w:pPr>
      <w:r>
        <w:t>Les consultants ne doivent pas remplacer la responsabilite publique ni devenir proprietaires des orientations gouvernementales.</w:t>
      </w:r>
    </w:p>
    <w:p>
      <w:pPr>
        <w:pStyle w:val="NovaArticle"/>
      </w:pPr>
      <w:r>
        <w:rPr>
          <w:b/>
          <w:color w:val="16365C"/>
        </w:rPr>
        <w:t>ADC-36. Capture par haute administration</w:t>
      </w:r>
    </w:p>
    <w:p>
      <w:pPr>
        <w:pStyle w:val="NovaBody"/>
      </w:pPr>
      <w:r>
        <w:t>La haute administration ne doit pas bloquer silencieusement un mandat democratique legitime.</w:t>
      </w:r>
    </w:p>
    <w:p>
      <w:pPr>
        <w:pStyle w:val="NovaArticle"/>
      </w:pPr>
      <w:r>
        <w:rPr>
          <w:b/>
          <w:color w:val="16365C"/>
        </w:rPr>
        <w:t>ADC-37. Capture par organismes independants</w:t>
      </w:r>
    </w:p>
    <w:p>
      <w:pPr>
        <w:pStyle w:val="NovaBody"/>
      </w:pPr>
      <w:r>
        <w:t>L independance d un organisme ne doit pas devenir irresponsabilite, opacite ou pouvoir sans controle.</w:t>
      </w:r>
    </w:p>
    <w:p>
      <w:pPr>
        <w:pStyle w:val="NovaArticle"/>
      </w:pPr>
      <w:r>
        <w:rPr>
          <w:b/>
          <w:color w:val="16365C"/>
        </w:rPr>
        <w:t>ADC-38. Capture mediatique</w:t>
      </w:r>
    </w:p>
    <w:p>
      <w:pPr>
        <w:pStyle w:val="NovaBody"/>
      </w:pPr>
      <w:r>
        <w:t>Le gouvernement ne doit pas gouverner selon l image mediatique au detriment des faits et du mandat public.</w:t>
      </w:r>
    </w:p>
    <w:p>
      <w:pPr>
        <w:pStyle w:val="NovaArticle"/>
      </w:pPr>
      <w:r>
        <w:rPr>
          <w:b/>
          <w:color w:val="16365C"/>
        </w:rPr>
        <w:t>ADC-39. Capture ideologique</w:t>
      </w:r>
    </w:p>
    <w:p>
      <w:pPr>
        <w:pStyle w:val="NovaBody"/>
      </w:pPr>
      <w:r>
        <w:t>Aucune doctrine externe ne doit se substituer aux normes democratiques, constitutionnelles et populaires du Systeme Nova.</w:t>
      </w:r>
    </w:p>
    <w:p>
      <w:pPr>
        <w:pStyle w:val="NovaArticle"/>
      </w:pPr>
      <w:r>
        <w:rPr>
          <w:b/>
          <w:color w:val="16365C"/>
        </w:rPr>
        <w:t>ADC-40. Defense anti-capture</w:t>
      </w:r>
    </w:p>
    <w:p>
      <w:pPr>
        <w:pStyle w:val="NovaBody"/>
      </w:pPr>
      <w:r>
        <w:t>Toute concentration anormale de pouvoir doit etre signalee, documentee, corrigee et, si necessaire, soumise a enquete independante.</w:t>
      </w:r>
    </w:p>
    <w:p>
      <w:pPr>
        <w:pStyle w:val="Heading1"/>
      </w:pPr>
      <w:r>
        <w:t>PARTIE V - DEFENSE ADMINISTRATIVE ET BUREAUCRATIQUE</w:t>
      </w:r>
    </w:p>
    <w:p>
      <w:pPr>
        <w:pStyle w:val="NovaArticle"/>
      </w:pPr>
      <w:r>
        <w:rPr>
          <w:b/>
          <w:color w:val="16365C"/>
        </w:rPr>
        <w:t>ADC-41. Bureaucratie comme risque</w:t>
      </w:r>
    </w:p>
    <w:p>
      <w:pPr>
        <w:pStyle w:val="NovaBody"/>
      </w:pPr>
      <w:r>
        <w:t>La bureaucratie peut neutraliser une reforme par delais, complexite, formulaires, interpretations restrictives et renvois de responsabilite.</w:t>
      </w:r>
    </w:p>
    <w:p>
      <w:pPr>
        <w:pStyle w:val="NovaArticle"/>
      </w:pPr>
      <w:r>
        <w:rPr>
          <w:b/>
          <w:color w:val="16365C"/>
        </w:rPr>
        <w:t>ADC-42. Delais administratifs</w:t>
      </w:r>
    </w:p>
    <w:p>
      <w:pPr>
        <w:pStyle w:val="NovaBody"/>
      </w:pPr>
      <w:r>
        <w:t>Les delais doivent etre mesures, publies et associes a des responsables.</w:t>
      </w:r>
    </w:p>
    <w:p>
      <w:pPr>
        <w:pStyle w:val="NovaArticle"/>
      </w:pPr>
      <w:r>
        <w:rPr>
          <w:b/>
          <w:color w:val="16365C"/>
        </w:rPr>
        <w:t>ADC-43. Droit a une reponse</w:t>
      </w:r>
    </w:p>
    <w:p>
      <w:pPr>
        <w:pStyle w:val="NovaBody"/>
      </w:pPr>
      <w:r>
        <w:t>Un citoyen a droit a une reponse claire lorsqu une decision administrative affecte ses droits, son argent, son statut ou son acces a un service.</w:t>
      </w:r>
    </w:p>
    <w:p>
      <w:pPr>
        <w:pStyle w:val="NovaArticle"/>
      </w:pPr>
      <w:r>
        <w:rPr>
          <w:b/>
          <w:color w:val="16365C"/>
        </w:rPr>
        <w:t>ADC-44. Formulaires et procedures</w:t>
      </w:r>
    </w:p>
    <w:p>
      <w:pPr>
        <w:pStyle w:val="NovaBody"/>
      </w:pPr>
      <w:r>
        <w:t>Un formulaire ne doit pas ajouter une condition non prevue par la loi ou le reglement.</w:t>
      </w:r>
    </w:p>
    <w:p>
      <w:pPr>
        <w:pStyle w:val="NovaArticle"/>
      </w:pPr>
      <w:r>
        <w:rPr>
          <w:b/>
          <w:color w:val="16365C"/>
        </w:rPr>
        <w:t>ADC-45. Directives internes</w:t>
      </w:r>
    </w:p>
    <w:p>
      <w:pPr>
        <w:pStyle w:val="NovaBody"/>
      </w:pPr>
      <w:r>
        <w:t>Les directives internes qui affectent les citoyens doivent etre publiees, sauf exception limitee et justifiee.</w:t>
      </w:r>
    </w:p>
    <w:p>
      <w:pPr>
        <w:pStyle w:val="NovaArticle"/>
      </w:pPr>
      <w:r>
        <w:rPr>
          <w:b/>
          <w:color w:val="16365C"/>
        </w:rPr>
        <w:t>ADC-46. Recours administratif</w:t>
      </w:r>
    </w:p>
    <w:p>
      <w:pPr>
        <w:pStyle w:val="NovaBody"/>
      </w:pPr>
      <w:r>
        <w:t>Toute decision importante doit indiquer le recours disponible, le delai, l autorite competente et le fondement normatif.</w:t>
      </w:r>
    </w:p>
    <w:p>
      <w:pPr>
        <w:pStyle w:val="NovaArticle"/>
      </w:pPr>
      <w:r>
        <w:rPr>
          <w:b/>
          <w:color w:val="16365C"/>
        </w:rPr>
        <w:t>ADC-47. Service humain</w:t>
      </w:r>
    </w:p>
    <w:p>
      <w:pPr>
        <w:pStyle w:val="NovaBody"/>
      </w:pPr>
      <w:r>
        <w:t>L automatisation ne doit pas supprimer l acces humain lorsque les consequences sont graves.</w:t>
      </w:r>
    </w:p>
    <w:p>
      <w:pPr>
        <w:pStyle w:val="NovaArticle"/>
      </w:pPr>
      <w:r>
        <w:rPr>
          <w:b/>
          <w:color w:val="16365C"/>
        </w:rPr>
        <w:t>ADC-48. Responsabilite nommee</w:t>
      </w:r>
    </w:p>
    <w:p>
      <w:pPr>
        <w:pStyle w:val="NovaBody"/>
      </w:pPr>
      <w:r>
        <w:t>Chaque programme critique doit avoir un responsable identifiable.</w:t>
      </w:r>
    </w:p>
    <w:p>
      <w:pPr>
        <w:pStyle w:val="NovaArticle"/>
      </w:pPr>
      <w:r>
        <w:rPr>
          <w:b/>
          <w:color w:val="16365C"/>
        </w:rPr>
        <w:t>ADC-49. Audit de simplification</w:t>
      </w:r>
    </w:p>
    <w:p>
      <w:pPr>
        <w:pStyle w:val="NovaBody"/>
      </w:pPr>
      <w:r>
        <w:t>Les procedures administratives doivent etre soumises a un audit de simplification periodique.</w:t>
      </w:r>
    </w:p>
    <w:p>
      <w:pPr>
        <w:pStyle w:val="NovaArticle"/>
      </w:pPr>
      <w:r>
        <w:rPr>
          <w:b/>
          <w:color w:val="16365C"/>
        </w:rPr>
        <w:t>ADC-50. Defense administrative</w:t>
      </w:r>
    </w:p>
    <w:p>
      <w:pPr>
        <w:pStyle w:val="NovaBody"/>
      </w:pPr>
      <w:r>
        <w:t>Une administration qui contredit l esprit du Systeme Nova doit etre corrigee par directive publique, revision reglementaire ou modification legislative.</w:t>
      </w:r>
    </w:p>
    <w:p>
      <w:pPr>
        <w:pStyle w:val="Heading1"/>
      </w:pPr>
      <w:r>
        <w:t>PARTIE VI - DEFENSE FINANCIERE, CONTRATS ET CORRUPTION</w:t>
      </w:r>
    </w:p>
    <w:p>
      <w:pPr>
        <w:pStyle w:val="NovaArticle"/>
      </w:pPr>
      <w:r>
        <w:rPr>
          <w:b/>
          <w:color w:val="16365C"/>
        </w:rPr>
        <w:t>ADC-51. Argent public</w:t>
      </w:r>
    </w:p>
    <w:p>
      <w:pPr>
        <w:pStyle w:val="NovaBody"/>
      </w:pPr>
      <w:r>
        <w:t>L argent public appartient au peuple. Toute depense importante doit etre justifiee, traçable et evaluable.</w:t>
      </w:r>
    </w:p>
    <w:p>
      <w:pPr>
        <w:pStyle w:val="NovaArticle"/>
      </w:pPr>
      <w:r>
        <w:rPr>
          <w:b/>
          <w:color w:val="16365C"/>
        </w:rPr>
        <w:t>ADC-52. Contrats publics</w:t>
      </w:r>
    </w:p>
    <w:p>
      <w:pPr>
        <w:pStyle w:val="NovaBody"/>
      </w:pPr>
      <w:r>
        <w:t>Les contrats publics doivent etre soumis a transparence, concurrence, registre public et controle des conflits d interets.</w:t>
      </w:r>
    </w:p>
    <w:p>
      <w:pPr>
        <w:pStyle w:val="NovaArticle"/>
      </w:pPr>
      <w:r>
        <w:rPr>
          <w:b/>
          <w:color w:val="16365C"/>
        </w:rPr>
        <w:t>ADC-53. Dépassements de couts</w:t>
      </w:r>
    </w:p>
    <w:p>
      <w:pPr>
        <w:pStyle w:val="NovaBody"/>
      </w:pPr>
      <w:r>
        <w:t>Les depassements de couts doivent declencher une justification publique et une revision de gouvernance.</w:t>
      </w:r>
    </w:p>
    <w:p>
      <w:pPr>
        <w:pStyle w:val="NovaArticle"/>
      </w:pPr>
      <w:r>
        <w:rPr>
          <w:b/>
          <w:color w:val="16365C"/>
        </w:rPr>
        <w:t>ADC-54. Subventions</w:t>
      </w:r>
    </w:p>
    <w:p>
      <w:pPr>
        <w:pStyle w:val="NovaBody"/>
      </w:pPr>
      <w:r>
        <w:t>Les subventions doivent avoir un objectif clair, un beneficiaire identifie, des criteres publics et une evaluation.</w:t>
      </w:r>
    </w:p>
    <w:p>
      <w:pPr>
        <w:pStyle w:val="NovaArticle"/>
      </w:pPr>
      <w:r>
        <w:rPr>
          <w:b/>
          <w:color w:val="16365C"/>
        </w:rPr>
        <w:t>ADC-55. Paradis fiscaux</w:t>
      </w:r>
    </w:p>
    <w:p>
      <w:pPr>
        <w:pStyle w:val="NovaBody"/>
      </w:pPr>
      <w:r>
        <w:t>Les fournisseurs lies a des structures fiscales opaques doivent etre soumis a une verification renforcee.</w:t>
      </w:r>
    </w:p>
    <w:p>
      <w:pPr>
        <w:pStyle w:val="NovaArticle"/>
      </w:pPr>
      <w:r>
        <w:rPr>
          <w:b/>
          <w:color w:val="16365C"/>
        </w:rPr>
        <w:t>ADC-56. Dépenses de prestige</w:t>
      </w:r>
    </w:p>
    <w:p>
      <w:pPr>
        <w:pStyle w:val="NovaBody"/>
      </w:pPr>
      <w:r>
        <w:t>Les depenses de prestige, voyages luxueux et avantages inutiles doivent etre interdits ou publies selon des criteres stricts.</w:t>
      </w:r>
    </w:p>
    <w:p>
      <w:pPr>
        <w:pStyle w:val="NovaArticle"/>
      </w:pPr>
      <w:r>
        <w:rPr>
          <w:b/>
          <w:color w:val="16365C"/>
        </w:rPr>
        <w:t>ADC-57. Avions privés</w:t>
      </w:r>
    </w:p>
    <w:p>
      <w:pPr>
        <w:pStyle w:val="NovaBody"/>
      </w:pPr>
      <w:r>
        <w:t>L utilisation d avions prives aux frais publics doit etre interdite sauf necessite exceptionnelle, publiee et verifiable.</w:t>
      </w:r>
    </w:p>
    <w:p>
      <w:pPr>
        <w:pStyle w:val="NovaArticle"/>
      </w:pPr>
      <w:r>
        <w:rPr>
          <w:b/>
          <w:color w:val="16365C"/>
        </w:rPr>
        <w:t>ADC-58. Corruption et favoritisme</w:t>
      </w:r>
    </w:p>
    <w:p>
      <w:pPr>
        <w:pStyle w:val="NovaBody"/>
      </w:pPr>
      <w:r>
        <w:t>La corruption, le favoritisme, les prete-noms et les retours d ascenseur doivent entrainer sanctions, exclusion et recuperation lorsque possible.</w:t>
      </w:r>
    </w:p>
    <w:p>
      <w:pPr>
        <w:pStyle w:val="NovaArticle"/>
      </w:pPr>
      <w:r>
        <w:rPr>
          <w:b/>
          <w:color w:val="16365C"/>
        </w:rPr>
        <w:t>ADC-59. Budget citoyen</w:t>
      </w:r>
    </w:p>
    <w:p>
      <w:pPr>
        <w:pStyle w:val="NovaBody"/>
      </w:pPr>
      <w:r>
        <w:t>Les budgets doivent etre presentes dans une version citoyenne qui permet de comprendre les priorites et les couts.</w:t>
      </w:r>
    </w:p>
    <w:p>
      <w:pPr>
        <w:pStyle w:val="NovaArticle"/>
      </w:pPr>
      <w:r>
        <w:rPr>
          <w:b/>
          <w:color w:val="16365C"/>
        </w:rPr>
        <w:t>ADC-60. Defense financiere</w:t>
      </w:r>
    </w:p>
    <w:p>
      <w:pPr>
        <w:pStyle w:val="NovaBody"/>
      </w:pPr>
      <w:r>
        <w:t>Toute depense qui ne peut pas etre expliquee clairement doit etre suspendue, revisee ou justifiee publiquement.</w:t>
      </w:r>
    </w:p>
    <w:p>
      <w:pPr>
        <w:pStyle w:val="Heading1"/>
      </w:pPr>
      <w:r>
        <w:t>PARTIE VII - DEFENSE DES DROITS ET LIBERTES</w:t>
      </w:r>
    </w:p>
    <w:p>
      <w:pPr>
        <w:pStyle w:val="NovaArticle"/>
      </w:pPr>
      <w:r>
        <w:rPr>
          <w:b/>
          <w:color w:val="16365C"/>
        </w:rPr>
        <w:t>ADC-61. Droits contre la majorite passagere</w:t>
      </w:r>
    </w:p>
    <w:p>
      <w:pPr>
        <w:pStyle w:val="NovaBody"/>
      </w:pPr>
      <w:r>
        <w:t>Les droits fondamentaux doivent proteger les citoyens contre les abus meme lorsqu un gouvernement detient une majorite.</w:t>
      </w:r>
    </w:p>
    <w:p>
      <w:pPr>
        <w:pStyle w:val="NovaArticle"/>
      </w:pPr>
      <w:r>
        <w:rPr>
          <w:b/>
          <w:color w:val="16365C"/>
        </w:rPr>
        <w:t>ADC-62. Liberte de conscience</w:t>
      </w:r>
    </w:p>
    <w:p>
      <w:pPr>
        <w:pStyle w:val="NovaBody"/>
      </w:pPr>
      <w:r>
        <w:t>L Etat ne doit pas imposer une pensee obligatoire, une doctrine ideologique ou une conformite morale forcee.</w:t>
      </w:r>
    </w:p>
    <w:p>
      <w:pPr>
        <w:pStyle w:val="NovaArticle"/>
      </w:pPr>
      <w:r>
        <w:rPr>
          <w:b/>
          <w:color w:val="16365C"/>
        </w:rPr>
        <w:t>ADC-63. Liberte d expression</w:t>
      </w:r>
    </w:p>
    <w:p>
      <w:pPr>
        <w:pStyle w:val="NovaBody"/>
      </w:pPr>
      <w:r>
        <w:t>La lutte contre la desinformation ne doit pas devenir un ministere de la verite ou un outil contre l opposition legitime.</w:t>
      </w:r>
    </w:p>
    <w:p>
      <w:pPr>
        <w:pStyle w:val="NovaArticle"/>
      </w:pPr>
      <w:r>
        <w:rPr>
          <w:b/>
          <w:color w:val="16365C"/>
        </w:rPr>
        <w:t>ADC-64. Vie privee</w:t>
      </w:r>
    </w:p>
    <w:p>
      <w:pPr>
        <w:pStyle w:val="NovaBody"/>
      </w:pPr>
      <w:r>
        <w:t>La vie privee doit etre protegee contre la collecte excessive, la surveillance de masse et les acces non justifies.</w:t>
      </w:r>
    </w:p>
    <w:p>
      <w:pPr>
        <w:pStyle w:val="NovaArticle"/>
      </w:pPr>
      <w:r>
        <w:rPr>
          <w:b/>
          <w:color w:val="16365C"/>
        </w:rPr>
        <w:t>ADC-65. Egalite devant la loi</w:t>
      </w:r>
    </w:p>
    <w:p>
      <w:pPr>
        <w:pStyle w:val="NovaBody"/>
      </w:pPr>
      <w:r>
        <w:t>Aucun groupe, parti, reseau ou fonction ne doit beneficier d une immunite de fait.</w:t>
      </w:r>
    </w:p>
    <w:p>
      <w:pPr>
        <w:pStyle w:val="NovaArticle"/>
      </w:pPr>
      <w:r>
        <w:rPr>
          <w:b/>
          <w:color w:val="16365C"/>
        </w:rPr>
        <w:t>ADC-66. Droit au recours</w:t>
      </w:r>
    </w:p>
    <w:p>
      <w:pPr>
        <w:pStyle w:val="NovaBody"/>
      </w:pPr>
      <w:r>
        <w:t>Un droit sans recours utile est un droit affaibli.</w:t>
      </w:r>
    </w:p>
    <w:p>
      <w:pPr>
        <w:pStyle w:val="NovaArticle"/>
      </w:pPr>
      <w:r>
        <w:rPr>
          <w:b/>
          <w:color w:val="16365C"/>
        </w:rPr>
        <w:t>ADC-67. Proportionnalite</w:t>
      </w:r>
    </w:p>
    <w:p>
      <w:pPr>
        <w:pStyle w:val="NovaBody"/>
      </w:pPr>
      <w:r>
        <w:t>Toute restriction de liberte doit etre necessaire, proportionnee, temporaire lorsque applicable, publiee et contestable.</w:t>
      </w:r>
    </w:p>
    <w:p>
      <w:pPr>
        <w:pStyle w:val="NovaArticle"/>
      </w:pPr>
      <w:r>
        <w:rPr>
          <w:b/>
          <w:color w:val="16365C"/>
        </w:rPr>
        <w:t>ADC-68. Protection des minorites</w:t>
      </w:r>
    </w:p>
    <w:p>
      <w:pPr>
        <w:pStyle w:val="NovaBody"/>
      </w:pPr>
      <w:r>
        <w:t>La souverainete populaire doit coexister avec la protection des droits fondamentaux et de la dignite humaine.</w:t>
      </w:r>
    </w:p>
    <w:p>
      <w:pPr>
        <w:pStyle w:val="NovaArticle"/>
      </w:pPr>
      <w:r>
        <w:rPr>
          <w:b/>
          <w:color w:val="16365C"/>
        </w:rPr>
        <w:t>ADC-69. Services essentiels et dignite</w:t>
      </w:r>
    </w:p>
    <w:p>
      <w:pPr>
        <w:pStyle w:val="NovaBody"/>
      </w:pPr>
      <w:r>
        <w:t>Les droits doivent inclure une exigence d acces raisonnable aux services essentiels lorsque l Etat en a la charge.</w:t>
      </w:r>
    </w:p>
    <w:p>
      <w:pPr>
        <w:pStyle w:val="NovaArticle"/>
      </w:pPr>
      <w:r>
        <w:rPr>
          <w:b/>
          <w:color w:val="16365C"/>
        </w:rPr>
        <w:t>ADC-70. Defense des libertes</w:t>
      </w:r>
    </w:p>
    <w:p>
      <w:pPr>
        <w:pStyle w:val="NovaBody"/>
      </w:pPr>
      <w:r>
        <w:t>Tout texte d application doit etre interprete en faveur des droits lorsque deux lectures raisonnables existent.</w:t>
      </w:r>
    </w:p>
    <w:p>
      <w:pPr>
        <w:pStyle w:val="Heading1"/>
      </w:pPr>
      <w:r>
        <w:t>PARTIE VIII - DEFENSE NUMERIQUE, DONNEES ET IA</w:t>
      </w:r>
    </w:p>
    <w:p>
      <w:pPr>
        <w:pStyle w:val="NovaArticle"/>
      </w:pPr>
      <w:r>
        <w:rPr>
          <w:b/>
          <w:color w:val="16365C"/>
        </w:rPr>
        <w:t>ADC-71. Souverainete numerique</w:t>
      </w:r>
    </w:p>
    <w:p>
      <w:pPr>
        <w:pStyle w:val="NovaBody"/>
      </w:pPr>
      <w:r>
        <w:t>Les donnees et systemes critiques doivent etre gouvernes comme des actifs de souverainete.</w:t>
      </w:r>
    </w:p>
    <w:p>
      <w:pPr>
        <w:pStyle w:val="NovaArticle"/>
      </w:pPr>
      <w:r>
        <w:rPr>
          <w:b/>
          <w:color w:val="16365C"/>
        </w:rPr>
        <w:t>ADC-72. Collecte minimale</w:t>
      </w:r>
    </w:p>
    <w:p>
      <w:pPr>
        <w:pStyle w:val="NovaBody"/>
      </w:pPr>
      <w:r>
        <w:t>L Etat doit collecter uniquement les donnees necessaires, pour une finalite determinee, avec duree limitee lorsque possible.</w:t>
      </w:r>
    </w:p>
    <w:p>
      <w:pPr>
        <w:pStyle w:val="NovaArticle"/>
      </w:pPr>
      <w:r>
        <w:rPr>
          <w:b/>
          <w:color w:val="16365C"/>
        </w:rPr>
        <w:t>ADC-73. Journalisation</w:t>
      </w:r>
    </w:p>
    <w:p>
      <w:pPr>
        <w:pStyle w:val="NovaBody"/>
      </w:pPr>
      <w:r>
        <w:t>Les acces aux donnees sensibles doivent etre journalises et auditables.</w:t>
      </w:r>
    </w:p>
    <w:p>
      <w:pPr>
        <w:pStyle w:val="NovaArticle"/>
      </w:pPr>
      <w:r>
        <w:rPr>
          <w:b/>
          <w:color w:val="16365C"/>
        </w:rPr>
        <w:t>ADC-74. Fuites de donnees</w:t>
      </w:r>
    </w:p>
    <w:p>
      <w:pPr>
        <w:pStyle w:val="NovaBody"/>
      </w:pPr>
      <w:r>
        <w:t>Toute fuite majeure doit declencher notification, enquete, correctifs et sanctions si negligence.</w:t>
      </w:r>
    </w:p>
    <w:p>
      <w:pPr>
        <w:pStyle w:val="NovaArticle"/>
      </w:pPr>
      <w:r>
        <w:rPr>
          <w:b/>
          <w:color w:val="16365C"/>
        </w:rPr>
        <w:t>ADC-75. Identite numerique</w:t>
      </w:r>
    </w:p>
    <w:p>
      <w:pPr>
        <w:pStyle w:val="NovaBody"/>
      </w:pPr>
      <w:r>
        <w:t>L identite numerique ne doit pas devenir une obligation generale sans alternative humaine ou non numerique.</w:t>
      </w:r>
    </w:p>
    <w:p>
      <w:pPr>
        <w:pStyle w:val="NovaArticle"/>
      </w:pPr>
      <w:r>
        <w:rPr>
          <w:b/>
          <w:color w:val="16365C"/>
        </w:rPr>
        <w:t>ADC-76. IA decisionnelle</w:t>
      </w:r>
    </w:p>
    <w:p>
      <w:pPr>
        <w:pStyle w:val="NovaBody"/>
      </w:pPr>
      <w:r>
        <w:t>Aucune decision grave affectant un droit, un revenu, un statut ou un service essentiel ne doit etre prise sans recours humain.</w:t>
      </w:r>
    </w:p>
    <w:p>
      <w:pPr>
        <w:pStyle w:val="NovaArticle"/>
      </w:pPr>
      <w:r>
        <w:rPr>
          <w:b/>
          <w:color w:val="16365C"/>
        </w:rPr>
        <w:t>ADC-77. Interdiction du score social</w:t>
      </w:r>
    </w:p>
    <w:p>
      <w:pPr>
        <w:pStyle w:val="NovaBody"/>
      </w:pPr>
      <w:r>
        <w:t>Tout mecanisme de score social generalise est incompatible avec le Systeme Nova.</w:t>
      </w:r>
    </w:p>
    <w:p>
      <w:pPr>
        <w:pStyle w:val="NovaArticle"/>
      </w:pPr>
      <w:r>
        <w:rPr>
          <w:b/>
          <w:color w:val="16365C"/>
        </w:rPr>
        <w:t>ADC-78. Fournisseurs technologiques</w:t>
      </w:r>
    </w:p>
    <w:p>
      <w:pPr>
        <w:pStyle w:val="NovaBody"/>
      </w:pPr>
      <w:r>
        <w:t>La dependance a un fournisseur unique dans un systeme critique doit etre consideree comme un risque constitutionnel.</w:t>
      </w:r>
    </w:p>
    <w:p>
      <w:pPr>
        <w:pStyle w:val="NovaArticle"/>
      </w:pPr>
      <w:r>
        <w:rPr>
          <w:b/>
          <w:color w:val="16365C"/>
        </w:rPr>
        <w:t>ADC-79. Cybersecurite</w:t>
      </w:r>
    </w:p>
    <w:p>
      <w:pPr>
        <w:pStyle w:val="NovaBody"/>
      </w:pPr>
      <w:r>
        <w:t>Les infrastructures critiques doivent etre testees, segmentees, sauvegardees et protegees contre les attaques et l espionnage.</w:t>
      </w:r>
    </w:p>
    <w:p>
      <w:pPr>
        <w:pStyle w:val="NovaArticle"/>
      </w:pPr>
      <w:r>
        <w:rPr>
          <w:b/>
          <w:color w:val="16365C"/>
        </w:rPr>
        <w:t>ADC-80. Defense numerique</w:t>
      </w:r>
    </w:p>
    <w:p>
      <w:pPr>
        <w:pStyle w:val="NovaBody"/>
      </w:pPr>
      <w:r>
        <w:t>Toute innovation numerique publique doit subir un test droits-libertes, securite, souverainete, accessibilite et auditabilite.</w:t>
      </w:r>
    </w:p>
    <w:p>
      <w:pPr>
        <w:pStyle w:val="Heading1"/>
      </w:pPr>
      <w:r>
        <w:t>PARTIE IX - DEFENSE DE LA TRANSITION ET DE LA SOUVERAINETE</w:t>
      </w:r>
    </w:p>
    <w:p>
      <w:pPr>
        <w:pStyle w:val="NovaArticle"/>
      </w:pPr>
      <w:r>
        <w:rPr>
          <w:b/>
          <w:color w:val="16365C"/>
        </w:rPr>
        <w:t>ADC-81. Transition ordonnee</w:t>
      </w:r>
    </w:p>
    <w:p>
      <w:pPr>
        <w:pStyle w:val="NovaBody"/>
      </w:pPr>
      <w:r>
        <w:t>La souverainete doit etre preparee par phases, garanties, registres, lois transitoires et plans de continuite.</w:t>
      </w:r>
    </w:p>
    <w:p>
      <w:pPr>
        <w:pStyle w:val="NovaArticle"/>
      </w:pPr>
      <w:r>
        <w:rPr>
          <w:b/>
          <w:color w:val="16365C"/>
        </w:rPr>
        <w:t>ADC-82. Mandat populaire clair</w:t>
      </w:r>
    </w:p>
    <w:p>
      <w:pPr>
        <w:pStyle w:val="NovaBody"/>
      </w:pPr>
      <w:r>
        <w:t>Aucune etape irreversible majeure ne doit etre franchie sans mandat populaire clair lorsque le Systeme Nova l exige.</w:t>
      </w:r>
    </w:p>
    <w:p>
      <w:pPr>
        <w:pStyle w:val="NovaArticle"/>
      </w:pPr>
      <w:r>
        <w:rPr>
          <w:b/>
          <w:color w:val="16365C"/>
        </w:rPr>
        <w:t>ADC-83. Services essentiels</w:t>
      </w:r>
    </w:p>
    <w:p>
      <w:pPr>
        <w:pStyle w:val="NovaBody"/>
      </w:pPr>
      <w:r>
        <w:t>La transition ne doit pas interrompre la sante, l education, la justice, la securite, l energie, les paiements publics et les communications critiques.</w:t>
      </w:r>
    </w:p>
    <w:p>
      <w:pPr>
        <w:pStyle w:val="NovaArticle"/>
      </w:pPr>
      <w:r>
        <w:rPr>
          <w:b/>
          <w:color w:val="16365C"/>
        </w:rPr>
        <w:t>ADC-84. Finances de transition</w:t>
      </w:r>
    </w:p>
    <w:p>
      <w:pPr>
        <w:pStyle w:val="NovaBody"/>
      </w:pPr>
      <w:r>
        <w:t>Les actifs, dettes, revenus, contrats et obligations doivent etre inventories et publies selon un cadre prudent.</w:t>
      </w:r>
    </w:p>
    <w:p>
      <w:pPr>
        <w:pStyle w:val="NovaArticle"/>
      </w:pPr>
      <w:r>
        <w:rPr>
          <w:b/>
          <w:color w:val="16365C"/>
        </w:rPr>
        <w:t>ADC-85. Relations avec le Canada</w:t>
      </w:r>
    </w:p>
    <w:p>
      <w:pPr>
        <w:pStyle w:val="NovaBody"/>
      </w:pPr>
      <w:r>
        <w:t>La negociation avec le Canada doit viser la stabilite, la continuite des droits et la protection des citoyens.</w:t>
      </w:r>
    </w:p>
    <w:p>
      <w:pPr>
        <w:pStyle w:val="NovaArticle"/>
      </w:pPr>
      <w:r>
        <w:rPr>
          <w:b/>
          <w:color w:val="16365C"/>
        </w:rPr>
        <w:t>ADC-86. Reconnaissance internationale</w:t>
      </w:r>
    </w:p>
    <w:p>
      <w:pPr>
        <w:pStyle w:val="NovaBody"/>
      </w:pPr>
      <w:r>
        <w:t>La reconnaissance doit etre preparee par diplomatie, droit, stabilite institutionnelle et information claire.</w:t>
      </w:r>
    </w:p>
    <w:p>
      <w:pPr>
        <w:pStyle w:val="NovaArticle"/>
      </w:pPr>
      <w:r>
        <w:rPr>
          <w:b/>
          <w:color w:val="16365C"/>
        </w:rPr>
        <w:t>ADC-87. Citoyennete quebecoise</w:t>
      </w:r>
    </w:p>
    <w:p>
      <w:pPr>
        <w:pStyle w:val="NovaBody"/>
      </w:pPr>
      <w:r>
        <w:t>Les regles de citoyennete doivent etre claires, transitoires, humaines et administrativement applicables.</w:t>
      </w:r>
    </w:p>
    <w:p>
      <w:pPr>
        <w:pStyle w:val="NovaArticle"/>
      </w:pPr>
      <w:r>
        <w:rPr>
          <w:b/>
          <w:color w:val="16365C"/>
        </w:rPr>
        <w:t>ADC-88. Frontieres et registres</w:t>
      </w:r>
    </w:p>
    <w:p>
      <w:pPr>
        <w:pStyle w:val="NovaBody"/>
      </w:pPr>
      <w:r>
        <w:t>Les frontieres, documents, registres et statuts doivent etre prepares sans improvisation.</w:t>
      </w:r>
    </w:p>
    <w:p>
      <w:pPr>
        <w:pStyle w:val="NovaArticle"/>
      </w:pPr>
      <w:r>
        <w:rPr>
          <w:b/>
          <w:color w:val="16365C"/>
        </w:rPr>
        <w:t>ADC-89. Risque de blocage</w:t>
      </w:r>
    </w:p>
    <w:p>
      <w:pPr>
        <w:pStyle w:val="NovaBody"/>
      </w:pPr>
      <w:r>
        <w:t>Le Systeme Nova doit prevoir les blocages juridiques, administratifs, financiers, politiques et internationaux.</w:t>
      </w:r>
    </w:p>
    <w:p>
      <w:pPr>
        <w:pStyle w:val="NovaArticle"/>
      </w:pPr>
      <w:r>
        <w:rPr>
          <w:b/>
          <w:color w:val="16365C"/>
        </w:rPr>
        <w:t>ADC-90. Defense de la transition</w:t>
      </w:r>
    </w:p>
    <w:p>
      <w:pPr>
        <w:pStyle w:val="NovaBody"/>
      </w:pPr>
      <w:r>
        <w:t>Toute transition doit etre reversible dans ses mesures preparatoires tant que le mandat populaire final n est pas obtenu.</w:t>
      </w:r>
    </w:p>
    <w:p>
      <w:pPr>
        <w:pStyle w:val="Heading1"/>
      </w:pPr>
      <w:r>
        <w:t>PARTIE X - TESTS, INDICATEURS ET CLAUSE FINALE</w:t>
      </w:r>
    </w:p>
    <w:p>
      <w:pPr>
        <w:pStyle w:val="NovaArticle"/>
      </w:pPr>
      <w:r>
        <w:rPr>
          <w:b/>
          <w:color w:val="16365C"/>
        </w:rPr>
        <w:t>ADC-91. Test de legalite</w:t>
      </w:r>
    </w:p>
    <w:p>
      <w:pPr>
        <w:pStyle w:val="NovaBody"/>
      </w:pPr>
      <w:r>
        <w:t>Toute mesure doit avoir une base normative explicite.</w:t>
      </w:r>
    </w:p>
    <w:p>
      <w:pPr>
        <w:pStyle w:val="NovaArticle"/>
      </w:pPr>
      <w:r>
        <w:rPr>
          <w:b/>
          <w:color w:val="16365C"/>
        </w:rPr>
        <w:t>ADC-92. Test de transparence</w:t>
      </w:r>
    </w:p>
    <w:p>
      <w:pPr>
        <w:pStyle w:val="NovaBody"/>
      </w:pPr>
      <w:r>
        <w:t>Toute mesure importante doit pouvoir etre expliquee publiquement.</w:t>
      </w:r>
    </w:p>
    <w:p>
      <w:pPr>
        <w:pStyle w:val="NovaArticle"/>
      </w:pPr>
      <w:r>
        <w:rPr>
          <w:b/>
          <w:color w:val="16365C"/>
        </w:rPr>
        <w:t>ADC-93. Test de responsabilite</w:t>
      </w:r>
    </w:p>
    <w:p>
      <w:pPr>
        <w:pStyle w:val="NovaBody"/>
      </w:pPr>
      <w:r>
        <w:t>Toute mesure doit identifier un responsable de decision et un responsable de controle.</w:t>
      </w:r>
    </w:p>
    <w:p>
      <w:pPr>
        <w:pStyle w:val="NovaArticle"/>
      </w:pPr>
      <w:r>
        <w:rPr>
          <w:b/>
          <w:color w:val="16365C"/>
        </w:rPr>
        <w:t>ADC-94. Test de proportionnalite</w:t>
      </w:r>
    </w:p>
    <w:p>
      <w:pPr>
        <w:pStyle w:val="NovaBody"/>
      </w:pPr>
      <w:r>
        <w:t>Toute limitation de droit, depense exceptionnelle ou urgence doit etre proportionnee.</w:t>
      </w:r>
    </w:p>
    <w:p>
      <w:pPr>
        <w:pStyle w:val="NovaArticle"/>
      </w:pPr>
      <w:r>
        <w:rPr>
          <w:b/>
          <w:color w:val="16365C"/>
        </w:rPr>
        <w:t>ADC-95. Test anti-capture</w:t>
      </w:r>
    </w:p>
    <w:p>
      <w:pPr>
        <w:pStyle w:val="NovaBody"/>
      </w:pPr>
      <w:r>
        <w:t>Toute concentration de pouvoir doit etre justifiee et compensee par un contre-pouvoir.</w:t>
      </w:r>
    </w:p>
    <w:p>
      <w:pPr>
        <w:pStyle w:val="NovaArticle"/>
      </w:pPr>
      <w:r>
        <w:rPr>
          <w:b/>
          <w:color w:val="16365C"/>
        </w:rPr>
        <w:t>ADC-96. Test anti-contournement</w:t>
      </w:r>
    </w:p>
    <w:p>
      <w:pPr>
        <w:pStyle w:val="NovaBody"/>
      </w:pPr>
      <w:r>
        <w:t>Toute mesure indirecte produisant l effet d une mesure interdite doit etre traitee comme interdite.</w:t>
      </w:r>
    </w:p>
    <w:p>
      <w:pPr>
        <w:pStyle w:val="NovaArticle"/>
      </w:pPr>
      <w:r>
        <w:rPr>
          <w:b/>
          <w:color w:val="16365C"/>
        </w:rPr>
        <w:t>ADC-97. Test de recours</w:t>
      </w:r>
    </w:p>
    <w:p>
      <w:pPr>
        <w:pStyle w:val="NovaBody"/>
      </w:pPr>
      <w:r>
        <w:t>Tout citoyen touche par une decision importante doit disposer d un recours accessible.</w:t>
      </w:r>
    </w:p>
    <w:p>
      <w:pPr>
        <w:pStyle w:val="NovaArticle"/>
      </w:pPr>
      <w:r>
        <w:rPr>
          <w:b/>
          <w:color w:val="16365C"/>
        </w:rPr>
        <w:t>ADC-98. Indicateurs de defense</w:t>
      </w:r>
    </w:p>
    <w:p>
      <w:pPr>
        <w:pStyle w:val="NovaBody"/>
      </w:pPr>
      <w:r>
        <w:t>Les indicateurs doivent suivre delais, plaintes, recours, audits, sanctions, depenses, contrats, incidents numeriques et alertes democratiques.</w:t>
      </w:r>
    </w:p>
    <w:p>
      <w:pPr>
        <w:pStyle w:val="NovaArticle"/>
      </w:pPr>
      <w:r>
        <w:rPr>
          <w:b/>
          <w:color w:val="16365C"/>
        </w:rPr>
        <w:t>ADC-99. Revision annuelle</w:t>
      </w:r>
    </w:p>
    <w:p>
      <w:pPr>
        <w:pStyle w:val="NovaBody"/>
      </w:pPr>
      <w:r>
        <w:t>Un audit annuel de defense constitutionnelle doit verifier les defenses du Systeme Nova.</w:t>
      </w:r>
    </w:p>
    <w:p>
      <w:pPr>
        <w:pStyle w:val="NovaArticle"/>
      </w:pPr>
      <w:r>
        <w:rPr>
          <w:b/>
          <w:color w:val="16365C"/>
        </w:rPr>
        <w:t>ADC-100. Clause finale</w:t>
      </w:r>
    </w:p>
    <w:p>
      <w:pPr>
        <w:pStyle w:val="NovaBody"/>
      </w:pPr>
      <w:r>
        <w:t>Le Systeme Nova est considere defensible seulement s il peut resister a l abus legaliste, a la capture politique, a la corruption, a la bureaucratie hostile et a la peur.</w:t>
      </w:r>
    </w:p>
    <w:p>
      <w:pPr>
        <w:pStyle w:val="Heading1"/>
      </w:pPr>
      <w:r>
        <w:t>MATRICE DES TESTS DE DEFENSE</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D9EAF7"/>
          </w:tcPr>
          <w:p>
            <w:r/>
            <w:r>
              <w:rPr>
                <w:b/>
                <w:sz w:val="15"/>
              </w:rPr>
              <w:t>Test</w:t>
            </w:r>
          </w:p>
        </w:tc>
        <w:tc>
          <w:tcPr>
            <w:tcW w:type="dxa" w:w="5040"/>
            <w:vAlign w:val="center"/>
            <w:shd w:fill="D9EAF7"/>
          </w:tcPr>
          <w:p>
            <w:r/>
            <w:r>
              <w:rPr>
                <w:b/>
                <w:sz w:val="15"/>
              </w:rPr>
              <w:t>Question de controle</w:t>
            </w:r>
          </w:p>
        </w:tc>
        <w:tc>
          <w:tcPr>
            <w:tcW w:type="dxa" w:w="3024"/>
            <w:vAlign w:val="center"/>
            <w:shd w:fill="D9EAF7"/>
          </w:tcPr>
          <w:p>
            <w:r/>
            <w:r>
              <w:rPr>
                <w:b/>
                <w:sz w:val="15"/>
              </w:rPr>
              <w:t>Sortie obligatoire</w:t>
            </w:r>
          </w:p>
        </w:tc>
      </w:tr>
      <w:tr>
        <w:tc>
          <w:tcPr>
            <w:tcW w:type="dxa" w:w="1800"/>
            <w:vAlign w:val="center"/>
          </w:tcPr>
          <w:p>
            <w:r/>
            <w:r>
              <w:rPr>
                <w:b w:val="0"/>
                <w:sz w:val="14"/>
              </w:rPr>
              <w:t>Legalite</w:t>
            </w:r>
          </w:p>
        </w:tc>
        <w:tc>
          <w:tcPr>
            <w:tcW w:type="dxa" w:w="5040"/>
            <w:vAlign w:val="center"/>
          </w:tcPr>
          <w:p>
            <w:r/>
            <w:r>
              <w:rPr>
                <w:b w:val="0"/>
                <w:sz w:val="14"/>
              </w:rPr>
              <w:t>La mesure repose-t-elle sur une base normative claire?</w:t>
            </w:r>
          </w:p>
        </w:tc>
        <w:tc>
          <w:tcPr>
            <w:tcW w:type="dxa" w:w="3024"/>
            <w:vAlign w:val="center"/>
          </w:tcPr>
          <w:p>
            <w:r/>
            <w:r>
              <w:rPr>
                <w:b w:val="0"/>
                <w:sz w:val="14"/>
              </w:rPr>
              <w:t>Article, loi, reglement ou mandat identifie</w:t>
            </w:r>
          </w:p>
        </w:tc>
      </w:tr>
      <w:tr>
        <w:tc>
          <w:tcPr>
            <w:tcW w:type="dxa" w:w="1800"/>
            <w:vAlign w:val="center"/>
          </w:tcPr>
          <w:p>
            <w:r/>
            <w:r>
              <w:rPr>
                <w:b w:val="0"/>
                <w:sz w:val="14"/>
              </w:rPr>
              <w:t>Transparence</w:t>
            </w:r>
          </w:p>
        </w:tc>
        <w:tc>
          <w:tcPr>
            <w:tcW w:type="dxa" w:w="5040"/>
            <w:vAlign w:val="center"/>
          </w:tcPr>
          <w:p>
            <w:r/>
            <w:r>
              <w:rPr>
                <w:b w:val="0"/>
                <w:sz w:val="14"/>
              </w:rPr>
              <w:t>Le citoyen peut-il comprendre la mesure?</w:t>
            </w:r>
          </w:p>
        </w:tc>
        <w:tc>
          <w:tcPr>
            <w:tcW w:type="dxa" w:w="3024"/>
            <w:vAlign w:val="center"/>
          </w:tcPr>
          <w:p>
            <w:r/>
            <w:r>
              <w:rPr>
                <w:b w:val="0"/>
                <w:sz w:val="14"/>
              </w:rPr>
              <w:t>Publication et justification</w:t>
            </w:r>
          </w:p>
        </w:tc>
      </w:tr>
      <w:tr>
        <w:tc>
          <w:tcPr>
            <w:tcW w:type="dxa" w:w="1800"/>
            <w:vAlign w:val="center"/>
          </w:tcPr>
          <w:p>
            <w:r/>
            <w:r>
              <w:rPr>
                <w:b w:val="0"/>
                <w:sz w:val="14"/>
              </w:rPr>
              <w:t>Responsabilite</w:t>
            </w:r>
          </w:p>
        </w:tc>
        <w:tc>
          <w:tcPr>
            <w:tcW w:type="dxa" w:w="5040"/>
            <w:vAlign w:val="center"/>
          </w:tcPr>
          <w:p>
            <w:r/>
            <w:r>
              <w:rPr>
                <w:b w:val="0"/>
                <w:sz w:val="14"/>
              </w:rPr>
              <w:t>Qui decide et qui controle?</w:t>
            </w:r>
          </w:p>
        </w:tc>
        <w:tc>
          <w:tcPr>
            <w:tcW w:type="dxa" w:w="3024"/>
            <w:vAlign w:val="center"/>
          </w:tcPr>
          <w:p>
            <w:r/>
            <w:r>
              <w:rPr>
                <w:b w:val="0"/>
                <w:sz w:val="14"/>
              </w:rPr>
              <w:t>Responsables nommes</w:t>
            </w:r>
          </w:p>
        </w:tc>
      </w:tr>
      <w:tr>
        <w:tc>
          <w:tcPr>
            <w:tcW w:type="dxa" w:w="1800"/>
            <w:vAlign w:val="center"/>
          </w:tcPr>
          <w:p>
            <w:r/>
            <w:r>
              <w:rPr>
                <w:b w:val="0"/>
                <w:sz w:val="14"/>
              </w:rPr>
              <w:t>Proportionnalite</w:t>
            </w:r>
          </w:p>
        </w:tc>
        <w:tc>
          <w:tcPr>
            <w:tcW w:type="dxa" w:w="5040"/>
            <w:vAlign w:val="center"/>
          </w:tcPr>
          <w:p>
            <w:r/>
            <w:r>
              <w:rPr>
                <w:b w:val="0"/>
                <w:sz w:val="14"/>
              </w:rPr>
              <w:t>La mesure est-elle necessaire et limitee?</w:t>
            </w:r>
          </w:p>
        </w:tc>
        <w:tc>
          <w:tcPr>
            <w:tcW w:type="dxa" w:w="3024"/>
            <w:vAlign w:val="center"/>
          </w:tcPr>
          <w:p>
            <w:r/>
            <w:r>
              <w:rPr>
                <w:b w:val="0"/>
                <w:sz w:val="14"/>
              </w:rPr>
              <w:t>Analyse de proportionnalite</w:t>
            </w:r>
          </w:p>
        </w:tc>
      </w:tr>
      <w:tr>
        <w:tc>
          <w:tcPr>
            <w:tcW w:type="dxa" w:w="1800"/>
            <w:vAlign w:val="center"/>
          </w:tcPr>
          <w:p>
            <w:r/>
            <w:r>
              <w:rPr>
                <w:b w:val="0"/>
                <w:sz w:val="14"/>
              </w:rPr>
              <w:t>Recours</w:t>
            </w:r>
          </w:p>
        </w:tc>
        <w:tc>
          <w:tcPr>
            <w:tcW w:type="dxa" w:w="5040"/>
            <w:vAlign w:val="center"/>
          </w:tcPr>
          <w:p>
            <w:r/>
            <w:r>
              <w:rPr>
                <w:b w:val="0"/>
                <w:sz w:val="14"/>
              </w:rPr>
              <w:t>Le citoyen peut-il contester?</w:t>
            </w:r>
          </w:p>
        </w:tc>
        <w:tc>
          <w:tcPr>
            <w:tcW w:type="dxa" w:w="3024"/>
            <w:vAlign w:val="center"/>
          </w:tcPr>
          <w:p>
            <w:r/>
            <w:r>
              <w:rPr>
                <w:b w:val="0"/>
                <w:sz w:val="14"/>
              </w:rPr>
              <w:t>Procedure de recours</w:t>
            </w:r>
          </w:p>
        </w:tc>
      </w:tr>
      <w:tr>
        <w:tc>
          <w:tcPr>
            <w:tcW w:type="dxa" w:w="1800"/>
            <w:vAlign w:val="center"/>
          </w:tcPr>
          <w:p>
            <w:r/>
            <w:r>
              <w:rPr>
                <w:b w:val="0"/>
                <w:sz w:val="14"/>
              </w:rPr>
              <w:t>Anti-capture</w:t>
            </w:r>
          </w:p>
        </w:tc>
        <w:tc>
          <w:tcPr>
            <w:tcW w:type="dxa" w:w="5040"/>
            <w:vAlign w:val="center"/>
          </w:tcPr>
          <w:p>
            <w:r/>
            <w:r>
              <w:rPr>
                <w:b w:val="0"/>
                <w:sz w:val="14"/>
              </w:rPr>
              <w:t>La mesure concentre-t-elle le pouvoir?</w:t>
            </w:r>
          </w:p>
        </w:tc>
        <w:tc>
          <w:tcPr>
            <w:tcW w:type="dxa" w:w="3024"/>
            <w:vAlign w:val="center"/>
          </w:tcPr>
          <w:p>
            <w:r/>
            <w:r>
              <w:rPr>
                <w:b w:val="0"/>
                <w:sz w:val="14"/>
              </w:rPr>
              <w:t>Contre-pouvoir ou refus</w:t>
            </w:r>
          </w:p>
        </w:tc>
      </w:tr>
      <w:tr>
        <w:tc>
          <w:tcPr>
            <w:tcW w:type="dxa" w:w="1800"/>
            <w:vAlign w:val="center"/>
          </w:tcPr>
          <w:p>
            <w:r/>
            <w:r>
              <w:rPr>
                <w:b w:val="0"/>
                <w:sz w:val="14"/>
              </w:rPr>
              <w:t>Anti-contournement</w:t>
            </w:r>
          </w:p>
        </w:tc>
        <w:tc>
          <w:tcPr>
            <w:tcW w:type="dxa" w:w="5040"/>
            <w:vAlign w:val="center"/>
          </w:tcPr>
          <w:p>
            <w:r/>
            <w:r>
              <w:rPr>
                <w:b w:val="0"/>
                <w:sz w:val="14"/>
              </w:rPr>
              <w:t>Produit-elle indirectement un effet interdit?</w:t>
            </w:r>
          </w:p>
        </w:tc>
        <w:tc>
          <w:tcPr>
            <w:tcW w:type="dxa" w:w="3024"/>
            <w:vAlign w:val="center"/>
          </w:tcPr>
          <w:p>
            <w:r/>
            <w:r>
              <w:rPr>
                <w:b w:val="0"/>
                <w:sz w:val="14"/>
              </w:rPr>
              <w:t>Requalification et correction</w:t>
            </w:r>
          </w:p>
        </w:tc>
      </w:tr>
    </w:tbl>
    <w:p/>
    <w:p>
      <w:pPr>
        <w:pStyle w:val="Heading1"/>
      </w:pPr>
      <w:r>
        <w:t>TABLE DE CONCORDANCE DE DEFENSE</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D9EAF7"/>
          </w:tcPr>
          <w:p>
            <w:r/>
            <w:r>
              <w:rPr>
                <w:b/>
                <w:sz w:val="15"/>
              </w:rPr>
              <w:t>Risque</w:t>
            </w:r>
          </w:p>
        </w:tc>
        <w:tc>
          <w:tcPr>
            <w:tcW w:type="dxa" w:w="4608"/>
            <w:vAlign w:val="center"/>
            <w:shd w:fill="D9EAF7"/>
          </w:tcPr>
          <w:p>
            <w:r/>
            <w:r>
              <w:rPr>
                <w:b/>
                <w:sz w:val="15"/>
              </w:rPr>
              <w:t>Defense prioritaire</w:t>
            </w:r>
          </w:p>
        </w:tc>
        <w:tc>
          <w:tcPr>
            <w:tcW w:type="dxa" w:w="2304"/>
            <w:vAlign w:val="center"/>
            <w:shd w:fill="D9EAF7"/>
          </w:tcPr>
          <w:p>
            <w:r/>
            <w:r>
              <w:rPr>
                <w:b/>
                <w:sz w:val="15"/>
              </w:rPr>
              <w:t>Document rattache</w:t>
            </w:r>
          </w:p>
        </w:tc>
      </w:tr>
      <w:tr>
        <w:tc>
          <w:tcPr>
            <w:tcW w:type="dxa" w:w="2880"/>
            <w:vAlign w:val="center"/>
          </w:tcPr>
          <w:p>
            <w:r/>
            <w:r>
              <w:rPr>
                <w:b w:val="0"/>
                <w:sz w:val="14"/>
              </w:rPr>
              <w:t>Manipulation du vote</w:t>
            </w:r>
          </w:p>
        </w:tc>
        <w:tc>
          <w:tcPr>
            <w:tcW w:type="dxa" w:w="4608"/>
            <w:vAlign w:val="center"/>
          </w:tcPr>
          <w:p>
            <w:r/>
            <w:r>
              <w:rPr>
                <w:b w:val="0"/>
                <w:sz w:val="14"/>
              </w:rPr>
              <w:t>Autorite electorale independante, certification, audits</w:t>
            </w:r>
          </w:p>
        </w:tc>
        <w:tc>
          <w:tcPr>
            <w:tcW w:type="dxa" w:w="2304"/>
            <w:vAlign w:val="center"/>
          </w:tcPr>
          <w:p>
            <w:r/>
            <w:r>
              <w:rPr>
                <w:b w:val="0"/>
                <w:sz w:val="14"/>
              </w:rPr>
              <w:t>Constitution, lois organiques, table de concordance</w:t>
            </w:r>
          </w:p>
        </w:tc>
      </w:tr>
      <w:tr>
        <w:tc>
          <w:tcPr>
            <w:tcW w:type="dxa" w:w="2880"/>
            <w:vAlign w:val="center"/>
          </w:tcPr>
          <w:p>
            <w:r/>
            <w:r>
              <w:rPr>
                <w:b w:val="0"/>
                <w:sz w:val="14"/>
              </w:rPr>
              <w:t>Capture du chef</w:t>
            </w:r>
          </w:p>
        </w:tc>
        <w:tc>
          <w:tcPr>
            <w:tcW w:type="dxa" w:w="4608"/>
            <w:vAlign w:val="center"/>
          </w:tcPr>
          <w:p>
            <w:r/>
            <w:r>
              <w:rPr>
                <w:b w:val="0"/>
                <w:sz w:val="14"/>
              </w:rPr>
              <w:t>Mandats limites, contre-pouvoirs, revocation interne</w:t>
            </w:r>
          </w:p>
        </w:tc>
        <w:tc>
          <w:tcPr>
            <w:tcW w:type="dxa" w:w="2304"/>
            <w:vAlign w:val="center"/>
          </w:tcPr>
          <w:p>
            <w:r/>
            <w:r>
              <w:rPr>
                <w:b w:val="0"/>
                <w:sz w:val="14"/>
              </w:rPr>
              <w:t>Code de conduite, gouvernance interne</w:t>
            </w:r>
          </w:p>
        </w:tc>
      </w:tr>
      <w:tr>
        <w:tc>
          <w:tcPr>
            <w:tcW w:type="dxa" w:w="2880"/>
            <w:vAlign w:val="center"/>
          </w:tcPr>
          <w:p>
            <w:r/>
            <w:r>
              <w:rPr>
                <w:b w:val="0"/>
                <w:sz w:val="14"/>
              </w:rPr>
              <w:t>Corruption contractuelle</w:t>
            </w:r>
          </w:p>
        </w:tc>
        <w:tc>
          <w:tcPr>
            <w:tcW w:type="dxa" w:w="4608"/>
            <w:vAlign w:val="center"/>
          </w:tcPr>
          <w:p>
            <w:r/>
            <w:r>
              <w:rPr>
                <w:b w:val="0"/>
                <w:sz w:val="14"/>
              </w:rPr>
              <w:t>Registre, appels d offres, sanctions, recuperation</w:t>
            </w:r>
          </w:p>
        </w:tc>
        <w:tc>
          <w:tcPr>
            <w:tcW w:type="dxa" w:w="2304"/>
            <w:vAlign w:val="center"/>
          </w:tcPr>
          <w:p>
            <w:r/>
            <w:r>
              <w:rPr>
                <w:b w:val="0"/>
                <w:sz w:val="14"/>
              </w:rPr>
              <w:t>Lois administratives, lois ordinaires</w:t>
            </w:r>
          </w:p>
        </w:tc>
      </w:tr>
      <w:tr>
        <w:tc>
          <w:tcPr>
            <w:tcW w:type="dxa" w:w="2880"/>
            <w:vAlign w:val="center"/>
          </w:tcPr>
          <w:p>
            <w:r/>
            <w:r>
              <w:rPr>
                <w:b w:val="0"/>
                <w:sz w:val="14"/>
              </w:rPr>
              <w:t>Derive reglementaire</w:t>
            </w:r>
          </w:p>
        </w:tc>
        <w:tc>
          <w:tcPr>
            <w:tcW w:type="dxa" w:w="4608"/>
            <w:vAlign w:val="center"/>
          </w:tcPr>
          <w:p>
            <w:r/>
            <w:r>
              <w:rPr>
                <w:b w:val="0"/>
                <w:sz w:val="14"/>
              </w:rPr>
              <w:t>Controle de hierarchie normative et publication</w:t>
            </w:r>
          </w:p>
        </w:tc>
        <w:tc>
          <w:tcPr>
            <w:tcW w:type="dxa" w:w="2304"/>
            <w:vAlign w:val="center"/>
          </w:tcPr>
          <w:p>
            <w:r/>
            <w:r>
              <w:rPr>
                <w:b w:val="0"/>
                <w:sz w:val="14"/>
              </w:rPr>
              <w:t>Reglements et application normative</w:t>
            </w:r>
          </w:p>
        </w:tc>
      </w:tr>
      <w:tr>
        <w:tc>
          <w:tcPr>
            <w:tcW w:type="dxa" w:w="2880"/>
            <w:vAlign w:val="center"/>
          </w:tcPr>
          <w:p>
            <w:r/>
            <w:r>
              <w:rPr>
                <w:b w:val="0"/>
                <w:sz w:val="14"/>
              </w:rPr>
              <w:t>Surveillance numerique</w:t>
            </w:r>
          </w:p>
        </w:tc>
        <w:tc>
          <w:tcPr>
            <w:tcW w:type="dxa" w:w="4608"/>
            <w:vAlign w:val="center"/>
          </w:tcPr>
          <w:p>
            <w:r/>
            <w:r>
              <w:rPr>
                <w:b w:val="0"/>
                <w:sz w:val="14"/>
              </w:rPr>
              <w:t>Collecte minimale, recours humain, interdiction score social</w:t>
            </w:r>
          </w:p>
        </w:tc>
        <w:tc>
          <w:tcPr>
            <w:tcW w:type="dxa" w:w="2304"/>
            <w:vAlign w:val="center"/>
          </w:tcPr>
          <w:p>
            <w:r/>
            <w:r>
              <w:rPr>
                <w:b w:val="0"/>
                <w:sz w:val="14"/>
              </w:rPr>
              <w:t>Lois ordinaires, normes fondamentales</w:t>
            </w:r>
          </w:p>
        </w:tc>
      </w:tr>
      <w:tr>
        <w:tc>
          <w:tcPr>
            <w:tcW w:type="dxa" w:w="2880"/>
            <w:vAlign w:val="center"/>
          </w:tcPr>
          <w:p>
            <w:r/>
            <w:r>
              <w:rPr>
                <w:b w:val="0"/>
                <w:sz w:val="14"/>
              </w:rPr>
              <w:t>Transition improvisee</w:t>
            </w:r>
          </w:p>
        </w:tc>
        <w:tc>
          <w:tcPr>
            <w:tcW w:type="dxa" w:w="4608"/>
            <w:vAlign w:val="center"/>
          </w:tcPr>
          <w:p>
            <w:r/>
            <w:r>
              <w:rPr>
                <w:b w:val="0"/>
                <w:sz w:val="14"/>
              </w:rPr>
              <w:t>Phases, plans de continuite, mandat populaire</w:t>
            </w:r>
          </w:p>
        </w:tc>
        <w:tc>
          <w:tcPr>
            <w:tcW w:type="dxa" w:w="2304"/>
            <w:vAlign w:val="center"/>
          </w:tcPr>
          <w:p>
            <w:r/>
            <w:r>
              <w:rPr>
                <w:b w:val="0"/>
                <w:sz w:val="14"/>
              </w:rPr>
              <w:t>Outil de transition, volets 2 et 3</w:t>
            </w:r>
          </w:p>
        </w:tc>
      </w:tr>
      <w:tr>
        <w:tc>
          <w:tcPr>
            <w:tcW w:type="dxa" w:w="2880"/>
            <w:vAlign w:val="center"/>
          </w:tcPr>
          <w:p>
            <w:r/>
            <w:r>
              <w:rPr>
                <w:b w:val="0"/>
                <w:sz w:val="14"/>
              </w:rPr>
              <w:t>Bureaucratie hostile</w:t>
            </w:r>
          </w:p>
        </w:tc>
        <w:tc>
          <w:tcPr>
            <w:tcW w:type="dxa" w:w="4608"/>
            <w:vAlign w:val="center"/>
          </w:tcPr>
          <w:p>
            <w:r/>
            <w:r>
              <w:rPr>
                <w:b w:val="0"/>
                <w:sz w:val="14"/>
              </w:rPr>
              <w:t>Delais publics, droit a reponse, simplification</w:t>
            </w:r>
          </w:p>
        </w:tc>
        <w:tc>
          <w:tcPr>
            <w:tcW w:type="dxa" w:w="2304"/>
            <w:vAlign w:val="center"/>
          </w:tcPr>
          <w:p>
            <w:r/>
            <w:r>
              <w:rPr>
                <w:b w:val="0"/>
                <w:sz w:val="14"/>
              </w:rPr>
              <w:t>Lois administratives</w:t>
            </w:r>
          </w:p>
        </w:tc>
      </w:tr>
    </w:tbl>
    <w:p/>
    <w:p>
      <w:pPr>
        <w:pStyle w:val="Heading1"/>
      </w:pPr>
      <w:r>
        <w:t>CLAUSE FINALE DE DEFENSE CONSTITUTIONNELLE</w:t>
      </w:r>
    </w:p>
    <w:p>
      <w:pPr>
        <w:pStyle w:val="NovaBody"/>
      </w:pPr>
      <w:r>
        <w:t>Le present audit conclut que le Systeme Nova doit etre protege non seulement contre les violations directes, mais aussi contre les contournements indirects, les abus legalistes, les silences administratifs, les urgences permanentes et la capture des institutions.</w:t>
      </w:r>
    </w:p>
    <w:p>
      <w:pPr>
        <w:pStyle w:val="NovaBody"/>
      </w:pPr>
      <w:r>
        <w:t>Chaque document officiel du corpus Nova doit etre lu avec cette exigence: le pouvoir doit rester visible, limite, responsable, contestable et soumis au peuple.</w:t>
      </w:r>
    </w:p>
    <w:p>
      <w:pPr>
        <w:pStyle w:val="NovaBody"/>
      </w:pPr>
      <w:r>
        <w:t>Aucune reforme Nova ne doit etre consideree complete tant que ses defenses, recours, sanctions, responsables et indicateurs ne sont pas identifies.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Projet Nova - Document de travail consolide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5"/>
      </w:rPr>
      <w:t>DOCUMENT OFFICIEL - SYSTEME NOVA - AUDIT DE DEFENSE CONSTITUTIONNELLE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636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6365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Body">
    <w:name w:val="Nova Body"/>
    <w:pPr>
      <w:spacing w:after="60" w:line="250" w:lineRule="auto"/>
    </w:pPr>
    <w:rPr>
      <w:rFonts w:ascii="Arial" w:hAnsi="Arial" w:eastAsia="Arial"/>
      <w:sz w:val="18"/>
    </w:rPr>
  </w:style>
  <w:style w:type="paragraph" w:customStyle="1" w:styleId="NovaArticle">
    <w:name w:val="Nova Article"/>
    <w:pPr>
      <w:spacing w:before="80" w:after="20"/>
    </w:pPr>
    <w:rPr>
      <w:rFonts w:ascii="Arial" w:hAnsi="Arial" w:eastAsia="Arial"/>
      <w:sz w:val="18"/>
    </w:rPr>
  </w:style>
  <w:style w:type="paragraph" w:customStyle="1" w:styleId="NovaSmall">
    <w:name w:val="Nova Small"/>
    <w:pPr>
      <w:spacing w:after="40"/>
    </w:pPr>
    <w:rPr>
      <w:rFonts w:ascii="Arial" w:hAnsi="Arial" w:eastAsia="Arial"/>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