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0637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0"/>
                    <a:stretch>
                      <a:fillRect/>
                    </a:stretch>
                  </pic:blipFill>
                  <pic:spPr>
                    <a:xfrm>
                      <a:off x="0" y="0"/>
                      <a:ext cx="1143000" cy="1063749"/>
                    </a:xfrm>
                    <a:prstGeom prst="rect"/>
                  </pic:spPr>
                </pic:pic>
              </a:graphicData>
            </a:graphic>
          </wp:inline>
        </w:drawing>
      </w:r>
    </w:p>
    <w:p>
      <w:pPr>
        <w:jc w:val="center"/>
      </w:pPr>
      <w:r>
        <w:rPr>
          <w:rFonts w:ascii="Arial" w:hAnsi="Arial"/>
          <w:b/>
          <w:sz w:val="30"/>
        </w:rPr>
        <w:t>DOCUMENT OFFICIEL</w:t>
      </w:r>
    </w:p>
    <w:p>
      <w:pPr>
        <w:jc w:val="center"/>
      </w:pPr>
      <w:r>
        <w:rPr>
          <w:rFonts w:ascii="Arial" w:hAnsi="Arial"/>
          <w:b/>
          <w:color w:val="1F2D3D"/>
          <w:sz w:val="52"/>
        </w:rPr>
        <w:t>SYSTEME NOVA</w:t>
      </w:r>
    </w:p>
    <w:p>
      <w:pPr>
        <w:jc w:val="center"/>
      </w:pPr>
      <w:r>
        <w:rPr>
          <w:rFonts w:ascii="Arial" w:hAnsi="Arial"/>
          <w:b/>
          <w:sz w:val="44"/>
        </w:rPr>
        <w:t>DOSSIER ETAT</w:t>
      </w:r>
    </w:p>
    <w:p>
      <w:pPr>
        <w:jc w:val="center"/>
      </w:pPr>
      <w:r>
        <w:rPr>
          <w:rFonts w:ascii="Arial" w:hAnsi="Arial"/>
          <w:b/>
          <w:sz w:val="34"/>
        </w:rPr>
        <w:t>CORPUS INSTITUTIONNEL MAITRE</w:t>
      </w:r>
    </w:p>
    <w:p>
      <w:pPr>
        <w:jc w:val="center"/>
      </w:pPr>
      <w:r>
        <w:rPr>
          <w:rFonts w:ascii="Arial" w:hAnsi="Arial"/>
          <w:b w:val="0"/>
          <w:i/>
          <w:sz w:val="22"/>
        </w:rPr>
        <w:t>Version consolidee - Projet Nova</w:t>
      </w:r>
    </w:p>
    <w:p>
      <w:pPr>
        <w:jc w:val="center"/>
      </w:pPr>
      <w:r>
        <w:rPr>
          <w:rFonts w:ascii="Arial" w:hAnsi="Arial"/>
          <w:sz w:val="20"/>
        </w:rPr>
        <w:t>Document de controle general reliant la doctrine, la Constitution, les normes fondamentales, les lois, les reglements, la transition et les volets politiques du Systeme Nova.</w:t>
      </w:r>
    </w:p>
    <w:p>
      <w:pPr>
        <w:jc w:val="center"/>
      </w:pPr>
      <w:r>
        <w:rPr>
          <w:rFonts w:ascii="Arial" w:hAnsi="Arial"/>
          <w:sz w:val="20"/>
        </w:rPr>
        <w:t>Ce dossier sert de carte maitresse du corpus institutionnel et de registre de coherence entre les documents officiels.</w:t>
      </w:r>
    </w:p>
    <w:p>
      <w:pPr>
        <w:jc w:val="center"/>
      </w:pPr>
      <w:r>
        <w:rPr>
          <w:rFonts w:ascii="Arial" w:hAnsi="Arial"/>
          <w:sz w:val="20"/>
        </w:rPr>
        <w:t>Classification : Corpus institutionnel - Projet Nova - document de synthese et de verification.</w:t>
      </w:r>
    </w:p>
    <w:p>
      <w:r>
        <w:br w:type="page"/>
      </w:r>
    </w:p>
    <w:p>
      <w:pPr>
        <w:pStyle w:val="Heading1"/>
      </w:pPr>
      <w:r>
        <w:t>AVIS DE CONSOLIDATION</w:t>
      </w:r>
    </w:p>
    <w:p>
      <w:r>
        <w:t>Le present Dossier Etat constitue le document maitre de coordination du Systeme Nova. Il ne remplace pas les documents normatifs specialises; il les relie, les classe et precise leur fonction dans l ensemble du corpus.</w:t>
      </w:r>
    </w:p>
    <w:p>
      <w:r>
        <w:t>Il vise a empecher la fragmentation du projet, les contradictions internes, les doublons, les oublis critiques et les contournements par interpretation administrative ou politique.</w:t>
      </w:r>
    </w:p>
    <w:p>
      <w:r>
        <w:t>Il doit etre lu avec la Constitution et normes fondamentales, les lois organiques, administratives et ordinaires, les reglements, l outil de transition constitutionnelle, les trois volets, le programme electoral et le manifeste officiel.</w:t>
      </w:r>
    </w:p>
    <w:p>
      <w:pPr>
        <w:pStyle w:val="Heading1"/>
      </w:pPr>
      <w:r>
        <w:t>FONCTION DU DOSSIER ETAT</w:t>
      </w:r>
    </w:p>
    <w:p>
      <w:r>
        <w:t>Le Dossier Etat sert de carte de reference pour comprendre ce que contient le Systeme Nova, ce qui reste a produire, ce qui doit etre verifie et ce qui doit etre mis a jour avant tout depot public ou institutionnel.</w:t>
      </w:r>
    </w:p>
    <w:p>
      <w:r>
        <w:t>Il distingue les documents constitutionnels, organiques, administratifs, operationnels, transitionnels, politiques, citoyens et de controle.</w:t>
      </w:r>
    </w:p>
    <w:p>
      <w:pPr>
        <w:pStyle w:val="Heading1"/>
      </w:pPr>
      <w:r>
        <w:t>TABLE DE REPERAGE GENERALE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rial" w:hAnsi="Arial" w:eastAsia="Arial"/>
                <w:b/>
                <w:sz w:val="17"/>
              </w:rPr>
              <w:t>Partie</w:t>
            </w:r>
          </w:p>
        </w:tc>
        <w:tc>
          <w:tcPr>
            <w:tcW w:type="dxa" w:w="3360"/>
            <w:shd w:fill="D9EAF7"/>
          </w:tcPr>
          <w:p>
            <w:r/>
            <w:r>
              <w:rPr>
                <w:rFonts w:ascii="Arial" w:hAnsi="Arial" w:eastAsia="Arial"/>
                <w:b/>
                <w:sz w:val="17"/>
              </w:rPr>
              <w:t>Objet</w:t>
            </w:r>
          </w:p>
        </w:tc>
        <w:tc>
          <w:tcPr>
            <w:tcW w:type="dxa" w:w="3360"/>
            <w:shd w:fill="D9EAF7"/>
          </w:tcPr>
          <w:p>
            <w:r/>
            <w:r>
              <w:rPr>
                <w:rFonts w:ascii="Arial" w:hAnsi="Arial" w:eastAsia="Arial"/>
                <w:b/>
                <w:sz w:val="17"/>
              </w:rPr>
              <w:t>Articles</w:t>
            </w:r>
          </w:p>
        </w:tc>
      </w:tr>
      <w:tr>
        <w:tc>
          <w:tcPr>
            <w:tcW w:type="dxa" w:w="3360"/>
            <w:vAlign w:val="center"/>
          </w:tcPr>
          <w:p>
            <w:r/>
            <w:r>
              <w:rPr>
                <w:rFonts w:ascii="Arial" w:hAnsi="Arial" w:eastAsia="Arial"/>
                <w:b w:val="0"/>
                <w:sz w:val="17"/>
              </w:rPr>
              <w:t>I</w:t>
            </w:r>
          </w:p>
        </w:tc>
        <w:tc>
          <w:tcPr>
            <w:tcW w:type="dxa" w:w="3360"/>
            <w:vAlign w:val="center"/>
          </w:tcPr>
          <w:p>
            <w:r/>
            <w:r>
              <w:rPr>
                <w:rFonts w:ascii="Arial" w:hAnsi="Arial" w:eastAsia="Arial"/>
                <w:b w:val="0"/>
                <w:sz w:val="17"/>
              </w:rPr>
              <w:t>Objet et autorite du Dossier Etat</w:t>
            </w:r>
          </w:p>
        </w:tc>
        <w:tc>
          <w:tcPr>
            <w:tcW w:type="dxa" w:w="3360"/>
            <w:vAlign w:val="center"/>
          </w:tcPr>
          <w:p>
            <w:r/>
            <w:r>
              <w:rPr>
                <w:rFonts w:ascii="Arial" w:hAnsi="Arial" w:eastAsia="Arial"/>
                <w:b w:val="0"/>
                <w:sz w:val="17"/>
              </w:rPr>
              <w:t>DE-1 a DE-10</w:t>
            </w:r>
          </w:p>
        </w:tc>
      </w:tr>
      <w:tr>
        <w:tc>
          <w:tcPr>
            <w:tcW w:type="dxa" w:w="3360"/>
            <w:vAlign w:val="center"/>
          </w:tcPr>
          <w:p>
            <w:r/>
            <w:r>
              <w:rPr>
                <w:rFonts w:ascii="Arial" w:hAnsi="Arial" w:eastAsia="Arial"/>
                <w:b w:val="0"/>
                <w:sz w:val="17"/>
              </w:rPr>
              <w:t>II</w:t>
            </w:r>
          </w:p>
        </w:tc>
        <w:tc>
          <w:tcPr>
            <w:tcW w:type="dxa" w:w="3360"/>
            <w:vAlign w:val="center"/>
          </w:tcPr>
          <w:p>
            <w:r/>
            <w:r>
              <w:rPr>
                <w:rFonts w:ascii="Arial" w:hAnsi="Arial" w:eastAsia="Arial"/>
                <w:b w:val="0"/>
                <w:sz w:val="17"/>
              </w:rPr>
              <w:t>Architecture generale du corpus</w:t>
            </w:r>
          </w:p>
        </w:tc>
        <w:tc>
          <w:tcPr>
            <w:tcW w:type="dxa" w:w="3360"/>
            <w:vAlign w:val="center"/>
          </w:tcPr>
          <w:p>
            <w:r/>
            <w:r>
              <w:rPr>
                <w:rFonts w:ascii="Arial" w:hAnsi="Arial" w:eastAsia="Arial"/>
                <w:b w:val="0"/>
                <w:sz w:val="17"/>
              </w:rPr>
              <w:t>DE-11 a DE-20</w:t>
            </w:r>
          </w:p>
        </w:tc>
      </w:tr>
      <w:tr>
        <w:tc>
          <w:tcPr>
            <w:tcW w:type="dxa" w:w="3360"/>
            <w:vAlign w:val="center"/>
          </w:tcPr>
          <w:p>
            <w:r/>
            <w:r>
              <w:rPr>
                <w:rFonts w:ascii="Arial" w:hAnsi="Arial" w:eastAsia="Arial"/>
                <w:b w:val="0"/>
                <w:sz w:val="17"/>
              </w:rPr>
              <w:t>III</w:t>
            </w:r>
          </w:p>
        </w:tc>
        <w:tc>
          <w:tcPr>
            <w:tcW w:type="dxa" w:w="3360"/>
            <w:vAlign w:val="center"/>
          </w:tcPr>
          <w:p>
            <w:r/>
            <w:r>
              <w:rPr>
                <w:rFonts w:ascii="Arial" w:hAnsi="Arial" w:eastAsia="Arial"/>
                <w:b w:val="0"/>
                <w:sz w:val="17"/>
              </w:rPr>
              <w:t>Documents constitutionnels</w:t>
            </w:r>
          </w:p>
        </w:tc>
        <w:tc>
          <w:tcPr>
            <w:tcW w:type="dxa" w:w="3360"/>
            <w:vAlign w:val="center"/>
          </w:tcPr>
          <w:p>
            <w:r/>
            <w:r>
              <w:rPr>
                <w:rFonts w:ascii="Arial" w:hAnsi="Arial" w:eastAsia="Arial"/>
                <w:b w:val="0"/>
                <w:sz w:val="17"/>
              </w:rPr>
              <w:t>DE-21 a DE-30</w:t>
            </w:r>
          </w:p>
        </w:tc>
      </w:tr>
      <w:tr>
        <w:tc>
          <w:tcPr>
            <w:tcW w:type="dxa" w:w="3360"/>
            <w:vAlign w:val="center"/>
          </w:tcPr>
          <w:p>
            <w:r/>
            <w:r>
              <w:rPr>
                <w:rFonts w:ascii="Arial" w:hAnsi="Arial" w:eastAsia="Arial"/>
                <w:b w:val="0"/>
                <w:sz w:val="17"/>
              </w:rPr>
              <w:t>IV</w:t>
            </w:r>
          </w:p>
        </w:tc>
        <w:tc>
          <w:tcPr>
            <w:tcW w:type="dxa" w:w="3360"/>
            <w:vAlign w:val="center"/>
          </w:tcPr>
          <w:p>
            <w:r/>
            <w:r>
              <w:rPr>
                <w:rFonts w:ascii="Arial" w:hAnsi="Arial" w:eastAsia="Arial"/>
                <w:b w:val="0"/>
                <w:sz w:val="17"/>
              </w:rPr>
              <w:t>Documents legislatifs et reglementaires</w:t>
            </w:r>
          </w:p>
        </w:tc>
        <w:tc>
          <w:tcPr>
            <w:tcW w:type="dxa" w:w="3360"/>
            <w:vAlign w:val="center"/>
          </w:tcPr>
          <w:p>
            <w:r/>
            <w:r>
              <w:rPr>
                <w:rFonts w:ascii="Arial" w:hAnsi="Arial" w:eastAsia="Arial"/>
                <w:b w:val="0"/>
                <w:sz w:val="17"/>
              </w:rPr>
              <w:t>DE-31 a DE-40</w:t>
            </w:r>
          </w:p>
        </w:tc>
      </w:tr>
      <w:tr>
        <w:tc>
          <w:tcPr>
            <w:tcW w:type="dxa" w:w="3360"/>
            <w:vAlign w:val="center"/>
          </w:tcPr>
          <w:p>
            <w:r/>
            <w:r>
              <w:rPr>
                <w:rFonts w:ascii="Arial" w:hAnsi="Arial" w:eastAsia="Arial"/>
                <w:b w:val="0"/>
                <w:sz w:val="17"/>
              </w:rPr>
              <w:t>V</w:t>
            </w:r>
          </w:p>
        </w:tc>
        <w:tc>
          <w:tcPr>
            <w:tcW w:type="dxa" w:w="3360"/>
            <w:vAlign w:val="center"/>
          </w:tcPr>
          <w:p>
            <w:r/>
            <w:r>
              <w:rPr>
                <w:rFonts w:ascii="Arial" w:hAnsi="Arial" w:eastAsia="Arial"/>
                <w:b w:val="0"/>
                <w:sz w:val="17"/>
              </w:rPr>
              <w:t>Documents de transition et volets nationaux</w:t>
            </w:r>
          </w:p>
        </w:tc>
        <w:tc>
          <w:tcPr>
            <w:tcW w:type="dxa" w:w="3360"/>
            <w:vAlign w:val="center"/>
          </w:tcPr>
          <w:p>
            <w:r/>
            <w:r>
              <w:rPr>
                <w:rFonts w:ascii="Arial" w:hAnsi="Arial" w:eastAsia="Arial"/>
                <w:b w:val="0"/>
                <w:sz w:val="17"/>
              </w:rPr>
              <w:t>DE-41 a DE-50</w:t>
            </w:r>
          </w:p>
        </w:tc>
      </w:tr>
      <w:tr>
        <w:tc>
          <w:tcPr>
            <w:tcW w:type="dxa" w:w="3360"/>
            <w:vAlign w:val="center"/>
          </w:tcPr>
          <w:p>
            <w:r/>
            <w:r>
              <w:rPr>
                <w:rFonts w:ascii="Arial" w:hAnsi="Arial" w:eastAsia="Arial"/>
                <w:b w:val="0"/>
                <w:sz w:val="17"/>
              </w:rPr>
              <w:t>VI</w:t>
            </w:r>
          </w:p>
        </w:tc>
        <w:tc>
          <w:tcPr>
            <w:tcW w:type="dxa" w:w="3360"/>
            <w:vAlign w:val="center"/>
          </w:tcPr>
          <w:p>
            <w:r/>
            <w:r>
              <w:rPr>
                <w:rFonts w:ascii="Arial" w:hAnsi="Arial" w:eastAsia="Arial"/>
                <w:b w:val="0"/>
                <w:sz w:val="17"/>
              </w:rPr>
              <w:t>Documents politiques et citoyens</w:t>
            </w:r>
          </w:p>
        </w:tc>
        <w:tc>
          <w:tcPr>
            <w:tcW w:type="dxa" w:w="3360"/>
            <w:vAlign w:val="center"/>
          </w:tcPr>
          <w:p>
            <w:r/>
            <w:r>
              <w:rPr>
                <w:rFonts w:ascii="Arial" w:hAnsi="Arial" w:eastAsia="Arial"/>
                <w:b w:val="0"/>
                <w:sz w:val="17"/>
              </w:rPr>
              <w:t>DE-51 a DE-60</w:t>
            </w:r>
          </w:p>
        </w:tc>
      </w:tr>
      <w:tr>
        <w:tc>
          <w:tcPr>
            <w:tcW w:type="dxa" w:w="3360"/>
            <w:vAlign w:val="center"/>
          </w:tcPr>
          <w:p>
            <w:r/>
            <w:r>
              <w:rPr>
                <w:rFonts w:ascii="Arial" w:hAnsi="Arial" w:eastAsia="Arial"/>
                <w:b w:val="0"/>
                <w:sz w:val="17"/>
              </w:rPr>
              <w:t>VII</w:t>
            </w:r>
          </w:p>
        </w:tc>
        <w:tc>
          <w:tcPr>
            <w:tcW w:type="dxa" w:w="3360"/>
            <w:vAlign w:val="center"/>
          </w:tcPr>
          <w:p>
            <w:r/>
            <w:r>
              <w:rPr>
                <w:rFonts w:ascii="Arial" w:hAnsi="Arial" w:eastAsia="Arial"/>
                <w:b w:val="0"/>
                <w:sz w:val="17"/>
              </w:rPr>
              <w:t>Controle, audit, risques et concordance</w:t>
            </w:r>
          </w:p>
        </w:tc>
        <w:tc>
          <w:tcPr>
            <w:tcW w:type="dxa" w:w="3360"/>
            <w:vAlign w:val="center"/>
          </w:tcPr>
          <w:p>
            <w:r/>
            <w:r>
              <w:rPr>
                <w:rFonts w:ascii="Arial" w:hAnsi="Arial" w:eastAsia="Arial"/>
                <w:b w:val="0"/>
                <w:sz w:val="17"/>
              </w:rPr>
              <w:t>DE-61 a DE-70</w:t>
            </w:r>
          </w:p>
        </w:tc>
      </w:tr>
      <w:tr>
        <w:tc>
          <w:tcPr>
            <w:tcW w:type="dxa" w:w="3360"/>
            <w:vAlign w:val="center"/>
          </w:tcPr>
          <w:p>
            <w:r/>
            <w:r>
              <w:rPr>
                <w:rFonts w:ascii="Arial" w:hAnsi="Arial" w:eastAsia="Arial"/>
                <w:b w:val="0"/>
                <w:sz w:val="17"/>
              </w:rPr>
              <w:t>VIII</w:t>
            </w:r>
          </w:p>
        </w:tc>
        <w:tc>
          <w:tcPr>
            <w:tcW w:type="dxa" w:w="3360"/>
            <w:vAlign w:val="center"/>
          </w:tcPr>
          <w:p>
            <w:r/>
            <w:r>
              <w:rPr>
                <w:rFonts w:ascii="Arial" w:hAnsi="Arial" w:eastAsia="Arial"/>
                <w:b w:val="0"/>
                <w:sz w:val="17"/>
              </w:rPr>
              <w:t>Mise a jour, versions et depot</w:t>
            </w:r>
          </w:p>
        </w:tc>
        <w:tc>
          <w:tcPr>
            <w:tcW w:type="dxa" w:w="3360"/>
            <w:vAlign w:val="center"/>
          </w:tcPr>
          <w:p>
            <w:r/>
            <w:r>
              <w:rPr>
                <w:rFonts w:ascii="Arial" w:hAnsi="Arial" w:eastAsia="Arial"/>
                <w:b w:val="0"/>
                <w:sz w:val="17"/>
              </w:rPr>
              <w:t>DE-71 a DE-80</w:t>
            </w:r>
          </w:p>
        </w:tc>
      </w:tr>
      <w:tr>
        <w:tc>
          <w:tcPr>
            <w:tcW w:type="dxa" w:w="3360"/>
            <w:vAlign w:val="center"/>
          </w:tcPr>
          <w:p>
            <w:r/>
            <w:r>
              <w:rPr>
                <w:rFonts w:ascii="Arial" w:hAnsi="Arial" w:eastAsia="Arial"/>
                <w:b w:val="0"/>
                <w:sz w:val="17"/>
              </w:rPr>
              <w:t>IX</w:t>
            </w:r>
          </w:p>
        </w:tc>
        <w:tc>
          <w:tcPr>
            <w:tcW w:type="dxa" w:w="3360"/>
            <w:vAlign w:val="center"/>
          </w:tcPr>
          <w:p>
            <w:r/>
            <w:r>
              <w:rPr>
                <w:rFonts w:ascii="Arial" w:hAnsi="Arial" w:eastAsia="Arial"/>
                <w:b w:val="0"/>
                <w:sz w:val="17"/>
              </w:rPr>
              <w:t>Matrice de completion du Systeme Nova</w:t>
            </w:r>
          </w:p>
        </w:tc>
        <w:tc>
          <w:tcPr>
            <w:tcW w:type="dxa" w:w="3360"/>
            <w:vAlign w:val="center"/>
          </w:tcPr>
          <w:p>
            <w:r/>
            <w:r>
              <w:rPr>
                <w:rFonts w:ascii="Arial" w:hAnsi="Arial" w:eastAsia="Arial"/>
                <w:b w:val="0"/>
                <w:sz w:val="17"/>
              </w:rPr>
              <w:t>DE-81 a DE-90</w:t>
            </w:r>
          </w:p>
        </w:tc>
      </w:tr>
      <w:tr>
        <w:tc>
          <w:tcPr>
            <w:tcW w:type="dxa" w:w="3360"/>
            <w:vAlign w:val="center"/>
          </w:tcPr>
          <w:p>
            <w:r/>
            <w:r>
              <w:rPr>
                <w:rFonts w:ascii="Arial" w:hAnsi="Arial" w:eastAsia="Arial"/>
                <w:b w:val="0"/>
                <w:sz w:val="17"/>
              </w:rPr>
              <w:t>X</w:t>
            </w:r>
          </w:p>
        </w:tc>
        <w:tc>
          <w:tcPr>
            <w:tcW w:type="dxa" w:w="3360"/>
            <w:vAlign w:val="center"/>
          </w:tcPr>
          <w:p>
            <w:r/>
            <w:r>
              <w:rPr>
                <w:rFonts w:ascii="Arial" w:hAnsi="Arial" w:eastAsia="Arial"/>
                <w:b w:val="0"/>
                <w:sz w:val="17"/>
              </w:rPr>
              <w:t>Clauses finales</w:t>
            </w:r>
          </w:p>
        </w:tc>
        <w:tc>
          <w:tcPr>
            <w:tcW w:type="dxa" w:w="3360"/>
            <w:vAlign w:val="center"/>
          </w:tcPr>
          <w:p>
            <w:r/>
            <w:r>
              <w:rPr>
                <w:rFonts w:ascii="Arial" w:hAnsi="Arial" w:eastAsia="Arial"/>
                <w:b w:val="0"/>
                <w:sz w:val="17"/>
              </w:rPr>
              <w:t>DE-91 a DE-100</w:t>
            </w:r>
          </w:p>
        </w:tc>
      </w:tr>
    </w:tbl>
    <w:p>
      <w:r>
        <w:br w:type="page"/>
      </w:r>
    </w:p>
    <w:p>
      <w:pPr>
        <w:pStyle w:val="Heading1"/>
      </w:pPr>
      <w:r>
        <w:t>PARTIE I - OBJET ET AUTORITE DU DOSSIER ETAT</w:t>
      </w:r>
    </w:p>
    <w:p>
      <w:pPr>
        <w:pStyle w:val="ArticleTitle"/>
      </w:pPr>
      <w:r>
        <w:rPr>
          <w:rFonts w:ascii="Arial" w:hAnsi="Arial"/>
          <w:b/>
          <w:sz w:val="20"/>
        </w:rPr>
        <w:t>DE-1. Objet</w:t>
      </w:r>
    </w:p>
    <w:p>
      <w:pPr>
        <w:pStyle w:val="Article"/>
      </w:pPr>
      <w:r>
        <w:t>Le Dossier Etat definit la structure complete du Systeme Nova et sert de document maitre pour en controler la coherence.</w:t>
      </w:r>
    </w:p>
    <w:p>
      <w:pPr>
        <w:pStyle w:val="ArticleTitle"/>
      </w:pPr>
      <w:r>
        <w:rPr>
          <w:rFonts w:ascii="Arial" w:hAnsi="Arial"/>
          <w:b/>
          <w:sz w:val="20"/>
        </w:rPr>
        <w:t>DE-2. Portee</w:t>
      </w:r>
    </w:p>
    <w:p>
      <w:pPr>
        <w:pStyle w:val="Article"/>
      </w:pPr>
      <w:r>
        <w:t>Il couvre les textes constitutionnels, organiques, administratifs, ordinaires, reglementaires, transitionnels, citoyens et politiques.</w:t>
      </w:r>
    </w:p>
    <w:p>
      <w:pPr>
        <w:pStyle w:val="ArticleTitle"/>
      </w:pPr>
      <w:r>
        <w:rPr>
          <w:rFonts w:ascii="Arial" w:hAnsi="Arial"/>
          <w:b/>
          <w:sz w:val="20"/>
        </w:rPr>
        <w:t>DE-3. Nature</w:t>
      </w:r>
    </w:p>
    <w:p>
      <w:pPr>
        <w:pStyle w:val="Article"/>
      </w:pPr>
      <w:r>
        <w:t>Il est un document de coordination, de verification et de transmission, non une norme superieure a la Constitution.</w:t>
      </w:r>
    </w:p>
    <w:p>
      <w:pPr>
        <w:pStyle w:val="ArticleTitle"/>
      </w:pPr>
      <w:r>
        <w:rPr>
          <w:rFonts w:ascii="Arial" w:hAnsi="Arial"/>
          <w:b/>
          <w:sz w:val="20"/>
        </w:rPr>
        <w:t>DE-4. Utilite institutionnelle</w:t>
      </w:r>
    </w:p>
    <w:p>
      <w:pPr>
        <w:pStyle w:val="Article"/>
      </w:pPr>
      <w:r>
        <w:t>Il permet aux responsables, candidats, redacteurs, juristes et citoyens de comprendre la fonction de chaque document.</w:t>
      </w:r>
    </w:p>
    <w:p>
      <w:pPr>
        <w:pStyle w:val="ArticleTitle"/>
      </w:pPr>
      <w:r>
        <w:rPr>
          <w:rFonts w:ascii="Arial" w:hAnsi="Arial"/>
          <w:b/>
          <w:sz w:val="20"/>
        </w:rPr>
        <w:t>DE-5. Priorite de coherence</w:t>
      </w:r>
    </w:p>
    <w:p>
      <w:pPr>
        <w:pStyle w:val="Article"/>
      </w:pPr>
      <w:r>
        <w:t>Aucun document du corpus ne doit contredire les principes fondamentaux du Systeme Nova sans justification et correction formelle.</w:t>
      </w:r>
    </w:p>
    <w:p>
      <w:pPr>
        <w:pStyle w:val="ArticleTitle"/>
      </w:pPr>
      <w:r>
        <w:rPr>
          <w:rFonts w:ascii="Arial" w:hAnsi="Arial"/>
          <w:b/>
          <w:sz w:val="20"/>
        </w:rPr>
        <w:t>DE-6. Lecture combinee</w:t>
      </w:r>
    </w:p>
    <w:p>
      <w:pPr>
        <w:pStyle w:val="Article"/>
      </w:pPr>
      <w:r>
        <w:t>Les documents doivent etre lus comme un ensemble : doctrine, normes, lois, reglements, transition, programme et manifeste.</w:t>
      </w:r>
    </w:p>
    <w:p>
      <w:pPr>
        <w:pStyle w:val="ArticleTitle"/>
      </w:pPr>
      <w:r>
        <w:rPr>
          <w:rFonts w:ascii="Arial" w:hAnsi="Arial"/>
          <w:b/>
          <w:sz w:val="20"/>
        </w:rPr>
        <w:t>DE-7. Prevention des oublis</w:t>
      </w:r>
    </w:p>
    <w:p>
      <w:pPr>
        <w:pStyle w:val="Article"/>
      </w:pPr>
      <w:r>
        <w:t>Le Dossier Etat identifie les lacunes qui doivent etre comblees avant depot public complet.</w:t>
      </w:r>
    </w:p>
    <w:p>
      <w:pPr>
        <w:pStyle w:val="ArticleTitle"/>
      </w:pPr>
      <w:r>
        <w:rPr>
          <w:rFonts w:ascii="Arial" w:hAnsi="Arial"/>
          <w:b/>
          <w:sz w:val="20"/>
        </w:rPr>
        <w:t>DE-8. Prevention du doublon</w:t>
      </w:r>
    </w:p>
    <w:p>
      <w:pPr>
        <w:pStyle w:val="Article"/>
      </w:pPr>
      <w:r>
        <w:t>Il sert a limiter les repetitions inutiles et a renvoyer chaque sujet vers son document naturel.</w:t>
      </w:r>
    </w:p>
    <w:p>
      <w:pPr>
        <w:pStyle w:val="ArticleTitle"/>
      </w:pPr>
      <w:r>
        <w:rPr>
          <w:rFonts w:ascii="Arial" w:hAnsi="Arial"/>
          <w:b/>
          <w:sz w:val="20"/>
        </w:rPr>
        <w:t>DE-9. Traçabilite</w:t>
      </w:r>
    </w:p>
    <w:p>
      <w:pPr>
        <w:pStyle w:val="Article"/>
      </w:pPr>
      <w:r>
        <w:t>Chaque grande politique doit pouvoir etre rattachee a une source normative, politique ou technique identifiable.</w:t>
      </w:r>
    </w:p>
    <w:p>
      <w:pPr>
        <w:pStyle w:val="ArticleTitle"/>
      </w:pPr>
      <w:r>
        <w:rPr>
          <w:rFonts w:ascii="Arial" w:hAnsi="Arial"/>
          <w:b/>
          <w:sz w:val="20"/>
        </w:rPr>
        <w:t>DE-10. Engagement</w:t>
      </w:r>
    </w:p>
    <w:p>
      <w:pPr>
        <w:pStyle w:val="Article"/>
      </w:pPr>
      <w:r>
        <w:t>Le Projet Nova s engage a maintenir un Dossier Etat clair, date, versionne et verifiable.</w:t>
      </w:r>
    </w:p>
    <w:p>
      <w:pPr>
        <w:pStyle w:val="Heading1"/>
      </w:pPr>
      <w:r>
        <w:t>PARTIE II - ARCHITECTURE GENERALE DU CORPUS</w:t>
      </w:r>
    </w:p>
    <w:p>
      <w:pPr>
        <w:pStyle w:val="ArticleTitle"/>
      </w:pPr>
      <w:r>
        <w:rPr>
          <w:rFonts w:ascii="Arial" w:hAnsi="Arial"/>
          <w:b/>
          <w:sz w:val="20"/>
        </w:rPr>
        <w:t>DE-11. Corpus central</w:t>
      </w:r>
    </w:p>
    <w:p>
      <w:pPr>
        <w:pStyle w:val="Article"/>
      </w:pPr>
      <w:r>
        <w:t>Le corpus central comprend la Constitution, les normes fondamentales, les lois organiques, les lois administratives, les lois ordinaires et les reglements.</w:t>
      </w:r>
    </w:p>
    <w:p>
      <w:pPr>
        <w:pStyle w:val="ArticleTitle"/>
      </w:pPr>
      <w:r>
        <w:rPr>
          <w:rFonts w:ascii="Arial" w:hAnsi="Arial"/>
          <w:b/>
          <w:sz w:val="20"/>
        </w:rPr>
        <w:t>DE-12. Corpus transitionnel</w:t>
      </w:r>
    </w:p>
    <w:p>
      <w:pPr>
        <w:pStyle w:val="Article"/>
      </w:pPr>
      <w:r>
        <w:t>Le corpus transitionnel comprend l outil de transition constitutionnelle et les volets 1, 2 et 3.</w:t>
      </w:r>
    </w:p>
    <w:p>
      <w:pPr>
        <w:pStyle w:val="ArticleTitle"/>
      </w:pPr>
      <w:r>
        <w:rPr>
          <w:rFonts w:ascii="Arial" w:hAnsi="Arial"/>
          <w:b/>
          <w:sz w:val="20"/>
        </w:rPr>
        <w:t>DE-13. Corpus politique</w:t>
      </w:r>
    </w:p>
    <w:p>
      <w:pPr>
        <w:pStyle w:val="Article"/>
      </w:pPr>
      <w:r>
        <w:t>Le corpus politique comprend le programme electoral complet, le manifeste officiel et les communications citoyennes.</w:t>
      </w:r>
    </w:p>
    <w:p>
      <w:pPr>
        <w:pStyle w:val="ArticleTitle"/>
      </w:pPr>
      <w:r>
        <w:rPr>
          <w:rFonts w:ascii="Arial" w:hAnsi="Arial"/>
          <w:b/>
          <w:sz w:val="20"/>
        </w:rPr>
        <w:t>DE-14. Corpus de controle</w:t>
      </w:r>
    </w:p>
    <w:p>
      <w:pPr>
        <w:pStyle w:val="Article"/>
      </w:pPr>
      <w:r>
        <w:t>Le corpus de controle comprend la table de concordance, le registre des risques, l audit de defense constitutionnelle et les outils anti-contournement.</w:t>
      </w:r>
    </w:p>
    <w:p>
      <w:pPr>
        <w:pStyle w:val="ArticleTitle"/>
      </w:pPr>
      <w:r>
        <w:rPr>
          <w:rFonts w:ascii="Arial" w:hAnsi="Arial"/>
          <w:b/>
          <w:sz w:val="20"/>
        </w:rPr>
        <w:t>DE-15. Corpus citoyen</w:t>
      </w:r>
    </w:p>
    <w:p>
      <w:pPr>
        <w:pStyle w:val="Article"/>
      </w:pPr>
      <w:r>
        <w:t>Le corpus citoyen comprend les versions publiques simplifiees, les resumes, les fiches explicatives et les documents de vulgarisation.</w:t>
      </w:r>
    </w:p>
    <w:p>
      <w:pPr>
        <w:pStyle w:val="ArticleTitle"/>
      </w:pPr>
      <w:r>
        <w:rPr>
          <w:rFonts w:ascii="Arial" w:hAnsi="Arial"/>
          <w:b/>
          <w:sz w:val="20"/>
        </w:rPr>
        <w:t>DE-16. Corpus interne</w:t>
      </w:r>
    </w:p>
    <w:p>
      <w:pPr>
        <w:pStyle w:val="Article"/>
      </w:pPr>
      <w:r>
        <w:t>Le corpus interne comprend le code de conduite, la gouvernance du futur Parti Nova, la selection des candidats et la discipline ethique.</w:t>
      </w:r>
    </w:p>
    <w:p>
      <w:pPr>
        <w:pStyle w:val="ArticleTitle"/>
      </w:pPr>
      <w:r>
        <w:rPr>
          <w:rFonts w:ascii="Arial" w:hAnsi="Arial"/>
          <w:b/>
          <w:sz w:val="20"/>
        </w:rPr>
        <w:t>DE-17. Ordre de consultation</w:t>
      </w:r>
    </w:p>
    <w:p>
      <w:pPr>
        <w:pStyle w:val="Article"/>
      </w:pPr>
      <w:r>
        <w:t>Pour comprendre le systeme, il faut lire : manifeste, programme, Dossier Etat, Constitution, normes, lois, reglements, transition, volets, controle.</w:t>
      </w:r>
    </w:p>
    <w:p>
      <w:pPr>
        <w:pStyle w:val="ArticleTitle"/>
      </w:pPr>
      <w:r>
        <w:rPr>
          <w:rFonts w:ascii="Arial" w:hAnsi="Arial"/>
          <w:b/>
          <w:sz w:val="20"/>
        </w:rPr>
        <w:t>DE-18. Reference unique</w:t>
      </w:r>
    </w:p>
    <w:p>
      <w:pPr>
        <w:pStyle w:val="Article"/>
      </w:pPr>
      <w:r>
        <w:t>Chaque document officiel doit porter un titre stable, une date, une version et une fonction claire.</w:t>
      </w:r>
    </w:p>
    <w:p>
      <w:pPr>
        <w:pStyle w:val="ArticleTitle"/>
      </w:pPr>
      <w:r>
        <w:rPr>
          <w:rFonts w:ascii="Arial" w:hAnsi="Arial"/>
          <w:b/>
          <w:sz w:val="20"/>
        </w:rPr>
        <w:t>DE-19. Compatibilite</w:t>
      </w:r>
    </w:p>
    <w:p>
      <w:pPr>
        <w:pStyle w:val="Article"/>
      </w:pPr>
      <w:r>
        <w:t>Les documents doivent utiliser les memes termes pour designer les institutions, autorites, droits, devoirs et mecanismes.</w:t>
      </w:r>
    </w:p>
    <w:p>
      <w:pPr>
        <w:pStyle w:val="ArticleTitle"/>
      </w:pPr>
      <w:r>
        <w:rPr>
          <w:rFonts w:ascii="Arial" w:hAnsi="Arial"/>
          <w:b/>
          <w:sz w:val="20"/>
        </w:rPr>
        <w:t>DE-20. Revision</w:t>
      </w:r>
    </w:p>
    <w:p>
      <w:pPr>
        <w:pStyle w:val="Article"/>
      </w:pPr>
      <w:r>
        <w:t>Toute revision importante doit mettre a jour la table de concordance et le registre des risques.</w:t>
      </w:r>
    </w:p>
    <w:p>
      <w:pPr>
        <w:pStyle w:val="Heading1"/>
      </w:pPr>
      <w:r>
        <w:t>PARTIE III - DOCUMENTS CONSTITUTIONNELS</w:t>
      </w:r>
    </w:p>
    <w:p>
      <w:pPr>
        <w:pStyle w:val="ArticleTitle"/>
      </w:pPr>
      <w:r>
        <w:rPr>
          <w:rFonts w:ascii="Arial" w:hAnsi="Arial"/>
          <w:b/>
          <w:sz w:val="20"/>
        </w:rPr>
        <w:t>DE-21. Constitution</w:t>
      </w:r>
    </w:p>
    <w:p>
      <w:pPr>
        <w:pStyle w:val="Article"/>
      </w:pPr>
      <w:r>
        <w:t>La Constitution du Quebec - version Projet Nova est le coeur juridique du systeme et definit les institutions, droits, limites et garanties.</w:t>
      </w:r>
    </w:p>
    <w:p>
      <w:pPr>
        <w:pStyle w:val="ArticleTitle"/>
      </w:pPr>
      <w:r>
        <w:rPr>
          <w:rFonts w:ascii="Arial" w:hAnsi="Arial"/>
          <w:b/>
          <w:sz w:val="20"/>
        </w:rPr>
        <w:t>DE-22. Normes fondamentales</w:t>
      </w:r>
    </w:p>
    <w:p>
      <w:pPr>
        <w:pStyle w:val="Article"/>
      </w:pPr>
      <w:r>
        <w:t>Les normes fondamentales precisent les principes directeurs : souverainete populaire, transparence, integrite, liberte de conscience, francais, controle citoyen et anti-contournement.</w:t>
      </w:r>
    </w:p>
    <w:p>
      <w:pPr>
        <w:pStyle w:val="ArticleTitle"/>
      </w:pPr>
      <w:r>
        <w:rPr>
          <w:rFonts w:ascii="Arial" w:hAnsi="Arial"/>
          <w:b/>
          <w:sz w:val="20"/>
        </w:rPr>
        <w:t>DE-23. Droits et libertes</w:t>
      </w:r>
    </w:p>
    <w:p>
      <w:pPr>
        <w:pStyle w:val="Article"/>
      </w:pPr>
      <w:r>
        <w:t>Les droits fondamentaux doivent etre proteges contre l abus de l Etat, la concentration du pouvoir et les decisions opaques.</w:t>
      </w:r>
    </w:p>
    <w:p>
      <w:pPr>
        <w:pStyle w:val="ArticleTitle"/>
      </w:pPr>
      <w:r>
        <w:rPr>
          <w:rFonts w:ascii="Arial" w:hAnsi="Arial"/>
          <w:b/>
          <w:sz w:val="20"/>
        </w:rPr>
        <w:t>DE-24. Vote independant</w:t>
      </w:r>
    </w:p>
    <w:p>
      <w:pPr>
        <w:pStyle w:val="Article"/>
      </w:pPr>
      <w:r>
        <w:t>La Constitution doit garantir que le vote, les referendums et initiatives citoyennes restent hors du controle gouvernemental.</w:t>
      </w:r>
    </w:p>
    <w:p>
      <w:pPr>
        <w:pStyle w:val="ArticleTitle"/>
      </w:pPr>
      <w:r>
        <w:rPr>
          <w:rFonts w:ascii="Arial" w:hAnsi="Arial"/>
          <w:b/>
          <w:sz w:val="20"/>
        </w:rPr>
        <w:t>DE-25. Pouvoir limite</w:t>
      </w:r>
    </w:p>
    <w:p>
      <w:pPr>
        <w:pStyle w:val="Article"/>
      </w:pPr>
      <w:r>
        <w:t>Le pouvoir executif, legislatif, administratif et numerique doit etre limite par des contre-pouvoirs reels.</w:t>
      </w:r>
    </w:p>
    <w:p>
      <w:pPr>
        <w:pStyle w:val="ArticleTitle"/>
      </w:pPr>
      <w:r>
        <w:rPr>
          <w:rFonts w:ascii="Arial" w:hAnsi="Arial"/>
          <w:b/>
          <w:sz w:val="20"/>
        </w:rPr>
        <w:t>DE-26. Revision constitutionnelle</w:t>
      </w:r>
    </w:p>
    <w:p>
      <w:pPr>
        <w:pStyle w:val="Article"/>
      </w:pPr>
      <w:r>
        <w:t>Toute modification majeure exige une procedure renforcee et, lorsque necessaire, un vote populaire.</w:t>
      </w:r>
    </w:p>
    <w:p>
      <w:pPr>
        <w:pStyle w:val="ArticleTitle"/>
      </w:pPr>
      <w:r>
        <w:rPr>
          <w:rFonts w:ascii="Arial" w:hAnsi="Arial"/>
          <w:b/>
          <w:sz w:val="20"/>
        </w:rPr>
        <w:t>DE-27. Constitution citoyenne</w:t>
      </w:r>
    </w:p>
    <w:p>
      <w:pPr>
        <w:pStyle w:val="Article"/>
      </w:pPr>
      <w:r>
        <w:t>Une version citoyenne de la Constitution doit rendre les garanties compréhensibles au public.</w:t>
      </w:r>
    </w:p>
    <w:p>
      <w:pPr>
        <w:pStyle w:val="ArticleTitle"/>
      </w:pPr>
      <w:r>
        <w:rPr>
          <w:rFonts w:ascii="Arial" w:hAnsi="Arial"/>
          <w:b/>
          <w:sz w:val="20"/>
        </w:rPr>
        <w:t>DE-28. Anti-totalitarisme</w:t>
      </w:r>
    </w:p>
    <w:p>
      <w:pPr>
        <w:pStyle w:val="Article"/>
      </w:pPr>
      <w:r>
        <w:t>Les normes constitutionnelles doivent empecher l etat policier, la surveillance de masse, le score social et la pensee obligatoire.</w:t>
      </w:r>
    </w:p>
    <w:p>
      <w:pPr>
        <w:pStyle w:val="ArticleTitle"/>
      </w:pPr>
      <w:r>
        <w:rPr>
          <w:rFonts w:ascii="Arial" w:hAnsi="Arial"/>
          <w:b/>
          <w:sz w:val="20"/>
        </w:rPr>
        <w:t>DE-29. Continuite</w:t>
      </w:r>
    </w:p>
    <w:p>
      <w:pPr>
        <w:pStyle w:val="Article"/>
      </w:pPr>
      <w:r>
        <w:t>La Constitution doit assurer la continuite de l Etat et des services essentiels pendant et apres la transition.</w:t>
      </w:r>
    </w:p>
    <w:p>
      <w:pPr>
        <w:pStyle w:val="ArticleTitle"/>
      </w:pPr>
      <w:r>
        <w:rPr>
          <w:rFonts w:ascii="Arial" w:hAnsi="Arial"/>
          <w:b/>
          <w:sz w:val="20"/>
        </w:rPr>
        <w:t>DE-30. Depot</w:t>
      </w:r>
    </w:p>
    <w:p>
      <w:pPr>
        <w:pStyle w:val="Article"/>
      </w:pPr>
      <w:r>
        <w:t>Le depot constitutionnel doit etre accompagne d explications, de tableaux et de garanties lisibles.</w:t>
      </w:r>
    </w:p>
    <w:p>
      <w:pPr>
        <w:pStyle w:val="Heading1"/>
      </w:pPr>
      <w:r>
        <w:t>PARTIE IV - DOCUMENTS LEGISLATIFS ET REGLEMENTAIRES</w:t>
      </w:r>
    </w:p>
    <w:p>
      <w:pPr>
        <w:pStyle w:val="ArticleTitle"/>
      </w:pPr>
      <w:r>
        <w:rPr>
          <w:rFonts w:ascii="Arial" w:hAnsi="Arial"/>
          <w:b/>
          <w:sz w:val="20"/>
        </w:rPr>
        <w:t>DE-31. Lois organiques</w:t>
      </w:r>
    </w:p>
    <w:p>
      <w:pPr>
        <w:pStyle w:val="Article"/>
      </w:pPr>
      <w:r>
        <w:t>Les lois organiques structurent les institutions, autorites independantes, finances publiques, controle democratique et mecanismes de l Etat.</w:t>
      </w:r>
    </w:p>
    <w:p>
      <w:pPr>
        <w:pStyle w:val="ArticleTitle"/>
      </w:pPr>
      <w:r>
        <w:rPr>
          <w:rFonts w:ascii="Arial" w:hAnsi="Arial"/>
          <w:b/>
          <w:sz w:val="20"/>
        </w:rPr>
        <w:t>DE-32. Lois administratives</w:t>
      </w:r>
    </w:p>
    <w:p>
      <w:pPr>
        <w:pStyle w:val="Article"/>
      </w:pPr>
      <w:r>
        <w:t>Les lois administratives encadrent les ministeres, organismes, nominations, contrats, transparence et fonctionnement administratif.</w:t>
      </w:r>
    </w:p>
    <w:p>
      <w:pPr>
        <w:pStyle w:val="ArticleTitle"/>
      </w:pPr>
      <w:r>
        <w:rPr>
          <w:rFonts w:ascii="Arial" w:hAnsi="Arial"/>
          <w:b/>
          <w:sz w:val="20"/>
        </w:rPr>
        <w:t>DE-33. Lois ordinaires</w:t>
      </w:r>
    </w:p>
    <w:p>
      <w:pPr>
        <w:pStyle w:val="Article"/>
      </w:pPr>
      <w:r>
        <w:t>Les lois ordinaires traduisent les politiques publiques operationnelles : services, economie, fiscalite, logement, immigration, securite, numerique et environnement.</w:t>
      </w:r>
    </w:p>
    <w:p>
      <w:pPr>
        <w:pStyle w:val="ArticleTitle"/>
      </w:pPr>
      <w:r>
        <w:rPr>
          <w:rFonts w:ascii="Arial" w:hAnsi="Arial"/>
          <w:b/>
          <w:sz w:val="20"/>
        </w:rPr>
        <w:t>DE-34. Reglements</w:t>
      </w:r>
    </w:p>
    <w:p>
      <w:pPr>
        <w:pStyle w:val="Article"/>
      </w:pPr>
      <w:r>
        <w:t>Les reglements precisent l application pratique des lois sans pouvoir en modifier l esprit.</w:t>
      </w:r>
    </w:p>
    <w:p>
      <w:pPr>
        <w:pStyle w:val="ArticleTitle"/>
      </w:pPr>
      <w:r>
        <w:rPr>
          <w:rFonts w:ascii="Arial" w:hAnsi="Arial"/>
          <w:b/>
          <w:sz w:val="20"/>
        </w:rPr>
        <w:t>DE-35. Directives</w:t>
      </w:r>
    </w:p>
    <w:p>
      <w:pPr>
        <w:pStyle w:val="Article"/>
      </w:pPr>
      <w:r>
        <w:t>Les directives administratives ne doivent jamais creer une norme cachee contraire a la loi ou a la Constitution.</w:t>
      </w:r>
    </w:p>
    <w:p>
      <w:pPr>
        <w:pStyle w:val="ArticleTitle"/>
      </w:pPr>
      <w:r>
        <w:rPr>
          <w:rFonts w:ascii="Arial" w:hAnsi="Arial"/>
          <w:b/>
          <w:sz w:val="20"/>
        </w:rPr>
        <w:t>DE-36. Formulaires</w:t>
      </w:r>
    </w:p>
    <w:p>
      <w:pPr>
        <w:pStyle w:val="Article"/>
      </w:pPr>
      <w:r>
        <w:t>Les formulaires publics doivent rester simples, utiles, justifies et accessibles.</w:t>
      </w:r>
    </w:p>
    <w:p>
      <w:pPr>
        <w:pStyle w:val="ArticleTitle"/>
      </w:pPr>
      <w:r>
        <w:rPr>
          <w:rFonts w:ascii="Arial" w:hAnsi="Arial"/>
          <w:b/>
          <w:sz w:val="20"/>
        </w:rPr>
        <w:t>DE-37. Publication</w:t>
      </w:r>
    </w:p>
    <w:p>
      <w:pPr>
        <w:pStyle w:val="Article"/>
      </w:pPr>
      <w:r>
        <w:t>Les lois et reglements doivent etre publies avec leurs objectifs, responsables, delais et mecanismes de recours.</w:t>
      </w:r>
    </w:p>
    <w:p>
      <w:pPr>
        <w:pStyle w:val="ArticleTitle"/>
      </w:pPr>
      <w:r>
        <w:rPr>
          <w:rFonts w:ascii="Arial" w:hAnsi="Arial"/>
          <w:b/>
          <w:sz w:val="20"/>
        </w:rPr>
        <w:t>DE-38. Evaluation</w:t>
      </w:r>
    </w:p>
    <w:p>
      <w:pPr>
        <w:pStyle w:val="Article"/>
      </w:pPr>
      <w:r>
        <w:t>Les lois doivent etre evaluees selon leurs resultats reels et corrigees si elles echouent.</w:t>
      </w:r>
    </w:p>
    <w:p>
      <w:pPr>
        <w:pStyle w:val="ArticleTitle"/>
      </w:pPr>
      <w:r>
        <w:rPr>
          <w:rFonts w:ascii="Arial" w:hAnsi="Arial"/>
          <w:b/>
          <w:sz w:val="20"/>
        </w:rPr>
        <w:t>DE-39. Concordance</w:t>
      </w:r>
    </w:p>
    <w:p>
      <w:pPr>
        <w:pStyle w:val="Article"/>
      </w:pPr>
      <w:r>
        <w:t>Chaque loi doit etre rattachee a la Constitution, aux normes fondamentales et aux engagements du programme.</w:t>
      </w:r>
    </w:p>
    <w:p>
      <w:pPr>
        <w:pStyle w:val="ArticleTitle"/>
      </w:pPr>
      <w:r>
        <w:rPr>
          <w:rFonts w:ascii="Arial" w:hAnsi="Arial"/>
          <w:b/>
          <w:sz w:val="20"/>
        </w:rPr>
        <w:t>DE-40. Controle</w:t>
      </w:r>
    </w:p>
    <w:p>
      <w:pPr>
        <w:pStyle w:val="Article"/>
      </w:pPr>
      <w:r>
        <w:t>Aucune norme secondaire ne peut contourner une norme superieure.</w:t>
      </w:r>
    </w:p>
    <w:p>
      <w:pPr>
        <w:pStyle w:val="Heading1"/>
      </w:pPr>
      <w:r>
        <w:t>PARTIE V - DOCUMENTS DE TRANSITION ET VOLETS NATIONAUX</w:t>
      </w:r>
    </w:p>
    <w:p>
      <w:pPr>
        <w:pStyle w:val="ArticleTitle"/>
      </w:pPr>
      <w:r>
        <w:rPr>
          <w:rFonts w:ascii="Arial" w:hAnsi="Arial"/>
          <w:b/>
          <w:sz w:val="20"/>
        </w:rPr>
        <w:t>DE-41. Outil de transition</w:t>
      </w:r>
    </w:p>
    <w:p>
      <w:pPr>
        <w:pStyle w:val="Article"/>
      </w:pPr>
      <w:r>
        <w:t>L outil de transition constitutionnelle organise le passage entre le Quebec actuel, la phase transitoire et l Etat souverain consolide.</w:t>
      </w:r>
    </w:p>
    <w:p>
      <w:pPr>
        <w:pStyle w:val="ArticleTitle"/>
      </w:pPr>
      <w:r>
        <w:rPr>
          <w:rFonts w:ascii="Arial" w:hAnsi="Arial"/>
          <w:b/>
          <w:sz w:val="20"/>
        </w:rPr>
        <w:t>DE-42. Volet 1</w:t>
      </w:r>
    </w:p>
    <w:p>
      <w:pPr>
        <w:pStyle w:val="Article"/>
      </w:pPr>
      <w:r>
        <w:t>Le Volet 1 etablit le diagnostic du Quebec dans le Canada, ses limites, dependances, contraintes et risques.</w:t>
      </w:r>
    </w:p>
    <w:p>
      <w:pPr>
        <w:pStyle w:val="ArticleTitle"/>
      </w:pPr>
      <w:r>
        <w:rPr>
          <w:rFonts w:ascii="Arial" w:hAnsi="Arial"/>
          <w:b/>
          <w:sz w:val="20"/>
        </w:rPr>
        <w:t>DE-43. Volet 2</w:t>
      </w:r>
    </w:p>
    <w:p>
      <w:pPr>
        <w:pStyle w:val="Article"/>
      </w:pPr>
      <w:r>
        <w:t>Le Volet 2 decrit la phase de transition constitutionnelle, les garanties, les services essentiels et la continuité institutionnelle.</w:t>
      </w:r>
    </w:p>
    <w:p>
      <w:pPr>
        <w:pStyle w:val="ArticleTitle"/>
      </w:pPr>
      <w:r>
        <w:rPr>
          <w:rFonts w:ascii="Arial" w:hAnsi="Arial"/>
          <w:b/>
          <w:sz w:val="20"/>
        </w:rPr>
        <w:t>DE-44. Volet 3</w:t>
      </w:r>
    </w:p>
    <w:p>
      <w:pPr>
        <w:pStyle w:val="Article"/>
      </w:pPr>
      <w:r>
        <w:t>Le Volet 3 presente l etat final vise : Quebec pays souverain, institutions consolidees, citoyennete, diplomatie et autonomie strategique.</w:t>
      </w:r>
    </w:p>
    <w:p>
      <w:pPr>
        <w:pStyle w:val="ArticleTitle"/>
      </w:pPr>
      <w:r>
        <w:rPr>
          <w:rFonts w:ascii="Arial" w:hAnsi="Arial"/>
          <w:b/>
          <w:sz w:val="20"/>
        </w:rPr>
        <w:t>DE-45. Mandat populaire</w:t>
      </w:r>
    </w:p>
    <w:p>
      <w:pPr>
        <w:pStyle w:val="Article"/>
      </w:pPr>
      <w:r>
        <w:t>Toute transition fondamentale doit reposer sur un mandat populaire clair, verifiable et respecte.</w:t>
      </w:r>
    </w:p>
    <w:p>
      <w:pPr>
        <w:pStyle w:val="ArticleTitle"/>
      </w:pPr>
      <w:r>
        <w:rPr>
          <w:rFonts w:ascii="Arial" w:hAnsi="Arial"/>
          <w:b/>
          <w:sz w:val="20"/>
        </w:rPr>
        <w:t>DE-46. Services essentiels</w:t>
      </w:r>
    </w:p>
    <w:p>
      <w:pPr>
        <w:pStyle w:val="Article"/>
      </w:pPr>
      <w:r>
        <w:t>La transition doit proteger sante, education, justice, securite, energie, eau, paiements, donnees et infrastructures critiques.</w:t>
      </w:r>
    </w:p>
    <w:p>
      <w:pPr>
        <w:pStyle w:val="ArticleTitle"/>
      </w:pPr>
      <w:r>
        <w:rPr>
          <w:rFonts w:ascii="Arial" w:hAnsi="Arial"/>
          <w:b/>
          <w:sz w:val="20"/>
        </w:rPr>
        <w:t>DE-47. Finances</w:t>
      </w:r>
    </w:p>
    <w:p>
      <w:pPr>
        <w:pStyle w:val="Article"/>
      </w:pPr>
      <w:r>
        <w:t>Les actifs, dette, revenus, contrats et engagements doivent etre inventories et expliques.</w:t>
      </w:r>
    </w:p>
    <w:p>
      <w:pPr>
        <w:pStyle w:val="ArticleTitle"/>
      </w:pPr>
      <w:r>
        <w:rPr>
          <w:rFonts w:ascii="Arial" w:hAnsi="Arial"/>
          <w:b/>
          <w:sz w:val="20"/>
        </w:rPr>
        <w:t>DE-48. Relations externes</w:t>
      </w:r>
    </w:p>
    <w:p>
      <w:pPr>
        <w:pStyle w:val="Article"/>
      </w:pPr>
      <w:r>
        <w:t>Les relations avec le Canada, les Etats-Unis et les partenaires internationaux doivent etre preparees avec prudence.</w:t>
      </w:r>
    </w:p>
    <w:p>
      <w:pPr>
        <w:pStyle w:val="ArticleTitle"/>
      </w:pPr>
      <w:r>
        <w:rPr>
          <w:rFonts w:ascii="Arial" w:hAnsi="Arial"/>
          <w:b/>
          <w:sz w:val="20"/>
        </w:rPr>
        <w:t>DE-49. Information citoyenne</w:t>
      </w:r>
    </w:p>
    <w:p>
      <w:pPr>
        <w:pStyle w:val="Article"/>
      </w:pPr>
      <w:r>
        <w:t>Les citoyens doivent recevoir une information claire, complete, non manipulatrice et equilibree.</w:t>
      </w:r>
    </w:p>
    <w:p>
      <w:pPr>
        <w:pStyle w:val="ArticleTitle"/>
      </w:pPr>
      <w:r>
        <w:rPr>
          <w:rFonts w:ascii="Arial" w:hAnsi="Arial"/>
          <w:b/>
          <w:sz w:val="20"/>
        </w:rPr>
        <w:t>DE-50. Activation</w:t>
      </w:r>
    </w:p>
    <w:p>
      <w:pPr>
        <w:pStyle w:val="Article"/>
      </w:pPr>
      <w:r>
        <w:t>Le passage au Volet 3 doit etre conditionne par la preparation, la legalite, la continuite et le mandat populaire.</w:t>
      </w:r>
    </w:p>
    <w:p>
      <w:pPr>
        <w:pStyle w:val="Heading1"/>
      </w:pPr>
      <w:r>
        <w:t>PARTIE VI - DOCUMENTS POLITIQUES ET CITOYENS</w:t>
      </w:r>
    </w:p>
    <w:p>
      <w:pPr>
        <w:pStyle w:val="ArticleTitle"/>
      </w:pPr>
      <w:r>
        <w:rPr>
          <w:rFonts w:ascii="Arial" w:hAnsi="Arial"/>
          <w:b/>
          <w:sz w:val="20"/>
        </w:rPr>
        <w:t>DE-51. Programme electoral</w:t>
      </w:r>
    </w:p>
    <w:p>
      <w:pPr>
        <w:pStyle w:val="Article"/>
      </w:pPr>
      <w:r>
        <w:t>Le programme electoral complet transforme le corpus en engagements de premier mandat et en feuille de route democratique.</w:t>
      </w:r>
    </w:p>
    <w:p>
      <w:pPr>
        <w:pStyle w:val="ArticleTitle"/>
      </w:pPr>
      <w:r>
        <w:rPr>
          <w:rFonts w:ascii="Arial" w:hAnsi="Arial"/>
          <w:b/>
          <w:sz w:val="20"/>
        </w:rPr>
        <w:t>DE-52. Manifeste</w:t>
      </w:r>
    </w:p>
    <w:p>
      <w:pPr>
        <w:pStyle w:val="Article"/>
      </w:pPr>
      <w:r>
        <w:t>Le manifeste officiel presente la vision publique, l appel au peuple et les engagements fondamentaux dans un langage accessible.</w:t>
      </w:r>
    </w:p>
    <w:p>
      <w:pPr>
        <w:pStyle w:val="ArticleTitle"/>
      </w:pPr>
      <w:r>
        <w:rPr>
          <w:rFonts w:ascii="Arial" w:hAnsi="Arial"/>
          <w:b/>
          <w:sz w:val="20"/>
        </w:rPr>
        <w:t>DE-53. Version publique</w:t>
      </w:r>
    </w:p>
    <w:p>
      <w:pPr>
        <w:pStyle w:val="Article"/>
      </w:pPr>
      <w:r>
        <w:t>La version publique simplifiee doit permettre aux citoyens de comprendre le systeme sans lire tous les documents techniques.</w:t>
      </w:r>
    </w:p>
    <w:p>
      <w:pPr>
        <w:pStyle w:val="ArticleTitle"/>
      </w:pPr>
      <w:r>
        <w:rPr>
          <w:rFonts w:ascii="Arial" w:hAnsi="Arial"/>
          <w:b/>
          <w:sz w:val="20"/>
        </w:rPr>
        <w:t>DE-54. Fiches citoyennes</w:t>
      </w:r>
    </w:p>
    <w:p>
      <w:pPr>
        <w:pStyle w:val="Article"/>
      </w:pPr>
      <w:r>
        <w:t>Des fiches thematiques doivent expliquer vote, souverainete, immigration, fiscalite, sante, economie, numerique et services essentiels.</w:t>
      </w:r>
    </w:p>
    <w:p>
      <w:pPr>
        <w:pStyle w:val="ArticleTitle"/>
      </w:pPr>
      <w:r>
        <w:rPr>
          <w:rFonts w:ascii="Arial" w:hAnsi="Arial"/>
          <w:b/>
          <w:sz w:val="20"/>
        </w:rPr>
        <w:t>DE-55. Transparence electorale</w:t>
      </w:r>
    </w:p>
    <w:p>
      <w:pPr>
        <w:pStyle w:val="Article"/>
      </w:pPr>
      <w:r>
        <w:t>Les engagements electoraux doivent etre suivis par un tableau public apres l election.</w:t>
      </w:r>
    </w:p>
    <w:p>
      <w:pPr>
        <w:pStyle w:val="ArticleTitle"/>
      </w:pPr>
      <w:r>
        <w:rPr>
          <w:rFonts w:ascii="Arial" w:hAnsi="Arial"/>
          <w:b/>
          <w:sz w:val="20"/>
        </w:rPr>
        <w:t>DE-56. Langage clair</w:t>
      </w:r>
    </w:p>
    <w:p>
      <w:pPr>
        <w:pStyle w:val="Article"/>
      </w:pPr>
      <w:r>
        <w:t>Le Projet Nova doit eviter le langage inutilement complique lorsque le citoyen doit comprendre et decider.</w:t>
      </w:r>
    </w:p>
    <w:p>
      <w:pPr>
        <w:pStyle w:val="ArticleTitle"/>
      </w:pPr>
      <w:r>
        <w:rPr>
          <w:rFonts w:ascii="Arial" w:hAnsi="Arial"/>
          <w:b/>
          <w:sz w:val="20"/>
        </w:rPr>
        <w:t>DE-57. Communication responsable</w:t>
      </w:r>
    </w:p>
    <w:p>
      <w:pPr>
        <w:pStyle w:val="Article"/>
      </w:pPr>
      <w:r>
        <w:t>Les communications publiques doivent refuser la peur, la manipulation, les promesses impossibles et les contradictions.</w:t>
      </w:r>
    </w:p>
    <w:p>
      <w:pPr>
        <w:pStyle w:val="ArticleTitle"/>
      </w:pPr>
      <w:r>
        <w:rPr>
          <w:rFonts w:ascii="Arial" w:hAnsi="Arial"/>
          <w:b/>
          <w:sz w:val="20"/>
        </w:rPr>
        <w:t>DE-58. Programme de second mandat</w:t>
      </w:r>
    </w:p>
    <w:p>
      <w:pPr>
        <w:pStyle w:val="Article"/>
      </w:pPr>
      <w:r>
        <w:t>Un eventuel second mandat doit etre fonde sur le bilan reel du premier.</w:t>
      </w:r>
    </w:p>
    <w:p>
      <w:pPr>
        <w:pStyle w:val="ArticleTitle"/>
      </w:pPr>
      <w:r>
        <w:rPr>
          <w:rFonts w:ascii="Arial" w:hAnsi="Arial"/>
          <w:b/>
          <w:sz w:val="20"/>
        </w:rPr>
        <w:t>DE-59. Transmission</w:t>
      </w:r>
    </w:p>
    <w:p>
      <w:pPr>
        <w:pStyle w:val="Article"/>
      </w:pPr>
      <w:r>
        <w:t>Les documents politiques doivent renvoyer au corpus institutionnel sans le deformer.</w:t>
      </w:r>
    </w:p>
    <w:p>
      <w:pPr>
        <w:pStyle w:val="ArticleTitle"/>
      </w:pPr>
      <w:r>
        <w:rPr>
          <w:rFonts w:ascii="Arial" w:hAnsi="Arial"/>
          <w:b/>
          <w:sz w:val="20"/>
        </w:rPr>
        <w:t>DE-60. Respect</w:t>
      </w:r>
    </w:p>
    <w:p>
      <w:pPr>
        <w:pStyle w:val="Article"/>
      </w:pPr>
      <w:r>
        <w:t>Le citoyen doit etre traite comme un adulte capable de comprendre, questionner et juger.</w:t>
      </w:r>
    </w:p>
    <w:p>
      <w:pPr>
        <w:pStyle w:val="Heading1"/>
      </w:pPr>
      <w:r>
        <w:t>PARTIE VII - CONTROLE, AUDIT, RISQUES ET CONCORDANCE</w:t>
      </w:r>
    </w:p>
    <w:p>
      <w:pPr>
        <w:pStyle w:val="ArticleTitle"/>
      </w:pPr>
      <w:r>
        <w:rPr>
          <w:rFonts w:ascii="Arial" w:hAnsi="Arial"/>
          <w:b/>
          <w:sz w:val="20"/>
        </w:rPr>
        <w:t>DE-61. Table de concordance</w:t>
      </w:r>
    </w:p>
    <w:p>
      <w:pPr>
        <w:pStyle w:val="Article"/>
      </w:pPr>
      <w:r>
        <w:t>La table de concordance relie chaque principe, article, loi, reglement, engagement et mesure de controle.</w:t>
      </w:r>
    </w:p>
    <w:p>
      <w:pPr>
        <w:pStyle w:val="ArticleTitle"/>
      </w:pPr>
      <w:r>
        <w:rPr>
          <w:rFonts w:ascii="Arial" w:hAnsi="Arial"/>
          <w:b/>
          <w:sz w:val="20"/>
        </w:rPr>
        <w:t>DE-62. Registre des risques</w:t>
      </w:r>
    </w:p>
    <w:p>
      <w:pPr>
        <w:pStyle w:val="Article"/>
      </w:pPr>
      <w:r>
        <w:t>Le registre des risques residuels identifie les failles, vulnerabilites, contournements possibles et correctifs.</w:t>
      </w:r>
    </w:p>
    <w:p>
      <w:pPr>
        <w:pStyle w:val="ArticleTitle"/>
      </w:pPr>
      <w:r>
        <w:rPr>
          <w:rFonts w:ascii="Arial" w:hAnsi="Arial"/>
          <w:b/>
          <w:sz w:val="20"/>
        </w:rPr>
        <w:t>DE-63. Audit de defense</w:t>
      </w:r>
    </w:p>
    <w:p>
      <w:pPr>
        <w:pStyle w:val="Article"/>
      </w:pPr>
      <w:r>
        <w:t>L audit de defense constitutionnelle teste la solidite du systeme contre les abus, crises, captures et interpretations hostiles.</w:t>
      </w:r>
    </w:p>
    <w:p>
      <w:pPr>
        <w:pStyle w:val="ArticleTitle"/>
      </w:pPr>
      <w:r>
        <w:rPr>
          <w:rFonts w:ascii="Arial" w:hAnsi="Arial"/>
          <w:b/>
          <w:sz w:val="20"/>
        </w:rPr>
        <w:t>DE-64. Controle anti-contournement</w:t>
      </w:r>
    </w:p>
    <w:p>
      <w:pPr>
        <w:pStyle w:val="Article"/>
      </w:pPr>
      <w:r>
        <w:t>Chaque document doit contenir des clauses empechant le contournement par reglement, contrat, directive, urgence ou interpretation.</w:t>
      </w:r>
    </w:p>
    <w:p>
      <w:pPr>
        <w:pStyle w:val="ArticleTitle"/>
      </w:pPr>
      <w:r>
        <w:rPr>
          <w:rFonts w:ascii="Arial" w:hAnsi="Arial"/>
          <w:b/>
          <w:sz w:val="20"/>
        </w:rPr>
        <w:t>DE-65. Controle financier</w:t>
      </w:r>
    </w:p>
    <w:p>
      <w:pPr>
        <w:pStyle w:val="Article"/>
      </w:pPr>
      <w:r>
        <w:t>Les engagements financiers doivent etre suivis par budget citoyen, registres, audits et indicateurs.</w:t>
      </w:r>
    </w:p>
    <w:p>
      <w:pPr>
        <w:pStyle w:val="ArticleTitle"/>
      </w:pPr>
      <w:r>
        <w:rPr>
          <w:rFonts w:ascii="Arial" w:hAnsi="Arial"/>
          <w:b/>
          <w:sz w:val="20"/>
        </w:rPr>
        <w:t>DE-66. Controle numerique</w:t>
      </w:r>
    </w:p>
    <w:p>
      <w:pPr>
        <w:pStyle w:val="Article"/>
      </w:pPr>
      <w:r>
        <w:t>Les systemes numeriques doivent etre audites pour securite, dependance, vie privee et risque de surveillance.</w:t>
      </w:r>
    </w:p>
    <w:p>
      <w:pPr>
        <w:pStyle w:val="ArticleTitle"/>
      </w:pPr>
      <w:r>
        <w:rPr>
          <w:rFonts w:ascii="Arial" w:hAnsi="Arial"/>
          <w:b/>
          <w:sz w:val="20"/>
        </w:rPr>
        <w:t>DE-67. Controle democratique</w:t>
      </w:r>
    </w:p>
    <w:p>
      <w:pPr>
        <w:pStyle w:val="Article"/>
      </w:pPr>
      <w:r>
        <w:t>Referendums, initiatives, revocation, autorite electorale independante et acces a l information doivent etre integres au controle du pouvoir.</w:t>
      </w:r>
    </w:p>
    <w:p>
      <w:pPr>
        <w:pStyle w:val="ArticleTitle"/>
      </w:pPr>
      <w:r>
        <w:rPr>
          <w:rFonts w:ascii="Arial" w:hAnsi="Arial"/>
          <w:b/>
          <w:sz w:val="20"/>
        </w:rPr>
        <w:t>DE-68. Controle administratif</w:t>
      </w:r>
    </w:p>
    <w:p>
      <w:pPr>
        <w:pStyle w:val="Article"/>
      </w:pPr>
      <w:r>
        <w:t>Les delais, formulaires, procedures, refus et decisions automatisees doivent etre mesurables et contestables.</w:t>
      </w:r>
    </w:p>
    <w:p>
      <w:pPr>
        <w:pStyle w:val="ArticleTitle"/>
      </w:pPr>
      <w:r>
        <w:rPr>
          <w:rFonts w:ascii="Arial" w:hAnsi="Arial"/>
          <w:b/>
          <w:sz w:val="20"/>
        </w:rPr>
        <w:t>DE-69. Controle public</w:t>
      </w:r>
    </w:p>
    <w:p>
      <w:pPr>
        <w:pStyle w:val="Article"/>
      </w:pPr>
      <w:r>
        <w:t>Les citoyens doivent pouvoir suivre les engagements, depenses, contrats, resultats et corrections.</w:t>
      </w:r>
    </w:p>
    <w:p>
      <w:pPr>
        <w:pStyle w:val="ArticleTitle"/>
      </w:pPr>
      <w:r>
        <w:rPr>
          <w:rFonts w:ascii="Arial" w:hAnsi="Arial"/>
          <w:b/>
          <w:sz w:val="20"/>
        </w:rPr>
        <w:t>DE-70. Correction obligatoire</w:t>
      </w:r>
    </w:p>
    <w:p>
      <w:pPr>
        <w:pStyle w:val="Article"/>
      </w:pPr>
      <w:r>
        <w:t>Un risque identifie sans correctif doit etre inscrit comme lacune ouverte du Systeme Nova.</w:t>
      </w:r>
    </w:p>
    <w:p>
      <w:pPr>
        <w:pStyle w:val="Heading1"/>
      </w:pPr>
      <w:r>
        <w:t>PARTIE VIII - MISE A JOUR, VERSIONS ET DEPOT</w:t>
      </w:r>
    </w:p>
    <w:p>
      <w:pPr>
        <w:pStyle w:val="ArticleTitle"/>
      </w:pPr>
      <w:r>
        <w:rPr>
          <w:rFonts w:ascii="Arial" w:hAnsi="Arial"/>
          <w:b/>
          <w:sz w:val="20"/>
        </w:rPr>
        <w:t>DE-71. Version officielle</w:t>
      </w:r>
    </w:p>
    <w:p>
      <w:pPr>
        <w:pStyle w:val="Article"/>
      </w:pPr>
      <w:r>
        <w:t>Chaque document officiel doit avoir un nom stable, une date et un statut : travail, depot, public, technique ou archive.</w:t>
      </w:r>
    </w:p>
    <w:p>
      <w:pPr>
        <w:pStyle w:val="ArticleTitle"/>
      </w:pPr>
      <w:r>
        <w:rPr>
          <w:rFonts w:ascii="Arial" w:hAnsi="Arial"/>
          <w:b/>
          <w:sz w:val="20"/>
        </w:rPr>
        <w:t>DE-72. Historique</w:t>
      </w:r>
    </w:p>
    <w:p>
      <w:pPr>
        <w:pStyle w:val="Article"/>
      </w:pPr>
      <w:r>
        <w:t>Les changements majeurs doivent etre inscrits dans un historique de version.</w:t>
      </w:r>
    </w:p>
    <w:p>
      <w:pPr>
        <w:pStyle w:val="ArticleTitle"/>
      </w:pPr>
      <w:r>
        <w:rPr>
          <w:rFonts w:ascii="Arial" w:hAnsi="Arial"/>
          <w:b/>
          <w:sz w:val="20"/>
        </w:rPr>
        <w:t>DE-73. Correction</w:t>
      </w:r>
    </w:p>
    <w:p>
      <w:pPr>
        <w:pStyle w:val="Article"/>
      </w:pPr>
      <w:r>
        <w:t>Les erreurs doivent etre corrigees sans cacher la correction lorsque celle-ci modifie le fond.</w:t>
      </w:r>
    </w:p>
    <w:p>
      <w:pPr>
        <w:pStyle w:val="ArticleTitle"/>
      </w:pPr>
      <w:r>
        <w:rPr>
          <w:rFonts w:ascii="Arial" w:hAnsi="Arial"/>
          <w:b/>
          <w:sz w:val="20"/>
        </w:rPr>
        <w:t>DE-74. Depot public</w:t>
      </w:r>
    </w:p>
    <w:p>
      <w:pPr>
        <w:pStyle w:val="Article"/>
      </w:pPr>
      <w:r>
        <w:t>Avant depot public, le corpus doit etre relu pour coherence, orthographe, redondances, contradictions et risques.</w:t>
      </w:r>
    </w:p>
    <w:p>
      <w:pPr>
        <w:pStyle w:val="ArticleTitle"/>
      </w:pPr>
      <w:r>
        <w:rPr>
          <w:rFonts w:ascii="Arial" w:hAnsi="Arial"/>
          <w:b/>
          <w:sz w:val="20"/>
        </w:rPr>
        <w:t>DE-75. Depot technique</w:t>
      </w:r>
    </w:p>
    <w:p>
      <w:pPr>
        <w:pStyle w:val="Article"/>
      </w:pPr>
      <w:r>
        <w:t>La version technique doit inclure tables, index, annexes, concordance et notes de controle.</w:t>
      </w:r>
    </w:p>
    <w:p>
      <w:pPr>
        <w:pStyle w:val="ArticleTitle"/>
      </w:pPr>
      <w:r>
        <w:rPr>
          <w:rFonts w:ascii="Arial" w:hAnsi="Arial"/>
          <w:b/>
          <w:sz w:val="20"/>
        </w:rPr>
        <w:t>DE-76. Depot citoyen</w:t>
      </w:r>
    </w:p>
    <w:p>
      <w:pPr>
        <w:pStyle w:val="Article"/>
      </w:pPr>
      <w:r>
        <w:t>La version citoyenne doit etre plus courte, claire, accessible et directement liee au programme.</w:t>
      </w:r>
    </w:p>
    <w:p>
      <w:pPr>
        <w:pStyle w:val="ArticleTitle"/>
      </w:pPr>
      <w:r>
        <w:rPr>
          <w:rFonts w:ascii="Arial" w:hAnsi="Arial"/>
          <w:b/>
          <w:sz w:val="20"/>
        </w:rPr>
        <w:t>DE-77. Archivage</w:t>
      </w:r>
    </w:p>
    <w:p>
      <w:pPr>
        <w:pStyle w:val="Article"/>
      </w:pPr>
      <w:r>
        <w:t>Les anciennes versions doivent etre archivees afin de conserver la tracabilite.</w:t>
      </w:r>
    </w:p>
    <w:p>
      <w:pPr>
        <w:pStyle w:val="ArticleTitle"/>
      </w:pPr>
      <w:r>
        <w:rPr>
          <w:rFonts w:ascii="Arial" w:hAnsi="Arial"/>
          <w:b/>
          <w:sz w:val="20"/>
        </w:rPr>
        <w:t>DE-78. Noms de fichiers</w:t>
      </w:r>
    </w:p>
    <w:p>
      <w:pPr>
        <w:pStyle w:val="Article"/>
      </w:pPr>
      <w:r>
        <w:t>Les noms de fichiers doivent etre uniformes pour eviter la confusion entre documents actifs, corriges et archives.</w:t>
      </w:r>
    </w:p>
    <w:p>
      <w:pPr>
        <w:pStyle w:val="ArticleTitle"/>
      </w:pPr>
      <w:r>
        <w:rPr>
          <w:rFonts w:ascii="Arial" w:hAnsi="Arial"/>
          <w:b/>
          <w:sz w:val="20"/>
        </w:rPr>
        <w:t>DE-79. Validation</w:t>
      </w:r>
    </w:p>
    <w:p>
      <w:pPr>
        <w:pStyle w:val="Article"/>
      </w:pPr>
      <w:r>
        <w:t>La validation finale doit verifier contenu, format, pagination, liens internes et concordance.</w:t>
      </w:r>
    </w:p>
    <w:p>
      <w:pPr>
        <w:pStyle w:val="ArticleTitle"/>
      </w:pPr>
      <w:r>
        <w:rPr>
          <w:rFonts w:ascii="Arial" w:hAnsi="Arial"/>
          <w:b/>
          <w:sz w:val="20"/>
        </w:rPr>
        <w:t>DE-80. Responsable</w:t>
      </w:r>
    </w:p>
    <w:p>
      <w:pPr>
        <w:pStyle w:val="Article"/>
      </w:pPr>
      <w:r>
        <w:t>Un responsable documentaire doit etre designe pour maintenir l integrite du corpus.</w:t>
      </w:r>
    </w:p>
    <w:p>
      <w:pPr>
        <w:pStyle w:val="Heading1"/>
      </w:pPr>
      <w:r>
        <w:t>PARTIE IX - MATRICE DE COMPLETION DU SYSTEME NOVA</w:t>
      </w:r>
    </w:p>
    <w:p>
      <w:pPr>
        <w:pStyle w:val="ArticleTitle"/>
      </w:pPr>
      <w:r>
        <w:rPr>
          <w:rFonts w:ascii="Arial" w:hAnsi="Arial"/>
          <w:b/>
          <w:sz w:val="20"/>
        </w:rPr>
        <w:t>DE-81. Documents deja consolides</w:t>
      </w:r>
    </w:p>
    <w:p>
      <w:pPr>
        <w:pStyle w:val="Article"/>
      </w:pPr>
      <w:r>
        <w:t>Les documents deja consolides forment le noyau du Systeme Nova : Constitution, lois organiques, administratives, ordinaires, reglements, transition et volets 1 a 3.</w:t>
      </w:r>
    </w:p>
    <w:p>
      <w:pPr>
        <w:pStyle w:val="ArticleTitle"/>
      </w:pPr>
      <w:r>
        <w:rPr>
          <w:rFonts w:ascii="Arial" w:hAnsi="Arial"/>
          <w:b/>
          <w:sz w:val="20"/>
        </w:rPr>
        <w:t>DE-82. Documents restants</w:t>
      </w:r>
    </w:p>
    <w:p>
      <w:pPr>
        <w:pStyle w:val="Article"/>
      </w:pPr>
      <w:r>
        <w:t>Les documents restants principaux sont : table de concordance, registre des risques, audit de defense constitutionnelle, version publique simplifiee et code de conduite.</w:t>
      </w:r>
    </w:p>
    <w:p>
      <w:pPr>
        <w:pStyle w:val="ArticleTitle"/>
      </w:pPr>
      <w:r>
        <w:rPr>
          <w:rFonts w:ascii="Arial" w:hAnsi="Arial"/>
          <w:b/>
          <w:sz w:val="20"/>
        </w:rPr>
        <w:t>DE-83. Priorite suivante</w:t>
      </w:r>
    </w:p>
    <w:p>
      <w:pPr>
        <w:pStyle w:val="Article"/>
      </w:pPr>
      <w:r>
        <w:t>La table de concordance doit etre produite rapidement afin de relier tous les documents entre eux.</w:t>
      </w:r>
    </w:p>
    <w:p>
      <w:pPr>
        <w:pStyle w:val="ArticleTitle"/>
      </w:pPr>
      <w:r>
        <w:rPr>
          <w:rFonts w:ascii="Arial" w:hAnsi="Arial"/>
          <w:b/>
          <w:sz w:val="20"/>
        </w:rPr>
        <w:t>DE-84. Risque principal</w:t>
      </w:r>
    </w:p>
    <w:p>
      <w:pPr>
        <w:pStyle w:val="Article"/>
      </w:pPr>
      <w:r>
        <w:t>Le risque principal d un corpus volumineux est la contradiction interne. La concordance et l audit doivent donc etre prioritaires.</w:t>
      </w:r>
    </w:p>
    <w:p>
      <w:pPr>
        <w:pStyle w:val="ArticleTitle"/>
      </w:pPr>
      <w:r>
        <w:rPr>
          <w:rFonts w:ascii="Arial" w:hAnsi="Arial"/>
          <w:b/>
          <w:sz w:val="20"/>
        </w:rPr>
        <w:t>DE-85. Priorite citoyenne</w:t>
      </w:r>
    </w:p>
    <w:p>
      <w:pPr>
        <w:pStyle w:val="Article"/>
      </w:pPr>
      <w:r>
        <w:t>La version publique simplifiee est necessaire pour rendre le systeme comprehensible aux citoyens.</w:t>
      </w:r>
    </w:p>
    <w:p>
      <w:pPr>
        <w:pStyle w:val="ArticleTitle"/>
      </w:pPr>
      <w:r>
        <w:rPr>
          <w:rFonts w:ascii="Arial" w:hAnsi="Arial"/>
          <w:b/>
          <w:sz w:val="20"/>
        </w:rPr>
        <w:t>DE-86. Priorite ethique</w:t>
      </w:r>
    </w:p>
    <w:p>
      <w:pPr>
        <w:pStyle w:val="Article"/>
      </w:pPr>
      <w:r>
        <w:t>Le code de conduite est necessaire pour garantir que le futur Parti Nova applique ses propres principes.</w:t>
      </w:r>
    </w:p>
    <w:p>
      <w:pPr>
        <w:pStyle w:val="ArticleTitle"/>
      </w:pPr>
      <w:r>
        <w:rPr>
          <w:rFonts w:ascii="Arial" w:hAnsi="Arial"/>
          <w:b/>
          <w:sz w:val="20"/>
        </w:rPr>
        <w:t>DE-87. Priorite de depot</w:t>
      </w:r>
    </w:p>
    <w:p>
      <w:pPr>
        <w:pStyle w:val="Article"/>
      </w:pPr>
      <w:r>
        <w:t>Le dossier maitre doit accompagner tout depot officiel afin d expliquer l architecture globale.</w:t>
      </w:r>
    </w:p>
    <w:p>
      <w:pPr>
        <w:pStyle w:val="ArticleTitle"/>
      </w:pPr>
      <w:r>
        <w:rPr>
          <w:rFonts w:ascii="Arial" w:hAnsi="Arial"/>
          <w:b/>
          <w:sz w:val="20"/>
        </w:rPr>
        <w:t>DE-88. Mise a jour continue</w:t>
      </w:r>
    </w:p>
    <w:p>
      <w:pPr>
        <w:pStyle w:val="Article"/>
      </w:pPr>
      <w:r>
        <w:t>Le niveau de completion doit etre revise apres chaque nouveau document.</w:t>
      </w:r>
    </w:p>
    <w:p>
      <w:pPr>
        <w:pStyle w:val="ArticleTitle"/>
      </w:pPr>
      <w:r>
        <w:rPr>
          <w:rFonts w:ascii="Arial" w:hAnsi="Arial"/>
          <w:b/>
          <w:sz w:val="20"/>
        </w:rPr>
        <w:t>DE-89. Systeme complet</w:t>
      </w:r>
    </w:p>
    <w:p>
      <w:pPr>
        <w:pStyle w:val="Article"/>
      </w:pPr>
      <w:r>
        <w:t>Le systeme sera complet lorsque les textes normatifs, transitionnels, citoyens, de controle et de gouvernance seront tous presents.</w:t>
      </w:r>
    </w:p>
    <w:p>
      <w:pPr>
        <w:pStyle w:val="ArticleTitle"/>
      </w:pPr>
      <w:r>
        <w:rPr>
          <w:rFonts w:ascii="Arial" w:hAnsi="Arial"/>
          <w:b/>
          <w:sz w:val="20"/>
        </w:rPr>
        <w:t>DE-90. Controle final</w:t>
      </w:r>
    </w:p>
    <w:p>
      <w:pPr>
        <w:pStyle w:val="Article"/>
      </w:pPr>
      <w:r>
        <w:t>Un audit final de coherence doit preceder toute diffusion complete.</w:t>
      </w:r>
    </w:p>
    <w:p>
      <w:pPr>
        <w:pStyle w:val="Heading1"/>
      </w:pPr>
      <w:r>
        <w:t>PARTIE X - CLAUSES FINALES</w:t>
      </w:r>
    </w:p>
    <w:p>
      <w:pPr>
        <w:pStyle w:val="ArticleTitle"/>
      </w:pPr>
      <w:r>
        <w:rPr>
          <w:rFonts w:ascii="Arial" w:hAnsi="Arial"/>
          <w:b/>
          <w:sz w:val="20"/>
        </w:rPr>
        <w:t>DE-91. Clause de coherence</w:t>
      </w:r>
    </w:p>
    <w:p>
      <w:pPr>
        <w:pStyle w:val="Article"/>
      </w:pPr>
      <w:r>
        <w:t>Tout document futur du Projet Nova doit etre compatible avec la presente architecture generale.</w:t>
      </w:r>
    </w:p>
    <w:p>
      <w:pPr>
        <w:pStyle w:val="ArticleTitle"/>
      </w:pPr>
      <w:r>
        <w:rPr>
          <w:rFonts w:ascii="Arial" w:hAnsi="Arial"/>
          <w:b/>
          <w:sz w:val="20"/>
        </w:rPr>
        <w:t>DE-92. Clause de renvoi</w:t>
      </w:r>
    </w:p>
    <w:p>
      <w:pPr>
        <w:pStyle w:val="Article"/>
      </w:pPr>
      <w:r>
        <w:t>Lorsqu une question specialisee apparait, elle doit etre rattachee au document approprié plutot qu inseree partout.</w:t>
      </w:r>
    </w:p>
    <w:p>
      <w:pPr>
        <w:pStyle w:val="ArticleTitle"/>
      </w:pPr>
      <w:r>
        <w:rPr>
          <w:rFonts w:ascii="Arial" w:hAnsi="Arial"/>
          <w:b/>
          <w:sz w:val="20"/>
        </w:rPr>
        <w:t>DE-93. Clause de non-substitution</w:t>
      </w:r>
    </w:p>
    <w:p>
      <w:pPr>
        <w:pStyle w:val="Article"/>
      </w:pPr>
      <w:r>
        <w:t>Le Dossier Etat ne remplace pas la Constitution, les lois ni les reglements; il les coordonne.</w:t>
      </w:r>
    </w:p>
    <w:p>
      <w:pPr>
        <w:pStyle w:val="ArticleTitle"/>
      </w:pPr>
      <w:r>
        <w:rPr>
          <w:rFonts w:ascii="Arial" w:hAnsi="Arial"/>
          <w:b/>
          <w:sz w:val="20"/>
        </w:rPr>
        <w:t>DE-94. Clause anti-confusion</w:t>
      </w:r>
    </w:p>
    <w:p>
      <w:pPr>
        <w:pStyle w:val="Article"/>
      </w:pPr>
      <w:r>
        <w:t>Les termes Projet Nova, Systeme Nova et futur Parti Nova doivent etre utilises avec precision.</w:t>
      </w:r>
    </w:p>
    <w:p>
      <w:pPr>
        <w:pStyle w:val="ArticleTitle"/>
      </w:pPr>
      <w:r>
        <w:rPr>
          <w:rFonts w:ascii="Arial" w:hAnsi="Arial"/>
          <w:b/>
          <w:sz w:val="20"/>
        </w:rPr>
        <w:t>DE-95. Clause de responsabilite</w:t>
      </w:r>
    </w:p>
    <w:p>
      <w:pPr>
        <w:pStyle w:val="Article"/>
      </w:pPr>
      <w:r>
        <w:t>Toute personne utilisant le corpus doit eviter de presenter une proposition de travail comme une loi en vigueur.</w:t>
      </w:r>
    </w:p>
    <w:p>
      <w:pPr>
        <w:pStyle w:val="ArticleTitle"/>
      </w:pPr>
      <w:r>
        <w:rPr>
          <w:rFonts w:ascii="Arial" w:hAnsi="Arial"/>
          <w:b/>
          <w:sz w:val="20"/>
        </w:rPr>
        <w:t>DE-96. Clause de diffusion</w:t>
      </w:r>
    </w:p>
    <w:p>
      <w:pPr>
        <w:pStyle w:val="Article"/>
      </w:pPr>
      <w:r>
        <w:t>Les versions publiques doivent etre distinguees des versions techniques et des versions de depot.</w:t>
      </w:r>
    </w:p>
    <w:p>
      <w:pPr>
        <w:pStyle w:val="ArticleTitle"/>
      </w:pPr>
      <w:r>
        <w:rPr>
          <w:rFonts w:ascii="Arial" w:hAnsi="Arial"/>
          <w:b/>
          <w:sz w:val="20"/>
        </w:rPr>
        <w:t>DE-97. Clause de verification</w:t>
      </w:r>
    </w:p>
    <w:p>
      <w:pPr>
        <w:pStyle w:val="Article"/>
      </w:pPr>
      <w:r>
        <w:t>Avant publication, chaque document doit etre verifie pour enlever incoherences, erreurs et mentions residuelles non desirees.</w:t>
      </w:r>
    </w:p>
    <w:p>
      <w:pPr>
        <w:pStyle w:val="ArticleTitle"/>
      </w:pPr>
      <w:r>
        <w:rPr>
          <w:rFonts w:ascii="Arial" w:hAnsi="Arial"/>
          <w:b/>
          <w:sz w:val="20"/>
        </w:rPr>
        <w:t>DE-98. Clause de protection</w:t>
      </w:r>
    </w:p>
    <w:p>
      <w:pPr>
        <w:pStyle w:val="Article"/>
      </w:pPr>
      <w:r>
        <w:t>Le corpus doit etre protege contre la capture, la falsification, les modifications non tracees et les interpretations opportunistes.</w:t>
      </w:r>
    </w:p>
    <w:p>
      <w:pPr>
        <w:pStyle w:val="ArticleTitle"/>
      </w:pPr>
      <w:r>
        <w:rPr>
          <w:rFonts w:ascii="Arial" w:hAnsi="Arial"/>
          <w:b/>
          <w:sz w:val="20"/>
        </w:rPr>
        <w:t>DE-99. Clause de transmission</w:t>
      </w:r>
    </w:p>
    <w:p>
      <w:pPr>
        <w:pStyle w:val="Article"/>
      </w:pPr>
      <w:r>
        <w:t>Le Dossier Etat doit accompagner le transfert du projet vers tout futur parti, comite, equipe ou institution.</w:t>
      </w:r>
    </w:p>
    <w:p>
      <w:pPr>
        <w:pStyle w:val="ArticleTitle"/>
      </w:pPr>
      <w:r>
        <w:rPr>
          <w:rFonts w:ascii="Arial" w:hAnsi="Arial"/>
          <w:b/>
          <w:sz w:val="20"/>
        </w:rPr>
        <w:t>DE-100. Clause finale</w:t>
      </w:r>
    </w:p>
    <w:p>
      <w:pPr>
        <w:pStyle w:val="Article"/>
      </w:pPr>
      <w:r>
        <w:t>Le Systeme Nova vise un Quebec souverain, democratique, francophone, responsable et controle par ses citoyens; le Dossier Etat en constitue la carte maitresse.</w:t>
      </w:r>
    </w:p>
    <w:p>
      <w:r>
        <w:br w:type="page"/>
      </w:r>
    </w:p>
    <w:p>
      <w:pPr>
        <w:pStyle w:val="Heading1"/>
      </w:pPr>
      <w:r>
        <w:t>TABLE DE COMPLETION DU SYSTEME NOVA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rFonts w:ascii="Arial" w:hAnsi="Arial" w:eastAsia="Arial"/>
                <w:b/>
                <w:sz w:val="17"/>
              </w:rPr>
              <w:t>No</w:t>
            </w:r>
          </w:p>
        </w:tc>
        <w:tc>
          <w:tcPr>
            <w:tcW w:type="dxa" w:w="2520"/>
            <w:shd w:fill="D9EAF7"/>
          </w:tcPr>
          <w:p>
            <w:r/>
            <w:r>
              <w:rPr>
                <w:rFonts w:ascii="Arial" w:hAnsi="Arial" w:eastAsia="Arial"/>
                <w:b/>
                <w:sz w:val="17"/>
              </w:rPr>
              <w:t>Document</w:t>
            </w:r>
          </w:p>
        </w:tc>
        <w:tc>
          <w:tcPr>
            <w:tcW w:type="dxa" w:w="2520"/>
            <w:shd w:fill="D9EAF7"/>
          </w:tcPr>
          <w:p>
            <w:r/>
            <w:r>
              <w:rPr>
                <w:rFonts w:ascii="Arial" w:hAnsi="Arial" w:eastAsia="Arial"/>
                <w:b/>
                <w:sz w:val="17"/>
              </w:rPr>
              <w:t>Statut</w:t>
            </w:r>
          </w:p>
        </w:tc>
        <w:tc>
          <w:tcPr>
            <w:tcW w:type="dxa" w:w="2520"/>
            <w:shd w:fill="D9EAF7"/>
          </w:tcPr>
          <w:p>
            <w:r/>
            <w:r>
              <w:rPr>
                <w:rFonts w:ascii="Arial" w:hAnsi="Arial" w:eastAsia="Arial"/>
                <w:b/>
                <w:sz w:val="17"/>
              </w:rPr>
              <w:t>Fonction</w:t>
            </w:r>
          </w:p>
        </w:tc>
      </w:tr>
      <w:tr>
        <w:tc>
          <w:tcPr>
            <w:tcW w:type="dxa" w:w="2520"/>
          </w:tcPr>
          <w:p>
            <w:r/>
            <w:r>
              <w:rPr>
                <w:rFonts w:ascii="Arial" w:hAnsi="Arial" w:eastAsia="Arial"/>
                <w:b w:val="0"/>
                <w:sz w:val="17"/>
              </w:rPr>
              <w:t>1</w:t>
            </w:r>
          </w:p>
        </w:tc>
        <w:tc>
          <w:tcPr>
            <w:tcW w:type="dxa" w:w="2520"/>
          </w:tcPr>
          <w:p>
            <w:r/>
            <w:r>
              <w:rPr>
                <w:rFonts w:ascii="Arial" w:hAnsi="Arial" w:eastAsia="Arial"/>
                <w:b w:val="0"/>
                <w:sz w:val="17"/>
              </w:rPr>
              <w:t>Constitution &amp; normes fondamentales</w:t>
            </w:r>
          </w:p>
        </w:tc>
        <w:tc>
          <w:tcPr>
            <w:tcW w:type="dxa" w:w="2520"/>
            <w:shd w:fill="E2F0D9"/>
          </w:tcPr>
          <w:p>
            <w:r/>
            <w:r>
              <w:rPr>
                <w:rFonts w:ascii="Arial" w:hAnsi="Arial" w:eastAsia="Arial"/>
                <w:b w:val="0"/>
                <w:sz w:val="17"/>
              </w:rPr>
              <w:t>Fait</w:t>
            </w:r>
          </w:p>
        </w:tc>
        <w:tc>
          <w:tcPr>
            <w:tcW w:type="dxa" w:w="2520"/>
          </w:tcPr>
          <w:p>
            <w:r/>
            <w:r>
              <w:rPr>
                <w:rFonts w:ascii="Arial" w:hAnsi="Arial" w:eastAsia="Arial"/>
                <w:b w:val="0"/>
                <w:sz w:val="17"/>
              </w:rPr>
              <w:t>Noyau constitutionnel</w:t>
            </w:r>
          </w:p>
        </w:tc>
      </w:tr>
      <w:tr>
        <w:tc>
          <w:tcPr>
            <w:tcW w:type="dxa" w:w="2520"/>
          </w:tcPr>
          <w:p>
            <w:r/>
            <w:r>
              <w:rPr>
                <w:rFonts w:ascii="Arial" w:hAnsi="Arial" w:eastAsia="Arial"/>
                <w:b w:val="0"/>
                <w:sz w:val="17"/>
              </w:rPr>
              <w:t>2</w:t>
            </w:r>
          </w:p>
        </w:tc>
        <w:tc>
          <w:tcPr>
            <w:tcW w:type="dxa" w:w="2520"/>
          </w:tcPr>
          <w:p>
            <w:r/>
            <w:r>
              <w:rPr>
                <w:rFonts w:ascii="Arial" w:hAnsi="Arial" w:eastAsia="Arial"/>
                <w:b w:val="0"/>
                <w:sz w:val="17"/>
              </w:rPr>
              <w:t>Lois organiques &amp; architecture institutionnelle</w:t>
            </w:r>
          </w:p>
        </w:tc>
        <w:tc>
          <w:tcPr>
            <w:tcW w:type="dxa" w:w="2520"/>
            <w:shd w:fill="E2F0D9"/>
          </w:tcPr>
          <w:p>
            <w:r/>
            <w:r>
              <w:rPr>
                <w:rFonts w:ascii="Arial" w:hAnsi="Arial" w:eastAsia="Arial"/>
                <w:b w:val="0"/>
                <w:sz w:val="17"/>
              </w:rPr>
              <w:t>Fait</w:t>
            </w:r>
          </w:p>
        </w:tc>
        <w:tc>
          <w:tcPr>
            <w:tcW w:type="dxa" w:w="2520"/>
          </w:tcPr>
          <w:p>
            <w:r/>
            <w:r>
              <w:rPr>
                <w:rFonts w:ascii="Arial" w:hAnsi="Arial" w:eastAsia="Arial"/>
                <w:b w:val="0"/>
                <w:sz w:val="17"/>
              </w:rPr>
              <w:t>Institutions et autorites</w:t>
            </w:r>
          </w:p>
        </w:tc>
      </w:tr>
      <w:tr>
        <w:tc>
          <w:tcPr>
            <w:tcW w:type="dxa" w:w="2520"/>
          </w:tcPr>
          <w:p>
            <w:r/>
            <w:r>
              <w:rPr>
                <w:rFonts w:ascii="Arial" w:hAnsi="Arial" w:eastAsia="Arial"/>
                <w:b w:val="0"/>
                <w:sz w:val="17"/>
              </w:rPr>
              <w:t>3</w:t>
            </w:r>
          </w:p>
        </w:tc>
        <w:tc>
          <w:tcPr>
            <w:tcW w:type="dxa" w:w="2520"/>
          </w:tcPr>
          <w:p>
            <w:r/>
            <w:r>
              <w:rPr>
                <w:rFonts w:ascii="Arial" w:hAnsi="Arial" w:eastAsia="Arial"/>
                <w:b w:val="0"/>
                <w:sz w:val="17"/>
              </w:rPr>
              <w:t>Lois administratives &amp; fonctionnement de l Etat</w:t>
            </w:r>
          </w:p>
        </w:tc>
        <w:tc>
          <w:tcPr>
            <w:tcW w:type="dxa" w:w="2520"/>
            <w:shd w:fill="E2F0D9"/>
          </w:tcPr>
          <w:p>
            <w:r/>
            <w:r>
              <w:rPr>
                <w:rFonts w:ascii="Arial" w:hAnsi="Arial" w:eastAsia="Arial"/>
                <w:b w:val="0"/>
                <w:sz w:val="17"/>
              </w:rPr>
              <w:t>Fait</w:t>
            </w:r>
          </w:p>
        </w:tc>
        <w:tc>
          <w:tcPr>
            <w:tcW w:type="dxa" w:w="2520"/>
          </w:tcPr>
          <w:p>
            <w:r/>
            <w:r>
              <w:rPr>
                <w:rFonts w:ascii="Arial" w:hAnsi="Arial" w:eastAsia="Arial"/>
                <w:b w:val="0"/>
                <w:sz w:val="17"/>
              </w:rPr>
              <w:t>Administration publique</w:t>
            </w:r>
          </w:p>
        </w:tc>
      </w:tr>
      <w:tr>
        <w:tc>
          <w:tcPr>
            <w:tcW w:type="dxa" w:w="2520"/>
          </w:tcPr>
          <w:p>
            <w:r/>
            <w:r>
              <w:rPr>
                <w:rFonts w:ascii="Arial" w:hAnsi="Arial" w:eastAsia="Arial"/>
                <w:b w:val="0"/>
                <w:sz w:val="17"/>
              </w:rPr>
              <w:t>4</w:t>
            </w:r>
          </w:p>
        </w:tc>
        <w:tc>
          <w:tcPr>
            <w:tcW w:type="dxa" w:w="2520"/>
          </w:tcPr>
          <w:p>
            <w:r/>
            <w:r>
              <w:rPr>
                <w:rFonts w:ascii="Arial" w:hAnsi="Arial" w:eastAsia="Arial"/>
                <w:b w:val="0"/>
                <w:sz w:val="17"/>
              </w:rPr>
              <w:t>Lois ordinaires &amp; droit public operationnel</w:t>
            </w:r>
          </w:p>
        </w:tc>
        <w:tc>
          <w:tcPr>
            <w:tcW w:type="dxa" w:w="2520"/>
            <w:shd w:fill="E2F0D9"/>
          </w:tcPr>
          <w:p>
            <w:r/>
            <w:r>
              <w:rPr>
                <w:rFonts w:ascii="Arial" w:hAnsi="Arial" w:eastAsia="Arial"/>
                <w:b w:val="0"/>
                <w:sz w:val="17"/>
              </w:rPr>
              <w:t>Fait</w:t>
            </w:r>
          </w:p>
        </w:tc>
        <w:tc>
          <w:tcPr>
            <w:tcW w:type="dxa" w:w="2520"/>
          </w:tcPr>
          <w:p>
            <w:r/>
            <w:r>
              <w:rPr>
                <w:rFonts w:ascii="Arial" w:hAnsi="Arial" w:eastAsia="Arial"/>
                <w:b w:val="0"/>
                <w:sz w:val="17"/>
              </w:rPr>
              <w:t>Politiques publiques</w:t>
            </w:r>
          </w:p>
        </w:tc>
      </w:tr>
      <w:tr>
        <w:tc>
          <w:tcPr>
            <w:tcW w:type="dxa" w:w="2520"/>
          </w:tcPr>
          <w:p>
            <w:r/>
            <w:r>
              <w:rPr>
                <w:rFonts w:ascii="Arial" w:hAnsi="Arial" w:eastAsia="Arial"/>
                <w:b w:val="0"/>
                <w:sz w:val="17"/>
              </w:rPr>
              <w:t>5</w:t>
            </w:r>
          </w:p>
        </w:tc>
        <w:tc>
          <w:tcPr>
            <w:tcW w:type="dxa" w:w="2520"/>
          </w:tcPr>
          <w:p>
            <w:r/>
            <w:r>
              <w:rPr>
                <w:rFonts w:ascii="Arial" w:hAnsi="Arial" w:eastAsia="Arial"/>
                <w:b w:val="0"/>
                <w:sz w:val="17"/>
              </w:rPr>
              <w:t>Reglements &amp; application normative</w:t>
            </w:r>
          </w:p>
        </w:tc>
        <w:tc>
          <w:tcPr>
            <w:tcW w:type="dxa" w:w="2520"/>
            <w:shd w:fill="E2F0D9"/>
          </w:tcPr>
          <w:p>
            <w:r/>
            <w:r>
              <w:rPr>
                <w:rFonts w:ascii="Arial" w:hAnsi="Arial" w:eastAsia="Arial"/>
                <w:b w:val="0"/>
                <w:sz w:val="17"/>
              </w:rPr>
              <w:t>Fait</w:t>
            </w:r>
          </w:p>
        </w:tc>
        <w:tc>
          <w:tcPr>
            <w:tcW w:type="dxa" w:w="2520"/>
          </w:tcPr>
          <w:p>
            <w:r/>
            <w:r>
              <w:rPr>
                <w:rFonts w:ascii="Arial" w:hAnsi="Arial" w:eastAsia="Arial"/>
                <w:b w:val="0"/>
                <w:sz w:val="17"/>
              </w:rPr>
              <w:t>Application pratique</w:t>
            </w:r>
          </w:p>
        </w:tc>
      </w:tr>
      <w:tr>
        <w:tc>
          <w:tcPr>
            <w:tcW w:type="dxa" w:w="2520"/>
          </w:tcPr>
          <w:p>
            <w:r/>
            <w:r>
              <w:rPr>
                <w:rFonts w:ascii="Arial" w:hAnsi="Arial" w:eastAsia="Arial"/>
                <w:b w:val="0"/>
                <w:sz w:val="17"/>
              </w:rPr>
              <w:t>6</w:t>
            </w:r>
          </w:p>
        </w:tc>
        <w:tc>
          <w:tcPr>
            <w:tcW w:type="dxa" w:w="2520"/>
          </w:tcPr>
          <w:p>
            <w:r/>
            <w:r>
              <w:rPr>
                <w:rFonts w:ascii="Arial" w:hAnsi="Arial" w:eastAsia="Arial"/>
                <w:b w:val="0"/>
                <w:sz w:val="17"/>
              </w:rPr>
              <w:t>Outil de transition constitutionnelle</w:t>
            </w:r>
          </w:p>
        </w:tc>
        <w:tc>
          <w:tcPr>
            <w:tcW w:type="dxa" w:w="2520"/>
            <w:shd w:fill="E2F0D9"/>
          </w:tcPr>
          <w:p>
            <w:r/>
            <w:r>
              <w:rPr>
                <w:rFonts w:ascii="Arial" w:hAnsi="Arial" w:eastAsia="Arial"/>
                <w:b w:val="0"/>
                <w:sz w:val="17"/>
              </w:rPr>
              <w:t>Fait</w:t>
            </w:r>
          </w:p>
        </w:tc>
        <w:tc>
          <w:tcPr>
            <w:tcW w:type="dxa" w:w="2520"/>
          </w:tcPr>
          <w:p>
            <w:r/>
            <w:r>
              <w:rPr>
                <w:rFonts w:ascii="Arial" w:hAnsi="Arial" w:eastAsia="Arial"/>
                <w:b w:val="0"/>
                <w:sz w:val="17"/>
              </w:rPr>
              <w:t>Mise en oeuvre</w:t>
            </w:r>
          </w:p>
        </w:tc>
      </w:tr>
      <w:tr>
        <w:tc>
          <w:tcPr>
            <w:tcW w:type="dxa" w:w="2520"/>
          </w:tcPr>
          <w:p>
            <w:r/>
            <w:r>
              <w:rPr>
                <w:rFonts w:ascii="Arial" w:hAnsi="Arial" w:eastAsia="Arial"/>
                <w:b w:val="0"/>
                <w:sz w:val="17"/>
              </w:rPr>
              <w:t>7</w:t>
            </w:r>
          </w:p>
        </w:tc>
        <w:tc>
          <w:tcPr>
            <w:tcW w:type="dxa" w:w="2520"/>
          </w:tcPr>
          <w:p>
            <w:r/>
            <w:r>
              <w:rPr>
                <w:rFonts w:ascii="Arial" w:hAnsi="Arial" w:eastAsia="Arial"/>
                <w:b w:val="0"/>
                <w:sz w:val="17"/>
              </w:rPr>
              <w:t>Volet 1 - Quebec dans le Canada</w:t>
            </w:r>
          </w:p>
        </w:tc>
        <w:tc>
          <w:tcPr>
            <w:tcW w:type="dxa" w:w="2520"/>
            <w:shd w:fill="E2F0D9"/>
          </w:tcPr>
          <w:p>
            <w:r/>
            <w:r>
              <w:rPr>
                <w:rFonts w:ascii="Arial" w:hAnsi="Arial" w:eastAsia="Arial"/>
                <w:b w:val="0"/>
                <w:sz w:val="17"/>
              </w:rPr>
              <w:t>Fait</w:t>
            </w:r>
          </w:p>
        </w:tc>
        <w:tc>
          <w:tcPr>
            <w:tcW w:type="dxa" w:w="2520"/>
          </w:tcPr>
          <w:p>
            <w:r/>
            <w:r>
              <w:rPr>
                <w:rFonts w:ascii="Arial" w:hAnsi="Arial" w:eastAsia="Arial"/>
                <w:b w:val="0"/>
                <w:sz w:val="17"/>
              </w:rPr>
              <w:t>Diagnostic</w:t>
            </w:r>
          </w:p>
        </w:tc>
      </w:tr>
      <w:tr>
        <w:tc>
          <w:tcPr>
            <w:tcW w:type="dxa" w:w="2520"/>
          </w:tcPr>
          <w:p>
            <w:r/>
            <w:r>
              <w:rPr>
                <w:rFonts w:ascii="Arial" w:hAnsi="Arial" w:eastAsia="Arial"/>
                <w:b w:val="0"/>
                <w:sz w:val="17"/>
              </w:rPr>
              <w:t>8</w:t>
            </w:r>
          </w:p>
        </w:tc>
        <w:tc>
          <w:tcPr>
            <w:tcW w:type="dxa" w:w="2520"/>
          </w:tcPr>
          <w:p>
            <w:r/>
            <w:r>
              <w:rPr>
                <w:rFonts w:ascii="Arial" w:hAnsi="Arial" w:eastAsia="Arial"/>
                <w:b w:val="0"/>
                <w:sz w:val="17"/>
              </w:rPr>
              <w:t>Volet 2 - Transition constitutionnelle</w:t>
            </w:r>
          </w:p>
        </w:tc>
        <w:tc>
          <w:tcPr>
            <w:tcW w:type="dxa" w:w="2520"/>
            <w:shd w:fill="E2F0D9"/>
          </w:tcPr>
          <w:p>
            <w:r/>
            <w:r>
              <w:rPr>
                <w:rFonts w:ascii="Arial" w:hAnsi="Arial" w:eastAsia="Arial"/>
                <w:b w:val="0"/>
                <w:sz w:val="17"/>
              </w:rPr>
              <w:t>Fait</w:t>
            </w:r>
          </w:p>
        </w:tc>
        <w:tc>
          <w:tcPr>
            <w:tcW w:type="dxa" w:w="2520"/>
          </w:tcPr>
          <w:p>
            <w:r/>
            <w:r>
              <w:rPr>
                <w:rFonts w:ascii="Arial" w:hAnsi="Arial" w:eastAsia="Arial"/>
                <w:b w:val="0"/>
                <w:sz w:val="17"/>
              </w:rPr>
              <w:t>Passage institutionnel</w:t>
            </w:r>
          </w:p>
        </w:tc>
      </w:tr>
      <w:tr>
        <w:tc>
          <w:tcPr>
            <w:tcW w:type="dxa" w:w="2520"/>
          </w:tcPr>
          <w:p>
            <w:r/>
            <w:r>
              <w:rPr>
                <w:rFonts w:ascii="Arial" w:hAnsi="Arial" w:eastAsia="Arial"/>
                <w:b w:val="0"/>
                <w:sz w:val="17"/>
              </w:rPr>
              <w:t>9</w:t>
            </w:r>
          </w:p>
        </w:tc>
        <w:tc>
          <w:tcPr>
            <w:tcW w:type="dxa" w:w="2520"/>
          </w:tcPr>
          <w:p>
            <w:r/>
            <w:r>
              <w:rPr>
                <w:rFonts w:ascii="Arial" w:hAnsi="Arial" w:eastAsia="Arial"/>
                <w:b w:val="0"/>
                <w:sz w:val="17"/>
              </w:rPr>
              <w:t>Volet 3 - Quebec pays souverain</w:t>
            </w:r>
          </w:p>
        </w:tc>
        <w:tc>
          <w:tcPr>
            <w:tcW w:type="dxa" w:w="2520"/>
            <w:shd w:fill="E2F0D9"/>
          </w:tcPr>
          <w:p>
            <w:r/>
            <w:r>
              <w:rPr>
                <w:rFonts w:ascii="Arial" w:hAnsi="Arial" w:eastAsia="Arial"/>
                <w:b w:val="0"/>
                <w:sz w:val="17"/>
              </w:rPr>
              <w:t>Fait</w:t>
            </w:r>
          </w:p>
        </w:tc>
        <w:tc>
          <w:tcPr>
            <w:tcW w:type="dxa" w:w="2520"/>
          </w:tcPr>
          <w:p>
            <w:r/>
            <w:r>
              <w:rPr>
                <w:rFonts w:ascii="Arial" w:hAnsi="Arial" w:eastAsia="Arial"/>
                <w:b w:val="0"/>
                <w:sz w:val="17"/>
              </w:rPr>
              <w:t>Etat cible</w:t>
            </w:r>
          </w:p>
        </w:tc>
      </w:tr>
      <w:tr>
        <w:tc>
          <w:tcPr>
            <w:tcW w:type="dxa" w:w="2520"/>
          </w:tcPr>
          <w:p>
            <w:r/>
            <w:r>
              <w:rPr>
                <w:rFonts w:ascii="Arial" w:hAnsi="Arial" w:eastAsia="Arial"/>
                <w:b w:val="0"/>
                <w:sz w:val="17"/>
              </w:rPr>
              <w:t>10</w:t>
            </w:r>
          </w:p>
        </w:tc>
        <w:tc>
          <w:tcPr>
            <w:tcW w:type="dxa" w:w="2520"/>
          </w:tcPr>
          <w:p>
            <w:r/>
            <w:r>
              <w:rPr>
                <w:rFonts w:ascii="Arial" w:hAnsi="Arial" w:eastAsia="Arial"/>
                <w:b w:val="0"/>
                <w:sz w:val="17"/>
              </w:rPr>
              <w:t>Dossier Etat - corpus institutionnel maitre</w:t>
            </w:r>
          </w:p>
        </w:tc>
        <w:tc>
          <w:tcPr>
            <w:tcW w:type="dxa" w:w="2520"/>
            <w:shd w:fill="E2F0D9"/>
          </w:tcPr>
          <w:p>
            <w:r/>
            <w:r>
              <w:rPr>
                <w:rFonts w:ascii="Arial" w:hAnsi="Arial" w:eastAsia="Arial"/>
                <w:b w:val="0"/>
                <w:sz w:val="17"/>
              </w:rPr>
              <w:t>Fait</w:t>
            </w:r>
          </w:p>
        </w:tc>
        <w:tc>
          <w:tcPr>
            <w:tcW w:type="dxa" w:w="2520"/>
          </w:tcPr>
          <w:p>
            <w:r/>
            <w:r>
              <w:rPr>
                <w:rFonts w:ascii="Arial" w:hAnsi="Arial" w:eastAsia="Arial"/>
                <w:b w:val="0"/>
                <w:sz w:val="17"/>
              </w:rPr>
              <w:t>Carte generale</w:t>
            </w:r>
          </w:p>
        </w:tc>
      </w:tr>
      <w:tr>
        <w:tc>
          <w:tcPr>
            <w:tcW w:type="dxa" w:w="2520"/>
          </w:tcPr>
          <w:p>
            <w:r/>
            <w:r>
              <w:rPr>
                <w:rFonts w:ascii="Arial" w:hAnsi="Arial" w:eastAsia="Arial"/>
                <w:b w:val="0"/>
                <w:sz w:val="17"/>
              </w:rPr>
              <w:t>11</w:t>
            </w:r>
          </w:p>
        </w:tc>
        <w:tc>
          <w:tcPr>
            <w:tcW w:type="dxa" w:w="2520"/>
          </w:tcPr>
          <w:p>
            <w:r/>
            <w:r>
              <w:rPr>
                <w:rFonts w:ascii="Arial" w:hAnsi="Arial" w:eastAsia="Arial"/>
                <w:b w:val="0"/>
                <w:sz w:val="17"/>
              </w:rPr>
              <w:t>Table de concordance normative</w:t>
            </w:r>
          </w:p>
        </w:tc>
        <w:tc>
          <w:tcPr>
            <w:tcW w:type="dxa" w:w="2520"/>
            <w:shd w:fill="FFF2CC"/>
          </w:tcPr>
          <w:p>
            <w:r/>
            <w:r>
              <w:rPr>
                <w:rFonts w:ascii="Arial" w:hAnsi="Arial" w:eastAsia="Arial"/>
                <w:b w:val="0"/>
                <w:sz w:val="17"/>
              </w:rPr>
              <w:t>A faire</w:t>
            </w:r>
          </w:p>
        </w:tc>
        <w:tc>
          <w:tcPr>
            <w:tcW w:type="dxa" w:w="2520"/>
          </w:tcPr>
          <w:p>
            <w:r/>
            <w:r>
              <w:rPr>
                <w:rFonts w:ascii="Arial" w:hAnsi="Arial" w:eastAsia="Arial"/>
                <w:b w:val="0"/>
                <w:sz w:val="17"/>
              </w:rPr>
              <w:t>Controle de coherence</w:t>
            </w:r>
          </w:p>
        </w:tc>
      </w:tr>
      <w:tr>
        <w:tc>
          <w:tcPr>
            <w:tcW w:type="dxa" w:w="2520"/>
          </w:tcPr>
          <w:p>
            <w:r/>
            <w:r>
              <w:rPr>
                <w:rFonts w:ascii="Arial" w:hAnsi="Arial" w:eastAsia="Arial"/>
                <w:b w:val="0"/>
                <w:sz w:val="17"/>
              </w:rPr>
              <w:t>12</w:t>
            </w:r>
          </w:p>
        </w:tc>
        <w:tc>
          <w:tcPr>
            <w:tcW w:type="dxa" w:w="2520"/>
          </w:tcPr>
          <w:p>
            <w:r/>
            <w:r>
              <w:rPr>
                <w:rFonts w:ascii="Arial" w:hAnsi="Arial" w:eastAsia="Arial"/>
                <w:b w:val="0"/>
                <w:sz w:val="17"/>
              </w:rPr>
              <w:t>Registre des risques residuels et correctifs</w:t>
            </w:r>
          </w:p>
        </w:tc>
        <w:tc>
          <w:tcPr>
            <w:tcW w:type="dxa" w:w="2520"/>
            <w:shd w:fill="FFF2CC"/>
          </w:tcPr>
          <w:p>
            <w:r/>
            <w:r>
              <w:rPr>
                <w:rFonts w:ascii="Arial" w:hAnsi="Arial" w:eastAsia="Arial"/>
                <w:b w:val="0"/>
                <w:sz w:val="17"/>
              </w:rPr>
              <w:t>A faire</w:t>
            </w:r>
          </w:p>
        </w:tc>
        <w:tc>
          <w:tcPr>
            <w:tcW w:type="dxa" w:w="2520"/>
          </w:tcPr>
          <w:p>
            <w:r/>
            <w:r>
              <w:rPr>
                <w:rFonts w:ascii="Arial" w:hAnsi="Arial" w:eastAsia="Arial"/>
                <w:b w:val="0"/>
                <w:sz w:val="17"/>
              </w:rPr>
              <w:t>Failles et protections</w:t>
            </w:r>
          </w:p>
        </w:tc>
      </w:tr>
      <w:tr>
        <w:tc>
          <w:tcPr>
            <w:tcW w:type="dxa" w:w="2520"/>
          </w:tcPr>
          <w:p>
            <w:r/>
            <w:r>
              <w:rPr>
                <w:rFonts w:ascii="Arial" w:hAnsi="Arial" w:eastAsia="Arial"/>
                <w:b w:val="0"/>
                <w:sz w:val="17"/>
              </w:rPr>
              <w:t>13</w:t>
            </w:r>
          </w:p>
        </w:tc>
        <w:tc>
          <w:tcPr>
            <w:tcW w:type="dxa" w:w="2520"/>
          </w:tcPr>
          <w:p>
            <w:r/>
            <w:r>
              <w:rPr>
                <w:rFonts w:ascii="Arial" w:hAnsi="Arial" w:eastAsia="Arial"/>
                <w:b w:val="0"/>
                <w:sz w:val="17"/>
              </w:rPr>
              <w:t>Audit de defense constitutionnelle</w:t>
            </w:r>
          </w:p>
        </w:tc>
        <w:tc>
          <w:tcPr>
            <w:tcW w:type="dxa" w:w="2520"/>
            <w:shd w:fill="FFF2CC"/>
          </w:tcPr>
          <w:p>
            <w:r/>
            <w:r>
              <w:rPr>
                <w:rFonts w:ascii="Arial" w:hAnsi="Arial" w:eastAsia="Arial"/>
                <w:b w:val="0"/>
                <w:sz w:val="17"/>
              </w:rPr>
              <w:t>A faire</w:t>
            </w:r>
          </w:p>
        </w:tc>
        <w:tc>
          <w:tcPr>
            <w:tcW w:type="dxa" w:w="2520"/>
          </w:tcPr>
          <w:p>
            <w:r/>
            <w:r>
              <w:rPr>
                <w:rFonts w:ascii="Arial" w:hAnsi="Arial" w:eastAsia="Arial"/>
                <w:b w:val="0"/>
                <w:sz w:val="17"/>
              </w:rPr>
              <w:t>Test anti-contournement</w:t>
            </w:r>
          </w:p>
        </w:tc>
      </w:tr>
      <w:tr>
        <w:tc>
          <w:tcPr>
            <w:tcW w:type="dxa" w:w="2520"/>
          </w:tcPr>
          <w:p>
            <w:r/>
            <w:r>
              <w:rPr>
                <w:rFonts w:ascii="Arial" w:hAnsi="Arial" w:eastAsia="Arial"/>
                <w:b w:val="0"/>
                <w:sz w:val="17"/>
              </w:rPr>
              <w:t>14</w:t>
            </w:r>
          </w:p>
        </w:tc>
        <w:tc>
          <w:tcPr>
            <w:tcW w:type="dxa" w:w="2520"/>
          </w:tcPr>
          <w:p>
            <w:r/>
            <w:r>
              <w:rPr>
                <w:rFonts w:ascii="Arial" w:hAnsi="Arial" w:eastAsia="Arial"/>
                <w:b w:val="0"/>
                <w:sz w:val="17"/>
              </w:rPr>
              <w:t>Version publique simplifiee citoyens</w:t>
            </w:r>
          </w:p>
        </w:tc>
        <w:tc>
          <w:tcPr>
            <w:tcW w:type="dxa" w:w="2520"/>
            <w:shd w:fill="FFF2CC"/>
          </w:tcPr>
          <w:p>
            <w:r/>
            <w:r>
              <w:rPr>
                <w:rFonts w:ascii="Arial" w:hAnsi="Arial" w:eastAsia="Arial"/>
                <w:b w:val="0"/>
                <w:sz w:val="17"/>
              </w:rPr>
              <w:t>A faire</w:t>
            </w:r>
          </w:p>
        </w:tc>
        <w:tc>
          <w:tcPr>
            <w:tcW w:type="dxa" w:w="2520"/>
          </w:tcPr>
          <w:p>
            <w:r/>
            <w:r>
              <w:rPr>
                <w:rFonts w:ascii="Arial" w:hAnsi="Arial" w:eastAsia="Arial"/>
                <w:b w:val="0"/>
                <w:sz w:val="17"/>
              </w:rPr>
              <w:t>Vulgarisation</w:t>
            </w:r>
          </w:p>
        </w:tc>
      </w:tr>
      <w:tr>
        <w:tc>
          <w:tcPr>
            <w:tcW w:type="dxa" w:w="2520"/>
          </w:tcPr>
          <w:p>
            <w:r/>
            <w:r>
              <w:rPr>
                <w:rFonts w:ascii="Arial" w:hAnsi="Arial" w:eastAsia="Arial"/>
                <w:b w:val="0"/>
                <w:sz w:val="17"/>
              </w:rPr>
              <w:t>15</w:t>
            </w:r>
          </w:p>
        </w:tc>
        <w:tc>
          <w:tcPr>
            <w:tcW w:type="dxa" w:w="2520"/>
          </w:tcPr>
          <w:p>
            <w:r/>
            <w:r>
              <w:rPr>
                <w:rFonts w:ascii="Arial" w:hAnsi="Arial" w:eastAsia="Arial"/>
                <w:b w:val="0"/>
                <w:sz w:val="17"/>
              </w:rPr>
              <w:t>Code de conduite &amp; gouvernance interne</w:t>
            </w:r>
          </w:p>
        </w:tc>
        <w:tc>
          <w:tcPr>
            <w:tcW w:type="dxa" w:w="2520"/>
            <w:shd w:fill="FFF2CC"/>
          </w:tcPr>
          <w:p>
            <w:r/>
            <w:r>
              <w:rPr>
                <w:rFonts w:ascii="Arial" w:hAnsi="Arial" w:eastAsia="Arial"/>
                <w:b w:val="0"/>
                <w:sz w:val="17"/>
              </w:rPr>
              <w:t>A faire</w:t>
            </w:r>
          </w:p>
        </w:tc>
        <w:tc>
          <w:tcPr>
            <w:tcW w:type="dxa" w:w="2520"/>
          </w:tcPr>
          <w:p>
            <w:r/>
            <w:r>
              <w:rPr>
                <w:rFonts w:ascii="Arial" w:hAnsi="Arial" w:eastAsia="Arial"/>
                <w:b w:val="0"/>
                <w:sz w:val="17"/>
              </w:rPr>
              <w:t>Ethique du mouvement</w:t>
            </w:r>
          </w:p>
        </w:tc>
      </w:tr>
    </w:tbl>
    <w:p>
      <w:r>
        <w:t>Conclusion : avec le present Dossier Etat, le Systeme Nova compte dix documents officiels structurants consolides. Il reste cinq documents principaux pour obtenir un ensemble complet, verifiable, publiable et protege contre les contradictions.</w:t>
      </w:r>
    </w:p>
    <w:p>
      <w:pPr>
        <w:pStyle w:val="Heading1"/>
      </w:pPr>
      <w:r>
        <w:t>CLAUSE FINALE DE CONSOLIDATION</w:t>
      </w:r>
    </w:p>
    <w:p>
      <w:r>
        <w:t>Le present Dossier Etat doit etre utilise comme document de controle general du Systeme Nova. Il sert a relier les documents existants, identifier les documents restants et preparer la validation finale du corpus complet.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DOCUMENT OFFICIEL - SYSTEME NOVA - DOSSIER ETAT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eastAsia="Arial"/>
      <w:b/>
      <w:bCs/>
      <w:color w:val="1F2D3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37465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2D3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spacing w:before="100" w:after="20"/>
    </w:pPr>
    <w:rPr>
      <w:rFonts w:ascii="Arial" w:hAnsi="Arial" w:eastAsia="Arial"/>
      <w:b/>
      <w:sz w:val="20"/>
    </w:rPr>
  </w:style>
  <w:style w:type="paragraph" w:customStyle="1" w:styleId="Article">
    <w:name w:val="Article"/>
    <w:pPr>
      <w:spacing w:after="40" w:line="240" w:lineRule="auto"/>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OFFICIEL - SYSTEME NOVA - DOSSIER ETAT - CORPUS INSTITUTIONNEL MAITRE</dc:title>
  <dc:subject>Projet Nova - Dossier Etat</dc:subject>
  <dc:creator>Projet Nova</dc:creator>
  <cp:keywords/>
  <dc:description/>
  <cp:lastModifiedBy>Projet Nova</cp:lastModifiedBy>
  <cp:revision>1</cp:revision>
  <dcterms:created xsi:type="dcterms:W3CDTF">2013-12-23T23:15:00Z</dcterms:created>
  <dcterms:modified xsi:type="dcterms:W3CDTF">2013-12-23T23:15:00Z</dcterms:modified>
  <cp:category/>
</cp:coreProperties>
</file>