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0637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0"/>
                    <a:stretch>
                      <a:fillRect/>
                    </a:stretch>
                  </pic:blipFill>
                  <pic:spPr>
                    <a:xfrm>
                      <a:off x="0" y="0"/>
                      <a:ext cx="1143000" cy="1063749"/>
                    </a:xfrm>
                    <a:prstGeom prst="rect"/>
                  </pic:spPr>
                </pic:pic>
              </a:graphicData>
            </a:graphic>
          </wp:inline>
        </w:drawing>
      </w:r>
    </w:p>
    <w:p>
      <w:pPr>
        <w:jc w:val="center"/>
      </w:pPr>
      <w:r>
        <w:rPr>
          <w:b/>
          <w:color w:val="1F4E79"/>
          <w:sz w:val="44"/>
        </w:rPr>
        <w:t>PROJET NOVA</w:t>
      </w:r>
    </w:p>
    <w:p>
      <w:pPr>
        <w:jc w:val="center"/>
      </w:pPr>
      <w:r>
        <w:rPr>
          <w:b/>
          <w:sz w:val="32"/>
        </w:rPr>
        <w:t>DOCUMENT OFFICIEL - SYSTEME NOVA</w:t>
      </w:r>
    </w:p>
    <w:p>
      <w:pPr>
        <w:jc w:val="center"/>
      </w:pPr>
      <w:r>
        <w:rPr>
          <w:b/>
          <w:color w:val="1F4E79"/>
          <w:sz w:val="36"/>
        </w:rPr>
        <w:t>OUTIL DE TRANSITION CONSTITUTIONNELLE</w:t>
        <w:br/>
        <w:t>&amp; MISE EN OEUVRE</w:t>
      </w:r>
    </w:p>
    <w:p/>
    <w:p>
      <w:pPr>
        <w:jc w:val="center"/>
      </w:pPr>
      <w:r>
        <w:rPr>
          <w:i/>
          <w:sz w:val="22"/>
        </w:rPr>
        <w:t>Version consolidee de travail - Corpus institutionnel Projet Nova</w:t>
      </w:r>
    </w:p>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b/>
                <w:sz w:val="18"/>
              </w:rPr>
              <w:t>Nature du document</w:t>
            </w:r>
          </w:p>
        </w:tc>
        <w:tc>
          <w:tcPr>
            <w:tcW w:type="dxa" w:w="4896"/>
          </w:tcPr>
          <w:p>
            <w:r/>
            <w:r>
              <w:rPr>
                <w:b w:val="0"/>
                <w:sz w:val="18"/>
              </w:rPr>
              <w:t>Outil de transition constitutionnelle, institutionnelle, administrative et operationnelle</w:t>
            </w:r>
          </w:p>
        </w:tc>
      </w:tr>
      <w:tr>
        <w:tc>
          <w:tcPr>
            <w:tcW w:type="dxa" w:w="4896"/>
            <w:shd w:fill="D9EAF7"/>
          </w:tcPr>
          <w:p>
            <w:r/>
            <w:r>
              <w:rPr>
                <w:b/>
                <w:sz w:val="18"/>
              </w:rPr>
              <w:t>Statut</w:t>
            </w:r>
          </w:p>
        </w:tc>
        <w:tc>
          <w:tcPr>
            <w:tcW w:type="dxa" w:w="4896"/>
          </w:tcPr>
          <w:p>
            <w:r/>
            <w:r>
              <w:rPr>
                <w:b w:val="0"/>
                <w:sz w:val="18"/>
              </w:rPr>
              <w:t>Document officiel de travail - version consolidee</w:t>
            </w:r>
          </w:p>
        </w:tc>
      </w:tr>
      <w:tr>
        <w:tc>
          <w:tcPr>
            <w:tcW w:type="dxa" w:w="4896"/>
            <w:shd w:fill="D9EAF7"/>
          </w:tcPr>
          <w:p>
            <w:r/>
            <w:r>
              <w:rPr>
                <w:b/>
                <w:sz w:val="18"/>
              </w:rPr>
              <w:t>Portee</w:t>
            </w:r>
          </w:p>
        </w:tc>
        <w:tc>
          <w:tcPr>
            <w:tcW w:type="dxa" w:w="4896"/>
          </w:tcPr>
          <w:p>
            <w:r/>
            <w:r>
              <w:rPr>
                <w:b w:val="0"/>
                <w:sz w:val="18"/>
              </w:rPr>
              <w:t>Mandat populaire, transition, continuite de l’Etat, souverainete, controles anti-contournement</w:t>
            </w:r>
          </w:p>
        </w:tc>
      </w:tr>
      <w:tr>
        <w:tc>
          <w:tcPr>
            <w:tcW w:type="dxa" w:w="4896"/>
            <w:shd w:fill="D9EAF7"/>
          </w:tcPr>
          <w:p>
            <w:r/>
            <w:r>
              <w:rPr>
                <w:b/>
                <w:sz w:val="18"/>
              </w:rPr>
              <w:t>Projet</w:t>
            </w:r>
          </w:p>
        </w:tc>
        <w:tc>
          <w:tcPr>
            <w:tcW w:type="dxa" w:w="4896"/>
          </w:tcPr>
          <w:p>
            <w:r/>
            <w:r>
              <w:rPr>
                <w:b w:val="0"/>
                <w:sz w:val="18"/>
              </w:rPr>
              <w:t>Projet Nova</w:t>
            </w:r>
          </w:p>
        </w:tc>
      </w:tr>
    </w:tbl>
    <w:p>
      <w:r>
        <w:br w:type="page"/>
      </w:r>
    </w:p>
    <w:p>
      <w:pPr>
        <w:pStyle w:val="Heading1"/>
      </w:pPr>
      <w:r>
        <w:rPr>
          <w:rFonts w:ascii="Arial" w:hAnsi="Arial" w:eastAsia="Arial"/>
          <w:color w:val="1F4E79"/>
        </w:rPr>
        <w:t>AVIS DE CONSOLIDATION</w:t>
      </w:r>
    </w:p>
    <w:p>
      <w:pPr>
        <w:spacing w:after="80" w:line="259" w:lineRule="auto"/>
      </w:pPr>
      <w:r>
        <w:rPr>
          <w:sz w:val="20"/>
        </w:rPr>
        <w:t>Le present document consolide l outil de transition constitutionnelle du Systeme Nova. Il est concu pour guider la preparation, la decision populaire, l activation institutionnelle et la stabilisation administrative du Quebec dans une sequence coherente, transparente et democratique.</w:t>
      </w:r>
    </w:p>
    <w:p>
      <w:pPr>
        <w:spacing w:after="80" w:line="259" w:lineRule="auto"/>
      </w:pPr>
      <w:r>
        <w:rPr>
          <w:sz w:val="20"/>
        </w:rPr>
        <w:t>Il ne remplace pas la Constitution, les lois organiques, les lois administratives, les lois ordinaires ou les reglements. Il organise leur mise en oeuvre progressive et protege la transition contre l improvisation, le contournement, l opacite et la rupture des services essentiels.</w:t>
      </w:r>
    </w:p>
    <w:p>
      <w:pPr>
        <w:pStyle w:val="Heading1"/>
      </w:pPr>
      <w:r>
        <w:rPr>
          <w:rFonts w:ascii="Arial" w:hAnsi="Arial" w:eastAsia="Arial"/>
          <w:color w:val="1F4E79"/>
        </w:rPr>
        <w:t>ROLE DANS LE CORPUS NOVA</w:t>
      </w:r>
    </w:p>
    <w:p>
      <w:pPr>
        <w:pStyle w:val="ListBullet"/>
        <w:spacing w:after="40"/>
      </w:pPr>
      <w:r>
        <w:rPr>
          <w:sz w:val="20"/>
        </w:rPr>
        <w:t>Transformer les principes constitutionnels en etapes operationnelles.</w:t>
      </w:r>
    </w:p>
    <w:p>
      <w:pPr>
        <w:pStyle w:val="ListBullet"/>
        <w:spacing w:after="40"/>
      </w:pPr>
      <w:r>
        <w:rPr>
          <w:sz w:val="20"/>
        </w:rPr>
        <w:t>Protege la continuite des services essentiels.</w:t>
      </w:r>
    </w:p>
    <w:p>
      <w:pPr>
        <w:pStyle w:val="ListBullet"/>
        <w:spacing w:after="40"/>
      </w:pPr>
      <w:r>
        <w:rPr>
          <w:sz w:val="20"/>
        </w:rPr>
        <w:t>Clarifier les seuils de mandat populaire et referendaire.</w:t>
      </w:r>
    </w:p>
    <w:p>
      <w:pPr>
        <w:pStyle w:val="ListBullet"/>
        <w:spacing w:after="40"/>
      </w:pPr>
      <w:r>
        <w:rPr>
          <w:sz w:val="20"/>
        </w:rPr>
        <w:t>Organiser les audits, registres, plans de continuite et tableaux de suivi.</w:t>
      </w:r>
    </w:p>
    <w:p>
      <w:pPr>
        <w:pStyle w:val="ListBullet"/>
        <w:spacing w:after="40"/>
      </w:pPr>
      <w:r>
        <w:rPr>
          <w:sz w:val="20"/>
        </w:rPr>
        <w:t>Encadrer les risques, les correctifs et les garanties anti-contournement.</w:t>
      </w:r>
    </w:p>
    <w:p>
      <w:r>
        <w:br w:type="page"/>
      </w:r>
    </w:p>
    <w:p>
      <w:pPr>
        <w:pStyle w:val="Heading1"/>
      </w:pPr>
      <w:r>
        <w:rPr>
          <w:rFonts w:ascii="Arial" w:hAnsi="Arial" w:eastAsia="Arial"/>
          <w:color w:val="1F4E79"/>
        </w:rPr>
        <w:t>TABLE DE REPERAGE GENERALE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tcPr>
          <w:p>
            <w:r>
              <w:rPr>
                <w:color w:val="FFFFFF"/>
              </w:rPr>
            </w:r>
            <w:r>
              <w:rPr>
                <w:b/>
                <w:color w:val="FFFFFF"/>
                <w:sz w:val="18"/>
              </w:rPr>
              <w:t>Partie</w:t>
            </w:r>
          </w:p>
        </w:tc>
        <w:tc>
          <w:tcPr>
            <w:tcW w:type="dxa" w:w="3264"/>
            <w:shd w:fill="1F4E79"/>
          </w:tcPr>
          <w:p>
            <w:r>
              <w:rPr>
                <w:color w:val="FFFFFF"/>
              </w:rPr>
            </w:r>
            <w:r>
              <w:rPr>
                <w:b/>
                <w:color w:val="FFFFFF"/>
                <w:sz w:val="18"/>
              </w:rPr>
              <w:t>Theme</w:t>
            </w:r>
          </w:p>
        </w:tc>
        <w:tc>
          <w:tcPr>
            <w:tcW w:type="dxa" w:w="3264"/>
            <w:shd w:fill="1F4E79"/>
          </w:tcPr>
          <w:p>
            <w:r>
              <w:rPr>
                <w:color w:val="FFFFFF"/>
              </w:rPr>
            </w:r>
            <w:r>
              <w:rPr>
                <w:b/>
                <w:color w:val="FFFFFF"/>
                <w:sz w:val="18"/>
              </w:rPr>
              <w:t>Articles</w:t>
            </w:r>
          </w:p>
        </w:tc>
      </w:tr>
      <w:tr>
        <w:tc>
          <w:tcPr>
            <w:tcW w:type="dxa" w:w="3264"/>
            <w:vAlign w:val="center"/>
          </w:tcPr>
          <w:p>
            <w:r/>
            <w:r>
              <w:rPr>
                <w:b w:val="0"/>
                <w:sz w:val="18"/>
              </w:rPr>
              <w:t>I</w:t>
            </w:r>
          </w:p>
        </w:tc>
        <w:tc>
          <w:tcPr>
            <w:tcW w:type="dxa" w:w="3264"/>
            <w:vAlign w:val="center"/>
          </w:tcPr>
          <w:p>
            <w:r/>
            <w:r>
              <w:rPr>
                <w:b w:val="0"/>
                <w:sz w:val="18"/>
              </w:rPr>
              <w:t>Objet et portee</w:t>
            </w:r>
          </w:p>
        </w:tc>
        <w:tc>
          <w:tcPr>
            <w:tcW w:type="dxa" w:w="3264"/>
            <w:vAlign w:val="center"/>
          </w:tcPr>
          <w:p>
            <w:r/>
            <w:r>
              <w:rPr>
                <w:b w:val="0"/>
                <w:sz w:val="18"/>
              </w:rPr>
              <w:t>T-1 a T-10</w:t>
            </w:r>
          </w:p>
        </w:tc>
      </w:tr>
      <w:tr>
        <w:tc>
          <w:tcPr>
            <w:tcW w:type="dxa" w:w="3264"/>
            <w:vAlign w:val="center"/>
          </w:tcPr>
          <w:p>
            <w:r/>
            <w:r>
              <w:rPr>
                <w:b w:val="0"/>
                <w:sz w:val="18"/>
              </w:rPr>
              <w:t>II</w:t>
            </w:r>
          </w:p>
        </w:tc>
        <w:tc>
          <w:tcPr>
            <w:tcW w:type="dxa" w:w="3264"/>
            <w:vAlign w:val="center"/>
          </w:tcPr>
          <w:p>
            <w:r/>
            <w:r>
              <w:rPr>
                <w:b w:val="0"/>
                <w:sz w:val="18"/>
              </w:rPr>
              <w:t>Mandat populaire et seuils de decision</w:t>
            </w:r>
          </w:p>
        </w:tc>
        <w:tc>
          <w:tcPr>
            <w:tcW w:type="dxa" w:w="3264"/>
            <w:vAlign w:val="center"/>
          </w:tcPr>
          <w:p>
            <w:r/>
            <w:r>
              <w:rPr>
                <w:b w:val="0"/>
                <w:sz w:val="18"/>
              </w:rPr>
              <w:t>T-11 a T-20</w:t>
            </w:r>
          </w:p>
        </w:tc>
      </w:tr>
      <w:tr>
        <w:tc>
          <w:tcPr>
            <w:tcW w:type="dxa" w:w="3264"/>
            <w:vAlign w:val="center"/>
          </w:tcPr>
          <w:p>
            <w:r/>
            <w:r>
              <w:rPr>
                <w:b w:val="0"/>
                <w:sz w:val="18"/>
              </w:rPr>
              <w:t>III</w:t>
            </w:r>
          </w:p>
        </w:tc>
        <w:tc>
          <w:tcPr>
            <w:tcW w:type="dxa" w:w="3264"/>
            <w:vAlign w:val="center"/>
          </w:tcPr>
          <w:p>
            <w:r/>
            <w:r>
              <w:rPr>
                <w:b w:val="0"/>
                <w:sz w:val="18"/>
              </w:rPr>
              <w:t>Phases de transition</w:t>
            </w:r>
          </w:p>
        </w:tc>
        <w:tc>
          <w:tcPr>
            <w:tcW w:type="dxa" w:w="3264"/>
            <w:vAlign w:val="center"/>
          </w:tcPr>
          <w:p>
            <w:r/>
            <w:r>
              <w:rPr>
                <w:b w:val="0"/>
                <w:sz w:val="18"/>
              </w:rPr>
              <w:t>T-21 a T-35</w:t>
            </w:r>
          </w:p>
        </w:tc>
      </w:tr>
      <w:tr>
        <w:tc>
          <w:tcPr>
            <w:tcW w:type="dxa" w:w="3264"/>
            <w:vAlign w:val="center"/>
          </w:tcPr>
          <w:p>
            <w:r/>
            <w:r>
              <w:rPr>
                <w:b w:val="0"/>
                <w:sz w:val="18"/>
              </w:rPr>
              <w:t>IV</w:t>
            </w:r>
          </w:p>
        </w:tc>
        <w:tc>
          <w:tcPr>
            <w:tcW w:type="dxa" w:w="3264"/>
            <w:vAlign w:val="center"/>
          </w:tcPr>
          <w:p>
            <w:r/>
            <w:r>
              <w:rPr>
                <w:b w:val="0"/>
                <w:sz w:val="18"/>
              </w:rPr>
              <w:t>Continuite des services essentiels</w:t>
            </w:r>
          </w:p>
        </w:tc>
        <w:tc>
          <w:tcPr>
            <w:tcW w:type="dxa" w:w="3264"/>
            <w:vAlign w:val="center"/>
          </w:tcPr>
          <w:p>
            <w:r/>
            <w:r>
              <w:rPr>
                <w:b w:val="0"/>
                <w:sz w:val="18"/>
              </w:rPr>
              <w:t>T-36 a T-45</w:t>
            </w:r>
          </w:p>
        </w:tc>
      </w:tr>
      <w:tr>
        <w:tc>
          <w:tcPr>
            <w:tcW w:type="dxa" w:w="3264"/>
            <w:vAlign w:val="center"/>
          </w:tcPr>
          <w:p>
            <w:r/>
            <w:r>
              <w:rPr>
                <w:b w:val="0"/>
                <w:sz w:val="18"/>
              </w:rPr>
              <w:t>V</w:t>
            </w:r>
          </w:p>
        </w:tc>
        <w:tc>
          <w:tcPr>
            <w:tcW w:type="dxa" w:w="3264"/>
            <w:vAlign w:val="center"/>
          </w:tcPr>
          <w:p>
            <w:r/>
            <w:r>
              <w:rPr>
                <w:b w:val="0"/>
                <w:sz w:val="18"/>
              </w:rPr>
              <w:t>Finances, actifs, dette et contrats</w:t>
            </w:r>
          </w:p>
        </w:tc>
        <w:tc>
          <w:tcPr>
            <w:tcW w:type="dxa" w:w="3264"/>
            <w:vAlign w:val="center"/>
          </w:tcPr>
          <w:p>
            <w:r/>
            <w:r>
              <w:rPr>
                <w:b w:val="0"/>
                <w:sz w:val="18"/>
              </w:rPr>
              <w:t>T-46 a T-55</w:t>
            </w:r>
          </w:p>
        </w:tc>
      </w:tr>
      <w:tr>
        <w:tc>
          <w:tcPr>
            <w:tcW w:type="dxa" w:w="3264"/>
            <w:vAlign w:val="center"/>
          </w:tcPr>
          <w:p>
            <w:r/>
            <w:r>
              <w:rPr>
                <w:b w:val="0"/>
                <w:sz w:val="18"/>
              </w:rPr>
              <w:t>VI</w:t>
            </w:r>
          </w:p>
        </w:tc>
        <w:tc>
          <w:tcPr>
            <w:tcW w:type="dxa" w:w="3264"/>
            <w:vAlign w:val="center"/>
          </w:tcPr>
          <w:p>
            <w:r/>
            <w:r>
              <w:rPr>
                <w:b w:val="0"/>
                <w:sz w:val="18"/>
              </w:rPr>
              <w:t>Citoyennete, registres et statut des personnes</w:t>
            </w:r>
          </w:p>
        </w:tc>
        <w:tc>
          <w:tcPr>
            <w:tcW w:type="dxa" w:w="3264"/>
            <w:vAlign w:val="center"/>
          </w:tcPr>
          <w:p>
            <w:r/>
            <w:r>
              <w:rPr>
                <w:b w:val="0"/>
                <w:sz w:val="18"/>
              </w:rPr>
              <w:t>T-56 a T-65</w:t>
            </w:r>
          </w:p>
        </w:tc>
      </w:tr>
      <w:tr>
        <w:tc>
          <w:tcPr>
            <w:tcW w:type="dxa" w:w="3264"/>
            <w:vAlign w:val="center"/>
          </w:tcPr>
          <w:p>
            <w:r/>
            <w:r>
              <w:rPr>
                <w:b w:val="0"/>
                <w:sz w:val="18"/>
              </w:rPr>
              <w:t>VII</w:t>
            </w:r>
          </w:p>
        </w:tc>
        <w:tc>
          <w:tcPr>
            <w:tcW w:type="dxa" w:w="3264"/>
            <w:vAlign w:val="center"/>
          </w:tcPr>
          <w:p>
            <w:r/>
            <w:r>
              <w:rPr>
                <w:b w:val="0"/>
                <w:sz w:val="18"/>
              </w:rPr>
              <w:t>Institutions, nominations et autorites independantes</w:t>
            </w:r>
          </w:p>
        </w:tc>
        <w:tc>
          <w:tcPr>
            <w:tcW w:type="dxa" w:w="3264"/>
            <w:vAlign w:val="center"/>
          </w:tcPr>
          <w:p>
            <w:r/>
            <w:r>
              <w:rPr>
                <w:b w:val="0"/>
                <w:sz w:val="18"/>
              </w:rPr>
              <w:t>T-66 a T-75</w:t>
            </w:r>
          </w:p>
        </w:tc>
      </w:tr>
      <w:tr>
        <w:tc>
          <w:tcPr>
            <w:tcW w:type="dxa" w:w="3264"/>
            <w:vAlign w:val="center"/>
          </w:tcPr>
          <w:p>
            <w:r/>
            <w:r>
              <w:rPr>
                <w:b w:val="0"/>
                <w:sz w:val="18"/>
              </w:rPr>
              <w:t>VIII</w:t>
            </w:r>
          </w:p>
        </w:tc>
        <w:tc>
          <w:tcPr>
            <w:tcW w:type="dxa" w:w="3264"/>
            <w:vAlign w:val="center"/>
          </w:tcPr>
          <w:p>
            <w:r/>
            <w:r>
              <w:rPr>
                <w:b w:val="0"/>
                <w:sz w:val="18"/>
              </w:rPr>
              <w:t>Relations avec le Canada et reconnaissance internationale</w:t>
            </w:r>
          </w:p>
        </w:tc>
        <w:tc>
          <w:tcPr>
            <w:tcW w:type="dxa" w:w="3264"/>
            <w:vAlign w:val="center"/>
          </w:tcPr>
          <w:p>
            <w:r/>
            <w:r>
              <w:rPr>
                <w:b w:val="0"/>
                <w:sz w:val="18"/>
              </w:rPr>
              <w:t>T-76 a T-85</w:t>
            </w:r>
          </w:p>
        </w:tc>
      </w:tr>
      <w:tr>
        <w:tc>
          <w:tcPr>
            <w:tcW w:type="dxa" w:w="3264"/>
            <w:vAlign w:val="center"/>
          </w:tcPr>
          <w:p>
            <w:r/>
            <w:r>
              <w:rPr>
                <w:b w:val="0"/>
                <w:sz w:val="18"/>
              </w:rPr>
              <w:t>IX</w:t>
            </w:r>
          </w:p>
        </w:tc>
        <w:tc>
          <w:tcPr>
            <w:tcW w:type="dxa" w:w="3264"/>
            <w:vAlign w:val="center"/>
          </w:tcPr>
          <w:p>
            <w:r/>
            <w:r>
              <w:rPr>
                <w:b w:val="0"/>
                <w:sz w:val="18"/>
              </w:rPr>
              <w:t>Numerique, donnees et cybersecurite</w:t>
            </w:r>
          </w:p>
        </w:tc>
        <w:tc>
          <w:tcPr>
            <w:tcW w:type="dxa" w:w="3264"/>
            <w:vAlign w:val="center"/>
          </w:tcPr>
          <w:p>
            <w:r/>
            <w:r>
              <w:rPr>
                <w:b w:val="0"/>
                <w:sz w:val="18"/>
              </w:rPr>
              <w:t>T-86 a T-95</w:t>
            </w:r>
          </w:p>
        </w:tc>
      </w:tr>
      <w:tr>
        <w:tc>
          <w:tcPr>
            <w:tcW w:type="dxa" w:w="3264"/>
            <w:vAlign w:val="center"/>
          </w:tcPr>
          <w:p>
            <w:r/>
            <w:r>
              <w:rPr>
                <w:b w:val="0"/>
                <w:sz w:val="18"/>
              </w:rPr>
              <w:t>X</w:t>
            </w:r>
          </w:p>
        </w:tc>
        <w:tc>
          <w:tcPr>
            <w:tcW w:type="dxa" w:w="3264"/>
            <w:vAlign w:val="center"/>
          </w:tcPr>
          <w:p>
            <w:r/>
            <w:r>
              <w:rPr>
                <w:b w:val="0"/>
                <w:sz w:val="18"/>
              </w:rPr>
              <w:t>Risques, correctifs, anti-contournement et clause finale</w:t>
            </w:r>
          </w:p>
        </w:tc>
        <w:tc>
          <w:tcPr>
            <w:tcW w:type="dxa" w:w="3264"/>
            <w:vAlign w:val="center"/>
          </w:tcPr>
          <w:p>
            <w:r/>
            <w:r>
              <w:rPr>
                <w:b w:val="0"/>
                <w:sz w:val="18"/>
              </w:rPr>
              <w:t>T-96 a T-110</w:t>
            </w:r>
          </w:p>
        </w:tc>
      </w:tr>
    </w:tbl>
    <w:p>
      <w:r>
        <w:br w:type="page"/>
      </w:r>
    </w:p>
    <w:p>
      <w:pPr>
        <w:pStyle w:val="Heading1"/>
      </w:pPr>
      <w:r>
        <w:rPr>
          <w:rFonts w:ascii="Arial" w:hAnsi="Arial" w:eastAsia="Arial"/>
          <w:color w:val="1F4E79"/>
        </w:rPr>
        <w:t>PARTIE I - OBJET ET PORTEE DE L OUTIL DE TRANSITION</w:t>
      </w:r>
    </w:p>
    <w:p>
      <w:pPr>
        <w:spacing w:before="120" w:after="40"/>
      </w:pPr>
      <w:r>
        <w:rPr>
          <w:b/>
          <w:color w:val="1F4E79"/>
          <w:sz w:val="21"/>
        </w:rPr>
        <w:t>Article T-1 - Objet du present outil</w:t>
      </w:r>
    </w:p>
    <w:p>
      <w:pPr>
        <w:spacing w:after="80" w:line="259" w:lineRule="auto"/>
      </w:pPr>
      <w:r>
        <w:rPr>
          <w:sz w:val="20"/>
        </w:rPr>
        <w:t>Le present outil organise la transition constitutionnelle, institutionnelle, administrative et operationnelle du Projet Nova. Il sert a transformer un mandat populaire en sequence d actions verifiables, sans improvisation ni rupture inutile des services.</w:t>
      </w:r>
    </w:p>
    <w:p>
      <w:pPr>
        <w:spacing w:before="120" w:after="40"/>
      </w:pPr>
      <w:r>
        <w:rPr>
          <w:b/>
          <w:color w:val="1F4E79"/>
          <w:sz w:val="21"/>
        </w:rPr>
        <w:t>Article T-2 - Nature juridique et politique</w:t>
      </w:r>
    </w:p>
    <w:p>
      <w:pPr>
        <w:spacing w:after="80" w:line="259" w:lineRule="auto"/>
      </w:pPr>
      <w:r>
        <w:rPr>
          <w:sz w:val="20"/>
        </w:rPr>
        <w:t>Cet outil n est pas une Constitution en soi. Il est un instrument de mise en oeuvre qui relie la Constitution proposee, les normes fondamentales, les lois organiques, les lois administratives, les lois ordinaires et les reglements.</w:t>
      </w:r>
    </w:p>
    <w:p>
      <w:pPr>
        <w:spacing w:before="120" w:after="40"/>
      </w:pPr>
      <w:r>
        <w:rPr>
          <w:b/>
          <w:color w:val="1F4E79"/>
          <w:sz w:val="21"/>
        </w:rPr>
        <w:t>Article T-3 - Objectif central</w:t>
      </w:r>
    </w:p>
    <w:p>
      <w:pPr>
        <w:spacing w:after="80" w:line="259" w:lineRule="auto"/>
      </w:pPr>
      <w:r>
        <w:rPr>
          <w:sz w:val="20"/>
        </w:rPr>
        <w:t>L objectif central est de garantir que toute transition vers un Quebec pleinement souverain demeure democratique, transparente, graduelle, auditable, reversible lorsque necessaire avant les seuils decisifs, et protegee contre les prises de controle.</w:t>
      </w:r>
    </w:p>
    <w:p>
      <w:pPr>
        <w:spacing w:before="120" w:after="40"/>
      </w:pPr>
      <w:r>
        <w:rPr>
          <w:b/>
          <w:color w:val="1F4E79"/>
          <w:sz w:val="21"/>
        </w:rPr>
        <w:t>Article T-4 - Principes directeurs</w:t>
      </w:r>
    </w:p>
    <w:p>
      <w:pPr>
        <w:spacing w:after="80" w:line="259" w:lineRule="auto"/>
      </w:pPr>
      <w:r>
        <w:rPr>
          <w:sz w:val="20"/>
        </w:rPr>
        <w:t>La transition doit respecter les principes suivants :</w:t>
      </w:r>
    </w:p>
    <w:p>
      <w:pPr>
        <w:pStyle w:val="ListBullet"/>
        <w:spacing w:after="40"/>
      </w:pPr>
      <w:r>
        <w:rPr>
          <w:sz w:val="20"/>
        </w:rPr>
        <w:t>souverainete populaire</w:t>
      </w:r>
    </w:p>
    <w:p>
      <w:pPr>
        <w:pStyle w:val="ListBullet"/>
        <w:spacing w:after="40"/>
      </w:pPr>
      <w:r>
        <w:rPr>
          <w:sz w:val="20"/>
        </w:rPr>
        <w:t>continuite de l Etat</w:t>
      </w:r>
    </w:p>
    <w:p>
      <w:pPr>
        <w:pStyle w:val="ListBullet"/>
        <w:spacing w:after="40"/>
      </w:pPr>
      <w:r>
        <w:rPr>
          <w:sz w:val="20"/>
        </w:rPr>
        <w:t>protection des droits</w:t>
      </w:r>
    </w:p>
    <w:p>
      <w:pPr>
        <w:pStyle w:val="ListBullet"/>
        <w:spacing w:after="40"/>
      </w:pPr>
      <w:r>
        <w:rPr>
          <w:sz w:val="20"/>
        </w:rPr>
        <w:t>independance du vote</w:t>
      </w:r>
    </w:p>
    <w:p>
      <w:pPr>
        <w:pStyle w:val="ListBullet"/>
        <w:spacing w:after="40"/>
      </w:pPr>
      <w:r>
        <w:rPr>
          <w:sz w:val="20"/>
        </w:rPr>
        <w:t>transparence des couts</w:t>
      </w:r>
    </w:p>
    <w:p>
      <w:pPr>
        <w:pStyle w:val="ListBullet"/>
        <w:spacing w:after="40"/>
      </w:pPr>
      <w:r>
        <w:rPr>
          <w:sz w:val="20"/>
        </w:rPr>
        <w:t>responsabilite des decideurs</w:t>
      </w:r>
    </w:p>
    <w:p>
      <w:pPr>
        <w:pStyle w:val="ListBullet"/>
        <w:spacing w:after="40"/>
      </w:pPr>
      <w:r>
        <w:rPr>
          <w:sz w:val="20"/>
        </w:rPr>
        <w:t>protection du francais</w:t>
      </w:r>
    </w:p>
    <w:p>
      <w:pPr>
        <w:pStyle w:val="ListBullet"/>
        <w:spacing w:after="40"/>
      </w:pPr>
      <w:r>
        <w:rPr>
          <w:sz w:val="20"/>
        </w:rPr>
        <w:t>integrite administrative</w:t>
      </w:r>
    </w:p>
    <w:p>
      <w:pPr>
        <w:pStyle w:val="ListBullet"/>
        <w:spacing w:after="40"/>
      </w:pPr>
      <w:r>
        <w:rPr>
          <w:sz w:val="20"/>
        </w:rPr>
        <w:t>securite des services essentiels</w:t>
      </w:r>
    </w:p>
    <w:p>
      <w:pPr>
        <w:pStyle w:val="ListBullet"/>
        <w:spacing w:after="40"/>
      </w:pPr>
      <w:r>
        <w:rPr>
          <w:sz w:val="20"/>
        </w:rPr>
        <w:t>refus du contournement politique</w:t>
      </w:r>
    </w:p>
    <w:p>
      <w:pPr>
        <w:spacing w:before="120" w:after="40"/>
      </w:pPr>
      <w:r>
        <w:rPr>
          <w:b/>
          <w:color w:val="1F4E79"/>
          <w:sz w:val="21"/>
        </w:rPr>
        <w:t>Article T-5 - Portee institutionnelle</w:t>
      </w:r>
    </w:p>
    <w:p>
      <w:pPr>
        <w:spacing w:after="80" w:line="259" w:lineRule="auto"/>
      </w:pPr>
      <w:r>
        <w:rPr>
          <w:sz w:val="20"/>
        </w:rPr>
        <w:t>L outil s applique aux ministres, organismes publics, autorites independantes, municipalites lorsque concernees, societes d Etat, responsables de services essentiels et toute structure chargee d une fonction transitoire.</w:t>
      </w:r>
    </w:p>
    <w:p>
      <w:pPr>
        <w:spacing w:before="120" w:after="40"/>
      </w:pPr>
      <w:r>
        <w:rPr>
          <w:b/>
          <w:color w:val="1F4E79"/>
          <w:sz w:val="21"/>
        </w:rPr>
        <w:t>Article T-6 - Application progressive</w:t>
      </w:r>
    </w:p>
    <w:p>
      <w:pPr>
        <w:spacing w:after="80" w:line="259" w:lineRule="auto"/>
      </w:pPr>
      <w:r>
        <w:rPr>
          <w:sz w:val="20"/>
        </w:rPr>
        <w:t>La transition doit etre appliquee par etapes. Aucune etape ne doit etre confondue avec l etape suivante. La preparation ne vaut pas proclamation; la consultation ne vaut pas mandat; le mandat ne vaut pas execution sans cadre.</w:t>
      </w:r>
    </w:p>
    <w:p>
      <w:pPr>
        <w:spacing w:before="120" w:after="40"/>
      </w:pPr>
      <w:r>
        <w:rPr>
          <w:b/>
          <w:color w:val="1F4E79"/>
          <w:sz w:val="21"/>
        </w:rPr>
        <w:t>Article T-7 - Compatibilite avec le programme electoral</w:t>
      </w:r>
    </w:p>
    <w:p>
      <w:pPr>
        <w:spacing w:after="80" w:line="259" w:lineRule="auto"/>
      </w:pPr>
      <w:r>
        <w:rPr>
          <w:sz w:val="20"/>
        </w:rPr>
        <w:t>Le present outil doit etre lu avec le Programme electoral complet du Projet Nova. Il traduit les engagements politiques en mecanismes d execution et de controle.</w:t>
      </w:r>
    </w:p>
    <w:p>
      <w:pPr>
        <w:spacing w:before="120" w:after="40"/>
      </w:pPr>
      <w:r>
        <w:rPr>
          <w:b/>
          <w:color w:val="1F4E79"/>
          <w:sz w:val="21"/>
        </w:rPr>
        <w:t>Article T-8 - Compatibilite avec le manifeste</w:t>
      </w:r>
    </w:p>
    <w:p>
      <w:pPr>
        <w:spacing w:after="80" w:line="259" w:lineRule="auto"/>
      </w:pPr>
      <w:r>
        <w:rPr>
          <w:sz w:val="20"/>
        </w:rPr>
        <w:t>Le Manifeste officiel exprime l esprit public du projet. Le present outil en fournit l architecture pratique.</w:t>
      </w:r>
    </w:p>
    <w:p>
      <w:pPr>
        <w:spacing w:before="120" w:after="40"/>
      </w:pPr>
      <w:r>
        <w:rPr>
          <w:b/>
          <w:color w:val="1F4E79"/>
          <w:sz w:val="21"/>
        </w:rPr>
        <w:t>Article T-9 - Hierarchie documentaire</w:t>
      </w:r>
    </w:p>
    <w:p>
      <w:pPr>
        <w:spacing w:after="80" w:line="259" w:lineRule="auto"/>
      </w:pPr>
      <w:r>
        <w:rPr>
          <w:sz w:val="20"/>
        </w:rPr>
        <w:t>En cas de contradiction interne, la Constitution et les normes fondamentales priment sur les lois, reglements, directives et procedures de transition.</w:t>
      </w:r>
    </w:p>
    <w:p>
      <w:pPr>
        <w:spacing w:before="120" w:after="40"/>
      </w:pPr>
      <w:r>
        <w:rPr>
          <w:b/>
          <w:color w:val="1F4E79"/>
          <w:sz w:val="21"/>
        </w:rPr>
        <w:t>Article T-10 - Clause de prudence</w:t>
      </w:r>
    </w:p>
    <w:p>
      <w:pPr>
        <w:spacing w:after="80" w:line="259" w:lineRule="auto"/>
      </w:pPr>
      <w:r>
        <w:rPr>
          <w:sz w:val="20"/>
        </w:rPr>
        <w:t>Toute transition doit etre conduite avec prudence, mais la prudence ne doit jamais devenir un pretexte pour annuler silencieusement le mandat populaire.</w:t>
      </w:r>
    </w:p>
    <w:p>
      <w:pPr>
        <w:pStyle w:val="Heading1"/>
      </w:pPr>
      <w:r>
        <w:rPr>
          <w:rFonts w:ascii="Arial" w:hAnsi="Arial" w:eastAsia="Arial"/>
          <w:color w:val="1F4E79"/>
        </w:rPr>
        <w:t>PARTIE II - MANDAT POPULAIRE ET SEUILS DE DECISION</w:t>
      </w:r>
    </w:p>
    <w:p>
      <w:pPr>
        <w:spacing w:before="120" w:after="40"/>
      </w:pPr>
      <w:r>
        <w:rPr>
          <w:b/>
          <w:color w:val="1F4E79"/>
          <w:sz w:val="21"/>
        </w:rPr>
        <w:t>Article T-11 - Source du mandat</w:t>
      </w:r>
    </w:p>
    <w:p>
      <w:pPr>
        <w:spacing w:after="80" w:line="259" w:lineRule="auto"/>
      </w:pPr>
      <w:r>
        <w:rPr>
          <w:sz w:val="20"/>
        </w:rPr>
        <w:t>La transition constitutionnelle tire sa legitimite du peuple du Quebec, exprimee par des elections, consultations, referendums et mecanismes prevus par une autorite electorale independante.</w:t>
      </w:r>
    </w:p>
    <w:p>
      <w:pPr>
        <w:spacing w:before="120" w:after="40"/>
      </w:pPr>
      <w:r>
        <w:rPr>
          <w:b/>
          <w:color w:val="1F4E79"/>
          <w:sz w:val="21"/>
        </w:rPr>
        <w:t>Article T-12 - Mandat electoral</w:t>
      </w:r>
    </w:p>
    <w:p>
      <w:pPr>
        <w:spacing w:after="80" w:line="259" w:lineRule="auto"/>
      </w:pPr>
      <w:r>
        <w:rPr>
          <w:sz w:val="20"/>
        </w:rPr>
        <w:t>Un mandat electoral peut autoriser la preparation, les audits, les consultations, la publication des projets et la mise en place d institutions de transition, mais il ne remplace pas necessairement un referendum lorsque l enjeu exige une decision nationale directe.</w:t>
      </w:r>
    </w:p>
    <w:p>
      <w:pPr>
        <w:spacing w:before="120" w:after="40"/>
      </w:pPr>
      <w:r>
        <w:rPr>
          <w:b/>
          <w:color w:val="1F4E79"/>
          <w:sz w:val="21"/>
        </w:rPr>
        <w:t>Article T-13 - Mandat referendaire</w:t>
      </w:r>
    </w:p>
    <w:p>
      <w:pPr>
        <w:spacing w:after="80" w:line="259" w:lineRule="auto"/>
      </w:pPr>
      <w:r>
        <w:rPr>
          <w:sz w:val="20"/>
        </w:rPr>
        <w:t>Toute decision fondamentale sur la souverainete complete ou la Constitution finale doit obtenir un mandat populaire clair, valide, libre et verifiable.</w:t>
      </w:r>
    </w:p>
    <w:p>
      <w:pPr>
        <w:spacing w:before="120" w:after="40"/>
      </w:pPr>
      <w:r>
        <w:rPr>
          <w:b/>
          <w:color w:val="1F4E79"/>
          <w:sz w:val="21"/>
        </w:rPr>
        <w:t>Article T-14 - Question claire</w:t>
      </w:r>
    </w:p>
    <w:p>
      <w:pPr>
        <w:spacing w:after="80" w:line="259" w:lineRule="auto"/>
      </w:pPr>
      <w:r>
        <w:rPr>
          <w:sz w:val="20"/>
        </w:rPr>
        <w:t>La question soumise au peuple doit etre comprehensible, directe, non trompeuse et verifiee par une autorite independante.</w:t>
      </w:r>
    </w:p>
    <w:p>
      <w:pPr>
        <w:spacing w:before="120" w:after="40"/>
      </w:pPr>
      <w:r>
        <w:rPr>
          <w:b/>
          <w:color w:val="1F4E79"/>
          <w:sz w:val="21"/>
        </w:rPr>
        <w:t>Article T-15 - Information citoyenne</w:t>
      </w:r>
    </w:p>
    <w:p>
      <w:pPr>
        <w:spacing w:after="80" w:line="259" w:lineRule="auto"/>
      </w:pPr>
      <w:r>
        <w:rPr>
          <w:sz w:val="20"/>
        </w:rPr>
        <w:t>Avant tout vote majeur, les citoyens doivent recevoir une information complete sur les etapes, couts, risques, garanties, droits, services et consequences institutionnelles.</w:t>
      </w:r>
    </w:p>
    <w:p>
      <w:pPr>
        <w:spacing w:before="120" w:after="40"/>
      </w:pPr>
      <w:r>
        <w:rPr>
          <w:b/>
          <w:color w:val="1F4E79"/>
          <w:sz w:val="21"/>
        </w:rPr>
        <w:t>Article T-16 - Interdiction du mandat implicite</w:t>
      </w:r>
    </w:p>
    <w:p>
      <w:pPr>
        <w:spacing w:after="80" w:line="259" w:lineRule="auto"/>
      </w:pPr>
      <w:r>
        <w:rPr>
          <w:sz w:val="20"/>
        </w:rPr>
        <w:t>Aucun gouvernement ne peut pretendre detenir un mandat implicite pour transformer radicalement l ordre constitutionnel sans l avoir clairement annonce et soumis aux mecanismes democratiques requis.</w:t>
      </w:r>
    </w:p>
    <w:p>
      <w:pPr>
        <w:spacing w:before="120" w:after="40"/>
      </w:pPr>
      <w:r>
        <w:rPr>
          <w:b/>
          <w:color w:val="1F4E79"/>
          <w:sz w:val="21"/>
        </w:rPr>
        <w:t>Article T-17 - Respect du resultat</w:t>
      </w:r>
    </w:p>
    <w:p>
      <w:pPr>
        <w:spacing w:after="80" w:line="259" w:lineRule="auto"/>
      </w:pPr>
      <w:r>
        <w:rPr>
          <w:sz w:val="20"/>
        </w:rPr>
        <w:t>Tout resultat valide doit etre respecte. Le gouvernement ne peut pas contourner le peuple parce que le resultat lui deplait.</w:t>
      </w:r>
    </w:p>
    <w:p>
      <w:pPr>
        <w:spacing w:before="120" w:after="40"/>
      </w:pPr>
      <w:r>
        <w:rPr>
          <w:b/>
          <w:color w:val="1F4E79"/>
          <w:sz w:val="21"/>
        </w:rPr>
        <w:t>Article T-18 - Delai de mise en oeuvre</w:t>
      </w:r>
    </w:p>
    <w:p>
      <w:pPr>
        <w:spacing w:after="80" w:line="259" w:lineRule="auto"/>
      </w:pPr>
      <w:r>
        <w:rPr>
          <w:sz w:val="20"/>
        </w:rPr>
        <w:t>Le mandat populaire doit etre accompagne d un calendrier realiste de mise en oeuvre, publie et suivi publiquement.</w:t>
      </w:r>
    </w:p>
    <w:p>
      <w:pPr>
        <w:spacing w:before="120" w:after="40"/>
      </w:pPr>
      <w:r>
        <w:rPr>
          <w:b/>
          <w:color w:val="1F4E79"/>
          <w:sz w:val="21"/>
        </w:rPr>
        <w:t>Article T-19 - Droit de contestation</w:t>
      </w:r>
    </w:p>
    <w:p>
      <w:pPr>
        <w:spacing w:after="80" w:line="259" w:lineRule="auto"/>
      </w:pPr>
      <w:r>
        <w:rPr>
          <w:sz w:val="20"/>
        </w:rPr>
        <w:t>Les procedures de vote et de transition doivent prevoir des mecanismes de contestation judiciaire ou institutionnelle, sans permettre le blocage abusif de la volonte populaire.</w:t>
      </w:r>
    </w:p>
    <w:p>
      <w:pPr>
        <w:spacing w:before="120" w:after="40"/>
      </w:pPr>
      <w:r>
        <w:rPr>
          <w:b/>
          <w:color w:val="1F4E79"/>
          <w:sz w:val="21"/>
        </w:rPr>
        <w:t>Article T-20 - Souverainete populaire</w:t>
      </w:r>
    </w:p>
    <w:p>
      <w:pPr>
        <w:spacing w:after="80" w:line="259" w:lineRule="auto"/>
      </w:pPr>
      <w:r>
        <w:rPr>
          <w:sz w:val="20"/>
        </w:rPr>
        <w:t>Le peuple demeure la source du pouvoir pendant toute la transition. Aucune institution transitoire ne peut se substituer a lui.</w:t>
      </w:r>
    </w:p>
    <w:p>
      <w:pPr>
        <w:pStyle w:val="Heading1"/>
      </w:pPr>
      <w:r>
        <w:rPr>
          <w:rFonts w:ascii="Arial" w:hAnsi="Arial" w:eastAsia="Arial"/>
          <w:color w:val="1F4E79"/>
        </w:rPr>
        <w:t>PARTIE III - PHASES DE TRANSITION</w:t>
      </w:r>
    </w:p>
    <w:p>
      <w:pPr>
        <w:spacing w:before="120" w:after="40"/>
      </w:pPr>
      <w:r>
        <w:rPr>
          <w:b/>
          <w:color w:val="1F4E79"/>
          <w:sz w:val="21"/>
        </w:rPr>
        <w:t>Article T-21 - Sequence generale</w:t>
      </w:r>
    </w:p>
    <w:p>
      <w:pPr>
        <w:spacing w:after="80" w:line="259" w:lineRule="auto"/>
      </w:pPr>
      <w:r>
        <w:rPr>
          <w:sz w:val="20"/>
        </w:rPr>
        <w:t>La transition se divise en phases :</w:t>
      </w:r>
    </w:p>
    <w:p>
      <w:pPr>
        <w:pStyle w:val="ListBullet"/>
        <w:spacing w:after="40"/>
      </w:pPr>
      <w:r>
        <w:rPr>
          <w:sz w:val="20"/>
        </w:rPr>
        <w:t>phase 1 : audit et preparation</w:t>
      </w:r>
    </w:p>
    <w:p>
      <w:pPr>
        <w:pStyle w:val="ListBullet"/>
        <w:spacing w:after="40"/>
      </w:pPr>
      <w:r>
        <w:rPr>
          <w:sz w:val="20"/>
        </w:rPr>
        <w:t>phase 2 : consultation et publication</w:t>
      </w:r>
    </w:p>
    <w:p>
      <w:pPr>
        <w:pStyle w:val="ListBullet"/>
        <w:spacing w:after="40"/>
      </w:pPr>
      <w:r>
        <w:rPr>
          <w:sz w:val="20"/>
        </w:rPr>
        <w:t>phase 3 : mandat populaire</w:t>
      </w:r>
    </w:p>
    <w:p>
      <w:pPr>
        <w:pStyle w:val="ListBullet"/>
        <w:spacing w:after="40"/>
      </w:pPr>
      <w:r>
        <w:rPr>
          <w:sz w:val="20"/>
        </w:rPr>
        <w:t>phase 4 : activation institutionnelle</w:t>
      </w:r>
    </w:p>
    <w:p>
      <w:pPr>
        <w:pStyle w:val="ListBullet"/>
        <w:spacing w:after="40"/>
      </w:pPr>
      <w:r>
        <w:rPr>
          <w:sz w:val="20"/>
        </w:rPr>
        <w:t>phase 5 : stabilisation administrative</w:t>
      </w:r>
    </w:p>
    <w:p>
      <w:pPr>
        <w:pStyle w:val="ListBullet"/>
        <w:spacing w:after="40"/>
      </w:pPr>
      <w:r>
        <w:rPr>
          <w:sz w:val="20"/>
        </w:rPr>
        <w:t>phase 6 : consolidation constitutionnelle</w:t>
      </w:r>
    </w:p>
    <w:p>
      <w:pPr>
        <w:spacing w:before="120" w:after="40"/>
      </w:pPr>
      <w:r>
        <w:rPr>
          <w:b/>
          <w:color w:val="1F4E79"/>
          <w:sz w:val="21"/>
        </w:rPr>
        <w:t>Article T-22 - Phase 1 - Audit</w:t>
      </w:r>
    </w:p>
    <w:p>
      <w:pPr>
        <w:spacing w:after="80" w:line="259" w:lineRule="auto"/>
      </w:pPr>
      <w:r>
        <w:rPr>
          <w:sz w:val="20"/>
        </w:rPr>
        <w:t>La phase d audit dresse l etat reel des finances, services, contrats, infrastructures, donnees, dependances et risques.</w:t>
      </w:r>
    </w:p>
    <w:p>
      <w:pPr>
        <w:spacing w:before="120" w:after="40"/>
      </w:pPr>
      <w:r>
        <w:rPr>
          <w:b/>
          <w:color w:val="1F4E79"/>
          <w:sz w:val="21"/>
        </w:rPr>
        <w:t>Article T-23 - Phase 2 - Publication</w:t>
      </w:r>
    </w:p>
    <w:p>
      <w:pPr>
        <w:spacing w:after="80" w:line="259" w:lineRule="auto"/>
      </w:pPr>
      <w:r>
        <w:rPr>
          <w:sz w:val="20"/>
        </w:rPr>
        <w:t>La phase de publication rend accessibles les documents de transition, les analyses citoyennes, les garanties et les scenarios.</w:t>
      </w:r>
    </w:p>
    <w:p>
      <w:pPr>
        <w:spacing w:before="120" w:after="40"/>
      </w:pPr>
      <w:r>
        <w:rPr>
          <w:b/>
          <w:color w:val="1F4E79"/>
          <w:sz w:val="21"/>
        </w:rPr>
        <w:t>Article T-24 - Phase 3 - Mandat populaire</w:t>
      </w:r>
    </w:p>
    <w:p>
      <w:pPr>
        <w:spacing w:after="80" w:line="259" w:lineRule="auto"/>
      </w:pPr>
      <w:r>
        <w:rPr>
          <w:sz w:val="20"/>
        </w:rPr>
        <w:t>La phase de mandat populaire permet au peuple de choisir clairement la direction constitutionnelle du Quebec.</w:t>
      </w:r>
    </w:p>
    <w:p>
      <w:pPr>
        <w:spacing w:before="120" w:after="40"/>
      </w:pPr>
      <w:r>
        <w:rPr>
          <w:b/>
          <w:color w:val="1F4E79"/>
          <w:sz w:val="21"/>
        </w:rPr>
        <w:t>Article T-25 - Phase 4 - Activation institutionnelle</w:t>
      </w:r>
    </w:p>
    <w:p>
      <w:pPr>
        <w:spacing w:after="80" w:line="259" w:lineRule="auto"/>
      </w:pPr>
      <w:r>
        <w:rPr>
          <w:sz w:val="20"/>
        </w:rPr>
        <w:t>La phase d activation met en fonction les organes transitoires prevus : coordination de transition, comites de continuite, autorites independantes, registres et cellules sectorielles.</w:t>
      </w:r>
    </w:p>
    <w:p>
      <w:pPr>
        <w:spacing w:before="120" w:after="40"/>
      </w:pPr>
      <w:r>
        <w:rPr>
          <w:b/>
          <w:color w:val="1F4E79"/>
          <w:sz w:val="21"/>
        </w:rPr>
        <w:t>Article T-26 - Phase 5 - Stabilisation</w:t>
      </w:r>
    </w:p>
    <w:p>
      <w:pPr>
        <w:spacing w:after="80" w:line="259" w:lineRule="auto"/>
      </w:pPr>
      <w:r>
        <w:rPr>
          <w:sz w:val="20"/>
        </w:rPr>
        <w:t>La stabilisation vise a maintenir les services, eviter les ruptures et corriger rapidement les problemes d execution.</w:t>
      </w:r>
    </w:p>
    <w:p>
      <w:pPr>
        <w:spacing w:before="120" w:after="40"/>
      </w:pPr>
      <w:r>
        <w:rPr>
          <w:b/>
          <w:color w:val="1F4E79"/>
          <w:sz w:val="21"/>
        </w:rPr>
        <w:t>Article T-27 - Phase 6 - Consolidation</w:t>
      </w:r>
    </w:p>
    <w:p>
      <w:pPr>
        <w:spacing w:after="80" w:line="259" w:lineRule="auto"/>
      </w:pPr>
      <w:r>
        <w:rPr>
          <w:sz w:val="20"/>
        </w:rPr>
        <w:t>La consolidation confirme les nouvelles institutions, publie les rapports finaux et integre les correctifs dans le droit permanent.</w:t>
      </w:r>
    </w:p>
    <w:p>
      <w:pPr>
        <w:spacing w:before="120" w:after="40"/>
      </w:pPr>
      <w:r>
        <w:rPr>
          <w:b/>
          <w:color w:val="1F4E79"/>
          <w:sz w:val="21"/>
        </w:rPr>
        <w:t>Article T-28 - Interdiction du saut de phase</w:t>
      </w:r>
    </w:p>
    <w:p>
      <w:pPr>
        <w:spacing w:after="80" w:line="259" w:lineRule="auto"/>
      </w:pPr>
      <w:r>
        <w:rPr>
          <w:sz w:val="20"/>
        </w:rPr>
        <w:t>Aucune phase ne peut etre sautee lorsque cela compromet la clarte, la continuite ou le controle democratique.</w:t>
      </w:r>
    </w:p>
    <w:p>
      <w:pPr>
        <w:spacing w:before="120" w:after="40"/>
      </w:pPr>
      <w:r>
        <w:rPr>
          <w:b/>
          <w:color w:val="1F4E79"/>
          <w:sz w:val="21"/>
        </w:rPr>
        <w:t>Article T-29 - Tableau public de transition</w:t>
      </w:r>
    </w:p>
    <w:p>
      <w:pPr>
        <w:spacing w:after="80" w:line="259" w:lineRule="auto"/>
      </w:pPr>
      <w:r>
        <w:rPr>
          <w:sz w:val="20"/>
        </w:rPr>
        <w:t>Un tableau public doit suivre chaque phase, ses objectifs, responsables, echeances, risques et resultats.</w:t>
      </w:r>
    </w:p>
    <w:p>
      <w:pPr>
        <w:spacing w:before="120" w:after="40"/>
      </w:pPr>
      <w:r>
        <w:rPr>
          <w:b/>
          <w:color w:val="1F4E79"/>
          <w:sz w:val="21"/>
        </w:rPr>
        <w:t>Article T-30 - Cellule centrale de coordination</w:t>
      </w:r>
    </w:p>
    <w:p>
      <w:pPr>
        <w:spacing w:after="80" w:line="259" w:lineRule="auto"/>
      </w:pPr>
      <w:r>
        <w:rPr>
          <w:sz w:val="20"/>
        </w:rPr>
        <w:t>Une cellule de coordination peut etre creee, mais elle doit etre limitee par la Constitution, les lois organiques, les audits, le controle parlementaire et la transparence.</w:t>
      </w:r>
    </w:p>
    <w:p>
      <w:pPr>
        <w:spacing w:before="120" w:after="40"/>
      </w:pPr>
      <w:r>
        <w:rPr>
          <w:b/>
          <w:color w:val="1F4E79"/>
          <w:sz w:val="21"/>
        </w:rPr>
        <w:t>Article T-31 - Cellules sectorielles</w:t>
      </w:r>
    </w:p>
    <w:p>
      <w:pPr>
        <w:spacing w:after="80" w:line="259" w:lineRule="auto"/>
      </w:pPr>
      <w:r>
        <w:rPr>
          <w:sz w:val="20"/>
        </w:rPr>
        <w:t>Des cellules sectorielles doivent couvrir sante, education, finances, justice, securite, numerique, infrastructures, energie, immigration, affaires internationales et municipalites.</w:t>
      </w:r>
    </w:p>
    <w:p>
      <w:pPr>
        <w:spacing w:before="120" w:after="40"/>
      </w:pPr>
      <w:r>
        <w:rPr>
          <w:b/>
          <w:color w:val="1F4E79"/>
          <w:sz w:val="21"/>
        </w:rPr>
        <w:t>Article T-32 - Rapports de phase</w:t>
      </w:r>
    </w:p>
    <w:p>
      <w:pPr>
        <w:spacing w:after="80" w:line="259" w:lineRule="auto"/>
      </w:pPr>
      <w:r>
        <w:rPr>
          <w:sz w:val="20"/>
        </w:rPr>
        <w:t>Chaque phase doit produire un rapport public, sauf renseignements strictement sensibles justifies par la securite ou la protection des personnes.</w:t>
      </w:r>
    </w:p>
    <w:p>
      <w:pPr>
        <w:spacing w:before="120" w:after="40"/>
      </w:pPr>
      <w:r>
        <w:rPr>
          <w:b/>
          <w:color w:val="1F4E79"/>
          <w:sz w:val="21"/>
        </w:rPr>
        <w:t>Article T-33 - Correction de phase</w:t>
      </w:r>
    </w:p>
    <w:p>
      <w:pPr>
        <w:spacing w:after="80" w:line="259" w:lineRule="auto"/>
      </w:pPr>
      <w:r>
        <w:rPr>
          <w:sz w:val="20"/>
        </w:rPr>
        <w:t>Une phase peut etre corrigee lorsque les faits demontrent une erreur, un risque ou une inefficacite.</w:t>
      </w:r>
    </w:p>
    <w:p>
      <w:pPr>
        <w:spacing w:before="120" w:after="40"/>
      </w:pPr>
      <w:r>
        <w:rPr>
          <w:b/>
          <w:color w:val="1F4E79"/>
          <w:sz w:val="21"/>
        </w:rPr>
        <w:t>Article T-34 - Absence de precipitation</w:t>
      </w:r>
    </w:p>
    <w:p>
      <w:pPr>
        <w:spacing w:after="80" w:line="259" w:lineRule="auto"/>
      </w:pPr>
      <w:r>
        <w:rPr>
          <w:sz w:val="20"/>
        </w:rPr>
        <w:t>La transition ne doit pas etre precipitee pour des raisons d image politique.</w:t>
      </w:r>
    </w:p>
    <w:p>
      <w:pPr>
        <w:spacing w:before="120" w:after="40"/>
      </w:pPr>
      <w:r>
        <w:rPr>
          <w:b/>
          <w:color w:val="1F4E79"/>
          <w:sz w:val="21"/>
        </w:rPr>
        <w:t>Article T-35 - Absence d immobilisme</w:t>
      </w:r>
    </w:p>
    <w:p>
      <w:pPr>
        <w:spacing w:after="80" w:line="259" w:lineRule="auto"/>
      </w:pPr>
      <w:r>
        <w:rPr>
          <w:sz w:val="20"/>
        </w:rPr>
        <w:t>La prudence ne doit pas devenir un instrument d immobilisme ou de sabotage administratif.</w:t>
      </w:r>
    </w:p>
    <w:p>
      <w:pPr>
        <w:pStyle w:val="Heading1"/>
      </w:pPr>
      <w:r>
        <w:rPr>
          <w:rFonts w:ascii="Arial" w:hAnsi="Arial" w:eastAsia="Arial"/>
          <w:color w:val="1F4E79"/>
        </w:rPr>
        <w:t>PARTIE IV - CONTINUITE DES SERVICES ESSENTIELS</w:t>
      </w:r>
    </w:p>
    <w:p>
      <w:pPr>
        <w:spacing w:before="120" w:after="40"/>
      </w:pPr>
      <w:r>
        <w:rPr>
          <w:b/>
          <w:color w:val="1F4E79"/>
          <w:sz w:val="21"/>
        </w:rPr>
        <w:t>Article T-36 - Principe de continuite</w:t>
      </w:r>
    </w:p>
    <w:p>
      <w:pPr>
        <w:spacing w:after="80" w:line="259" w:lineRule="auto"/>
      </w:pPr>
      <w:r>
        <w:rPr>
          <w:sz w:val="20"/>
        </w:rPr>
        <w:t>La transition ne doit pas interrompre les services essentiels aux citoyens.</w:t>
      </w:r>
    </w:p>
    <w:p>
      <w:pPr>
        <w:spacing w:before="120" w:after="40"/>
      </w:pPr>
      <w:r>
        <w:rPr>
          <w:b/>
          <w:color w:val="1F4E79"/>
          <w:sz w:val="21"/>
        </w:rPr>
        <w:t>Article T-37 - Services vises</w:t>
      </w:r>
    </w:p>
    <w:p>
      <w:pPr>
        <w:spacing w:after="80" w:line="259" w:lineRule="auto"/>
      </w:pPr>
      <w:r>
        <w:rPr>
          <w:sz w:val="20"/>
        </w:rPr>
        <w:t>Sont notamment vises :</w:t>
      </w:r>
    </w:p>
    <w:p>
      <w:pPr>
        <w:pStyle w:val="ListBullet"/>
        <w:spacing w:after="40"/>
      </w:pPr>
      <w:r>
        <w:rPr>
          <w:sz w:val="20"/>
        </w:rPr>
        <w:t>sante et services sociaux</w:t>
      </w:r>
    </w:p>
    <w:p>
      <w:pPr>
        <w:pStyle w:val="ListBullet"/>
        <w:spacing w:after="40"/>
      </w:pPr>
      <w:r>
        <w:rPr>
          <w:sz w:val="20"/>
        </w:rPr>
        <w:t>education</w:t>
      </w:r>
    </w:p>
    <w:p>
      <w:pPr>
        <w:pStyle w:val="ListBullet"/>
        <w:spacing w:after="40"/>
      </w:pPr>
      <w:r>
        <w:rPr>
          <w:sz w:val="20"/>
        </w:rPr>
        <w:t>justice</w:t>
      </w:r>
    </w:p>
    <w:p>
      <w:pPr>
        <w:pStyle w:val="ListBullet"/>
        <w:spacing w:after="40"/>
      </w:pPr>
      <w:r>
        <w:rPr>
          <w:sz w:val="20"/>
        </w:rPr>
        <w:t>securite publique</w:t>
      </w:r>
    </w:p>
    <w:p>
      <w:pPr>
        <w:pStyle w:val="ListBullet"/>
        <w:spacing w:after="40"/>
      </w:pPr>
      <w:r>
        <w:rPr>
          <w:sz w:val="20"/>
        </w:rPr>
        <w:t>energie</w:t>
      </w:r>
    </w:p>
    <w:p>
      <w:pPr>
        <w:pStyle w:val="ListBullet"/>
        <w:spacing w:after="40"/>
      </w:pPr>
      <w:r>
        <w:rPr>
          <w:sz w:val="20"/>
        </w:rPr>
        <w:t>eau</w:t>
      </w:r>
    </w:p>
    <w:p>
      <w:pPr>
        <w:pStyle w:val="ListBullet"/>
        <w:spacing w:after="40"/>
      </w:pPr>
      <w:r>
        <w:rPr>
          <w:sz w:val="20"/>
        </w:rPr>
        <w:t>transport critique</w:t>
      </w:r>
    </w:p>
    <w:p>
      <w:pPr>
        <w:pStyle w:val="ListBullet"/>
        <w:spacing w:after="40"/>
      </w:pPr>
      <w:r>
        <w:rPr>
          <w:sz w:val="20"/>
        </w:rPr>
        <w:t>communications</w:t>
      </w:r>
    </w:p>
    <w:p>
      <w:pPr>
        <w:pStyle w:val="ListBullet"/>
        <w:spacing w:after="40"/>
      </w:pPr>
      <w:r>
        <w:rPr>
          <w:sz w:val="20"/>
        </w:rPr>
        <w:t>paiements publics</w:t>
      </w:r>
    </w:p>
    <w:p>
      <w:pPr>
        <w:pStyle w:val="ListBullet"/>
        <w:spacing w:after="40"/>
      </w:pPr>
      <w:r>
        <w:rPr>
          <w:sz w:val="20"/>
        </w:rPr>
        <w:t>registres civils</w:t>
      </w:r>
    </w:p>
    <w:p>
      <w:pPr>
        <w:pStyle w:val="ListBullet"/>
        <w:spacing w:after="40"/>
      </w:pPr>
      <w:r>
        <w:rPr>
          <w:sz w:val="20"/>
        </w:rPr>
        <w:t>services numeriques critiques</w:t>
      </w:r>
    </w:p>
    <w:p>
      <w:pPr>
        <w:spacing w:before="120" w:after="40"/>
      </w:pPr>
      <w:r>
        <w:rPr>
          <w:b/>
          <w:color w:val="1F4E79"/>
          <w:sz w:val="21"/>
        </w:rPr>
        <w:t>Article T-38 - Plans de continuite</w:t>
      </w:r>
    </w:p>
    <w:p>
      <w:pPr>
        <w:spacing w:after="80" w:line="259" w:lineRule="auto"/>
      </w:pPr>
      <w:r>
        <w:rPr>
          <w:sz w:val="20"/>
        </w:rPr>
        <w:t>Chaque service essentiel doit disposer d un plan de continuite, teste et mis a jour.</w:t>
      </w:r>
    </w:p>
    <w:p>
      <w:pPr>
        <w:spacing w:before="120" w:after="40"/>
      </w:pPr>
      <w:r>
        <w:rPr>
          <w:b/>
          <w:color w:val="1F4E79"/>
          <w:sz w:val="21"/>
        </w:rPr>
        <w:t>Article T-39 - Responsables identifies</w:t>
      </w:r>
    </w:p>
    <w:p>
      <w:pPr>
        <w:spacing w:after="80" w:line="259" w:lineRule="auto"/>
      </w:pPr>
      <w:r>
        <w:rPr>
          <w:sz w:val="20"/>
        </w:rPr>
        <w:t>Chaque plan doit nommer des responsables, des substituts et des lignes de decision.</w:t>
      </w:r>
    </w:p>
    <w:p>
      <w:pPr>
        <w:spacing w:before="120" w:after="40"/>
      </w:pPr>
      <w:r>
        <w:rPr>
          <w:b/>
          <w:color w:val="1F4E79"/>
          <w:sz w:val="21"/>
        </w:rPr>
        <w:t>Article T-40 - Indicateurs publics</w:t>
      </w:r>
    </w:p>
    <w:p>
      <w:pPr>
        <w:spacing w:after="80" w:line="259" w:lineRule="auto"/>
      </w:pPr>
      <w:r>
        <w:rPr>
          <w:sz w:val="20"/>
        </w:rPr>
        <w:t>Les indicateurs de continuite doivent etre publics lorsque leur publication ne compromet pas la securite.</w:t>
      </w:r>
    </w:p>
    <w:p>
      <w:pPr>
        <w:spacing w:before="120" w:after="40"/>
      </w:pPr>
      <w:r>
        <w:rPr>
          <w:b/>
          <w:color w:val="1F4E79"/>
          <w:sz w:val="21"/>
        </w:rPr>
        <w:t>Article T-41 - Protection des personnes vulnerables</w:t>
      </w:r>
    </w:p>
    <w:p>
      <w:pPr>
        <w:spacing w:after="80" w:line="259" w:lineRule="auto"/>
      </w:pPr>
      <w:r>
        <w:rPr>
          <w:sz w:val="20"/>
        </w:rPr>
        <w:t>La transition doit proteger prioritairement les aines, enfants, personnes handicapees, malades, citoyens en situation de pauvrete et personnes dependantes d un service vital.</w:t>
      </w:r>
    </w:p>
    <w:p>
      <w:pPr>
        <w:spacing w:before="120" w:after="40"/>
      </w:pPr>
      <w:r>
        <w:rPr>
          <w:b/>
          <w:color w:val="1F4E79"/>
          <w:sz w:val="21"/>
        </w:rPr>
        <w:t>Article T-42 - Acces humain</w:t>
      </w:r>
    </w:p>
    <w:p>
      <w:pPr>
        <w:spacing w:after="80" w:line="259" w:lineRule="auto"/>
      </w:pPr>
      <w:r>
        <w:rPr>
          <w:sz w:val="20"/>
        </w:rPr>
        <w:t>Le maintien d un acces humain aux services critiques doit etre garanti pendant la transition.</w:t>
      </w:r>
    </w:p>
    <w:p>
      <w:pPr>
        <w:spacing w:before="120" w:after="40"/>
      </w:pPr>
      <w:r>
        <w:rPr>
          <w:b/>
          <w:color w:val="1F4E79"/>
          <w:sz w:val="21"/>
        </w:rPr>
        <w:t>Article T-43 - Stocks et reserves</w:t>
      </w:r>
    </w:p>
    <w:p>
      <w:pPr>
        <w:spacing w:after="80" w:line="259" w:lineRule="auto"/>
      </w:pPr>
      <w:r>
        <w:rPr>
          <w:sz w:val="20"/>
        </w:rPr>
        <w:t>Les secteurs critiques doivent identifier les stocks, reserves, fournisseurs et dependances strategiques.</w:t>
      </w:r>
    </w:p>
    <w:p>
      <w:pPr>
        <w:spacing w:before="120" w:after="40"/>
      </w:pPr>
      <w:r>
        <w:rPr>
          <w:b/>
          <w:color w:val="1F4E79"/>
          <w:sz w:val="21"/>
        </w:rPr>
        <w:t>Article T-44 - Tests de crise</w:t>
      </w:r>
    </w:p>
    <w:p>
      <w:pPr>
        <w:spacing w:after="80" w:line="259" w:lineRule="auto"/>
      </w:pPr>
      <w:r>
        <w:rPr>
          <w:sz w:val="20"/>
        </w:rPr>
        <w:t>Des simulations de crise doivent verifier la robustesse des plans de continuite.</w:t>
      </w:r>
    </w:p>
    <w:p>
      <w:pPr>
        <w:spacing w:before="120" w:after="40"/>
      </w:pPr>
      <w:r>
        <w:rPr>
          <w:b/>
          <w:color w:val="1F4E79"/>
          <w:sz w:val="21"/>
        </w:rPr>
        <w:t>Article T-45 - Rapport de continuite</w:t>
      </w:r>
    </w:p>
    <w:p>
      <w:pPr>
        <w:spacing w:after="80" w:line="259" w:lineRule="auto"/>
      </w:pPr>
      <w:r>
        <w:rPr>
          <w:sz w:val="20"/>
        </w:rPr>
        <w:t>Un rapport de continuite doit etre depose avant toute phase decisive de transition.</w:t>
      </w:r>
    </w:p>
    <w:p>
      <w:pPr>
        <w:pStyle w:val="Heading1"/>
      </w:pPr>
      <w:r>
        <w:rPr>
          <w:rFonts w:ascii="Arial" w:hAnsi="Arial" w:eastAsia="Arial"/>
          <w:color w:val="1F4E79"/>
        </w:rPr>
        <w:t>PARTIE V - FINANCES, ACTIFS, DETTE ET CONTRATS</w:t>
      </w:r>
    </w:p>
    <w:p>
      <w:pPr>
        <w:spacing w:before="120" w:after="40"/>
      </w:pPr>
      <w:r>
        <w:rPr>
          <w:b/>
          <w:color w:val="1F4E79"/>
          <w:sz w:val="21"/>
        </w:rPr>
        <w:t>Article T-46 - Audit financier</w:t>
      </w:r>
    </w:p>
    <w:p>
      <w:pPr>
        <w:spacing w:after="80" w:line="259" w:lineRule="auto"/>
      </w:pPr>
      <w:r>
        <w:rPr>
          <w:sz w:val="20"/>
        </w:rPr>
        <w:t>La transition doit s appuyer sur un audit financier complet du Quebec, incluant dette, revenus, depenses, actifs, passifs, engagements hors bilan et risques.</w:t>
      </w:r>
    </w:p>
    <w:p>
      <w:pPr>
        <w:spacing w:before="120" w:after="40"/>
      </w:pPr>
      <w:r>
        <w:rPr>
          <w:b/>
          <w:color w:val="1F4E79"/>
          <w:sz w:val="21"/>
        </w:rPr>
        <w:t>Article T-47 - Budget de transition</w:t>
      </w:r>
    </w:p>
    <w:p>
      <w:pPr>
        <w:spacing w:after="80" w:line="259" w:lineRule="auto"/>
      </w:pPr>
      <w:r>
        <w:rPr>
          <w:sz w:val="20"/>
        </w:rPr>
        <w:t>Un budget de transition doit etre publie, comprenant couts, reserves, imprévus et mesures d economie.</w:t>
      </w:r>
    </w:p>
    <w:p>
      <w:pPr>
        <w:spacing w:before="120" w:after="40"/>
      </w:pPr>
      <w:r>
        <w:rPr>
          <w:b/>
          <w:color w:val="1F4E79"/>
          <w:sz w:val="21"/>
        </w:rPr>
        <w:t>Article T-48 - Protection des contribuables</w:t>
      </w:r>
    </w:p>
    <w:p>
      <w:pPr>
        <w:spacing w:after="80" w:line="259" w:lineRule="auto"/>
      </w:pPr>
      <w:r>
        <w:rPr>
          <w:sz w:val="20"/>
        </w:rPr>
        <w:t>La transition ne doit pas devenir un pretexte pour imposer des taxes cachees ou des charges non expliquees.</w:t>
      </w:r>
    </w:p>
    <w:p>
      <w:pPr>
        <w:spacing w:before="120" w:after="40"/>
      </w:pPr>
      <w:r>
        <w:rPr>
          <w:b/>
          <w:color w:val="1F4E79"/>
          <w:sz w:val="21"/>
        </w:rPr>
        <w:t>Article T-49 - Contrats publics</w:t>
      </w:r>
    </w:p>
    <w:p>
      <w:pPr>
        <w:spacing w:after="80" w:line="259" w:lineRule="auto"/>
      </w:pPr>
      <w:r>
        <w:rPr>
          <w:sz w:val="20"/>
        </w:rPr>
        <w:t>Les contrats publics doivent etre recenses, classes et verifies afin de determiner ceux qui continuent, ceux qui doivent etre renegocies et ceux qui doivent etre remplaces.</w:t>
      </w:r>
    </w:p>
    <w:p>
      <w:pPr>
        <w:spacing w:before="120" w:after="40"/>
      </w:pPr>
      <w:r>
        <w:rPr>
          <w:b/>
          <w:color w:val="1F4E79"/>
          <w:sz w:val="21"/>
        </w:rPr>
        <w:t>Article T-50 - Actifs publics</w:t>
      </w:r>
    </w:p>
    <w:p>
      <w:pPr>
        <w:spacing w:after="80" w:line="259" w:lineRule="auto"/>
      </w:pPr>
      <w:r>
        <w:rPr>
          <w:sz w:val="20"/>
        </w:rPr>
        <w:t>Les actifs publics strategiques doivent etre proteges contre la vente precipitee, la capture privee ou le transfert opaque.</w:t>
      </w:r>
    </w:p>
    <w:p>
      <w:pPr>
        <w:spacing w:before="120" w:after="40"/>
      </w:pPr>
      <w:r>
        <w:rPr>
          <w:b/>
          <w:color w:val="1F4E79"/>
          <w:sz w:val="21"/>
        </w:rPr>
        <w:t>Article T-51 - Dette et obligations</w:t>
      </w:r>
    </w:p>
    <w:p>
      <w:pPr>
        <w:spacing w:after="80" w:line="259" w:lineRule="auto"/>
      </w:pPr>
      <w:r>
        <w:rPr>
          <w:sz w:val="20"/>
        </w:rPr>
        <w:t>Toute discussion sur la dette, les obligations et les engagements financiers doit etre fondee sur des donnees verifiables et presentee clairement au peuple.</w:t>
      </w:r>
    </w:p>
    <w:p>
      <w:pPr>
        <w:spacing w:before="120" w:after="40"/>
      </w:pPr>
      <w:r>
        <w:rPr>
          <w:b/>
          <w:color w:val="1F4E79"/>
          <w:sz w:val="21"/>
        </w:rPr>
        <w:t>Article T-52 - Fonds de stabilisation</w:t>
      </w:r>
    </w:p>
    <w:p>
      <w:pPr>
        <w:spacing w:after="80" w:line="259" w:lineRule="auto"/>
      </w:pPr>
      <w:r>
        <w:rPr>
          <w:sz w:val="20"/>
        </w:rPr>
        <w:t>Un fonds ou mecanisme de stabilisation peut etre prevu afin d absorber les couts et risques temporaires.</w:t>
      </w:r>
    </w:p>
    <w:p>
      <w:pPr>
        <w:spacing w:before="120" w:after="40"/>
      </w:pPr>
      <w:r>
        <w:rPr>
          <w:b/>
          <w:color w:val="1F4E79"/>
          <w:sz w:val="21"/>
        </w:rPr>
        <w:t>Article T-53 - Interdiction de depenses de prestige</w:t>
      </w:r>
    </w:p>
    <w:p>
      <w:pPr>
        <w:spacing w:after="80" w:line="259" w:lineRule="auto"/>
      </w:pPr>
      <w:r>
        <w:rPr>
          <w:sz w:val="20"/>
        </w:rPr>
        <w:t>Aucune depense de prestige ne doit etre justifiee par la transition.</w:t>
      </w:r>
    </w:p>
    <w:p>
      <w:pPr>
        <w:spacing w:before="120" w:after="40"/>
      </w:pPr>
      <w:r>
        <w:rPr>
          <w:b/>
          <w:color w:val="1F4E79"/>
          <w:sz w:val="21"/>
        </w:rPr>
        <w:t>Article T-54 - Publication des couts</w:t>
      </w:r>
    </w:p>
    <w:p>
      <w:pPr>
        <w:spacing w:after="80" w:line="259" w:lineRule="auto"/>
      </w:pPr>
      <w:r>
        <w:rPr>
          <w:sz w:val="20"/>
        </w:rPr>
        <w:t>Les couts importants doivent etre publies avec leur justification.</w:t>
      </w:r>
    </w:p>
    <w:p>
      <w:pPr>
        <w:spacing w:before="120" w:after="40"/>
      </w:pPr>
      <w:r>
        <w:rPr>
          <w:b/>
          <w:color w:val="1F4E79"/>
          <w:sz w:val="21"/>
        </w:rPr>
        <w:t>Article T-55 - Controle externe</w:t>
      </w:r>
    </w:p>
    <w:p>
      <w:pPr>
        <w:spacing w:after="80" w:line="259" w:lineRule="auto"/>
      </w:pPr>
      <w:r>
        <w:rPr>
          <w:sz w:val="20"/>
        </w:rPr>
        <w:t>Les finances de transition doivent etre controlees par une instance independante.</w:t>
      </w:r>
    </w:p>
    <w:p>
      <w:pPr>
        <w:pStyle w:val="Heading1"/>
      </w:pPr>
      <w:r>
        <w:rPr>
          <w:rFonts w:ascii="Arial" w:hAnsi="Arial" w:eastAsia="Arial"/>
          <w:color w:val="1F4E79"/>
        </w:rPr>
        <w:t>PARTIE VI - CITOYENNETE, REGISTRES ET STATUT DES PERSONNES</w:t>
      </w:r>
    </w:p>
    <w:p>
      <w:pPr>
        <w:spacing w:before="120" w:after="40"/>
      </w:pPr>
      <w:r>
        <w:rPr>
          <w:b/>
          <w:color w:val="1F4E79"/>
          <w:sz w:val="21"/>
        </w:rPr>
        <w:t>Article T-56 - Principe de protection des citoyens</w:t>
      </w:r>
    </w:p>
    <w:p>
      <w:pPr>
        <w:spacing w:after="80" w:line="259" w:lineRule="auto"/>
      </w:pPr>
      <w:r>
        <w:rPr>
          <w:sz w:val="20"/>
        </w:rPr>
        <w:t>Aucun citoyen ne doit perdre ses droits essentiels en raison d une transition mal organisee.</w:t>
      </w:r>
    </w:p>
    <w:p>
      <w:pPr>
        <w:spacing w:before="120" w:after="40"/>
      </w:pPr>
      <w:r>
        <w:rPr>
          <w:b/>
          <w:color w:val="1F4E79"/>
          <w:sz w:val="21"/>
        </w:rPr>
        <w:t>Article T-57 - Citoyennete quebecoise</w:t>
      </w:r>
    </w:p>
    <w:p>
      <w:pPr>
        <w:spacing w:after="80" w:line="259" w:lineRule="auto"/>
      </w:pPr>
      <w:r>
        <w:rPr>
          <w:sz w:val="20"/>
        </w:rPr>
        <w:t>La citoyennete quebecoise doit etre definie clairement, selon des criteres publics, stables et non arbitraires.</w:t>
      </w:r>
    </w:p>
    <w:p>
      <w:pPr>
        <w:spacing w:before="120" w:after="40"/>
      </w:pPr>
      <w:r>
        <w:rPr>
          <w:b/>
          <w:color w:val="1F4E79"/>
          <w:sz w:val="21"/>
        </w:rPr>
        <w:t>Article T-58 - Registres civils</w:t>
      </w:r>
    </w:p>
    <w:p>
      <w:pPr>
        <w:spacing w:after="80" w:line="259" w:lineRule="auto"/>
      </w:pPr>
      <w:r>
        <w:rPr>
          <w:sz w:val="20"/>
        </w:rPr>
        <w:t>Les registres civils doivent etre proteges, sauvegardes, audites et maintenus accessibles.</w:t>
      </w:r>
    </w:p>
    <w:p>
      <w:pPr>
        <w:spacing w:before="120" w:after="40"/>
      </w:pPr>
      <w:r>
        <w:rPr>
          <w:b/>
          <w:color w:val="1F4E79"/>
          <w:sz w:val="21"/>
        </w:rPr>
        <w:t>Article T-59 - Documents officiels</w:t>
      </w:r>
    </w:p>
    <w:p>
      <w:pPr>
        <w:spacing w:after="80" w:line="259" w:lineRule="auto"/>
      </w:pPr>
      <w:r>
        <w:rPr>
          <w:sz w:val="20"/>
        </w:rPr>
        <w:t>Les documents officiels doivent etre reconnus pendant une periode de transition pour eviter les ruptures administratives.</w:t>
      </w:r>
    </w:p>
    <w:p>
      <w:pPr>
        <w:spacing w:before="120" w:after="40"/>
      </w:pPr>
      <w:r>
        <w:rPr>
          <w:b/>
          <w:color w:val="1F4E79"/>
          <w:sz w:val="21"/>
        </w:rPr>
        <w:t>Article T-60 - Residents permanents et temporaires</w:t>
      </w:r>
    </w:p>
    <w:p>
      <w:pPr>
        <w:spacing w:after="80" w:line="259" w:lineRule="auto"/>
      </w:pPr>
      <w:r>
        <w:rPr>
          <w:sz w:val="20"/>
        </w:rPr>
        <w:t>Le statut des residents permanents, temporaires, travailleurs, etudiants et familles doit etre clarifie sans arbitraire.</w:t>
      </w:r>
    </w:p>
    <w:p>
      <w:pPr>
        <w:spacing w:before="120" w:after="40"/>
      </w:pPr>
      <w:r>
        <w:rPr>
          <w:b/>
          <w:color w:val="1F4E79"/>
          <w:sz w:val="21"/>
        </w:rPr>
        <w:t>Article T-61 - Droits acquis</w:t>
      </w:r>
    </w:p>
    <w:p>
      <w:pPr>
        <w:spacing w:after="80" w:line="259" w:lineRule="auto"/>
      </w:pPr>
      <w:r>
        <w:rPr>
          <w:sz w:val="20"/>
        </w:rPr>
        <w:t>Les droits acquis doivent etre inventories et respectes sauf necessite publique clairement justifiee et encadree.</w:t>
      </w:r>
    </w:p>
    <w:p>
      <w:pPr>
        <w:spacing w:before="120" w:after="40"/>
      </w:pPr>
      <w:r>
        <w:rPr>
          <w:b/>
          <w:color w:val="1F4E79"/>
          <w:sz w:val="21"/>
        </w:rPr>
        <w:t>Article T-62 - Francisation</w:t>
      </w:r>
    </w:p>
    <w:p>
      <w:pPr>
        <w:spacing w:after="80" w:line="259" w:lineRule="auto"/>
      </w:pPr>
      <w:r>
        <w:rPr>
          <w:sz w:val="20"/>
        </w:rPr>
        <w:t>La transition doit renforcer la francisation comme condition de cohesion et de participation civique.</w:t>
      </w:r>
    </w:p>
    <w:p>
      <w:pPr>
        <w:spacing w:before="120" w:after="40"/>
      </w:pPr>
      <w:r>
        <w:rPr>
          <w:b/>
          <w:color w:val="1F4E79"/>
          <w:sz w:val="21"/>
        </w:rPr>
        <w:t>Article T-63 - Protection des donnees d identite</w:t>
      </w:r>
    </w:p>
    <w:p>
      <w:pPr>
        <w:spacing w:after="80" w:line="259" w:lineRule="auto"/>
      </w:pPr>
      <w:r>
        <w:rPr>
          <w:sz w:val="20"/>
        </w:rPr>
        <w:t>Les donnees d identite doivent etre protegees contre la fuite, la vente, l usage abusif et la surveillance.</w:t>
      </w:r>
    </w:p>
    <w:p>
      <w:pPr>
        <w:spacing w:before="120" w:after="40"/>
      </w:pPr>
      <w:r>
        <w:rPr>
          <w:b/>
          <w:color w:val="1F4E79"/>
          <w:sz w:val="21"/>
        </w:rPr>
        <w:t>Article T-64 - Recours administratifs</w:t>
      </w:r>
    </w:p>
    <w:p>
      <w:pPr>
        <w:spacing w:after="80" w:line="259" w:lineRule="auto"/>
      </w:pPr>
      <w:r>
        <w:rPr>
          <w:sz w:val="20"/>
        </w:rPr>
        <w:t>Tout citoyen affecte par une decision de transition doit disposer d un recours administratif ou judiciaire.</w:t>
      </w:r>
    </w:p>
    <w:p>
      <w:pPr>
        <w:spacing w:before="120" w:after="40"/>
      </w:pPr>
      <w:r>
        <w:rPr>
          <w:b/>
          <w:color w:val="1F4E79"/>
          <w:sz w:val="21"/>
        </w:rPr>
        <w:t>Article T-65 - Communication citoyenne</w:t>
      </w:r>
    </w:p>
    <w:p>
      <w:pPr>
        <w:spacing w:after="80" w:line="259" w:lineRule="auto"/>
      </w:pPr>
      <w:r>
        <w:rPr>
          <w:sz w:val="20"/>
        </w:rPr>
        <w:t>Les citoyens doivent recevoir des communications simples, multicanaux, en francais clair, avec acces humain.</w:t>
      </w:r>
    </w:p>
    <w:p>
      <w:pPr>
        <w:pStyle w:val="Heading1"/>
      </w:pPr>
      <w:r>
        <w:rPr>
          <w:rFonts w:ascii="Arial" w:hAnsi="Arial" w:eastAsia="Arial"/>
          <w:color w:val="1F4E79"/>
        </w:rPr>
        <w:t>PARTIE VII - INSTITUTIONS, NOMINATIONS ET AUTORITES INDEPENDANTES</w:t>
      </w:r>
    </w:p>
    <w:p>
      <w:pPr>
        <w:spacing w:before="120" w:after="40"/>
      </w:pPr>
      <w:r>
        <w:rPr>
          <w:b/>
          <w:color w:val="1F4E79"/>
          <w:sz w:val="21"/>
        </w:rPr>
        <w:t>Article T-66 - Continuite institutionnelle</w:t>
      </w:r>
    </w:p>
    <w:p>
      <w:pPr>
        <w:spacing w:after="80" w:line="259" w:lineRule="auto"/>
      </w:pPr>
      <w:r>
        <w:rPr>
          <w:sz w:val="20"/>
        </w:rPr>
        <w:t>Les institutions doivent continuer a fonctionner pendant la transition, sous reserve des adaptations democratiquement adoptees.</w:t>
      </w:r>
    </w:p>
    <w:p>
      <w:pPr>
        <w:spacing w:before="120" w:after="40"/>
      </w:pPr>
      <w:r>
        <w:rPr>
          <w:b/>
          <w:color w:val="1F4E79"/>
          <w:sz w:val="21"/>
        </w:rPr>
        <w:t>Article T-67 - Nominations transitoires</w:t>
      </w:r>
    </w:p>
    <w:p>
      <w:pPr>
        <w:spacing w:after="80" w:line="259" w:lineRule="auto"/>
      </w:pPr>
      <w:r>
        <w:rPr>
          <w:sz w:val="20"/>
        </w:rPr>
        <w:t>Les nominations transitoires doivent etre limitees, justifiees, publiees et controlees.</w:t>
      </w:r>
    </w:p>
    <w:p>
      <w:pPr>
        <w:spacing w:before="120" w:after="40"/>
      </w:pPr>
      <w:r>
        <w:rPr>
          <w:b/>
          <w:color w:val="1F4E79"/>
          <w:sz w:val="21"/>
        </w:rPr>
        <w:t>Article T-68 - Autorite electorale</w:t>
      </w:r>
    </w:p>
    <w:p>
      <w:pPr>
        <w:spacing w:after="80" w:line="259" w:lineRule="auto"/>
      </w:pPr>
      <w:r>
        <w:rPr>
          <w:sz w:val="20"/>
        </w:rPr>
        <w:t>L autorite electorale doit rester independante de toute cellule de transition et de tout gouvernement.</w:t>
      </w:r>
    </w:p>
    <w:p>
      <w:pPr>
        <w:spacing w:before="120" w:after="40"/>
      </w:pPr>
      <w:r>
        <w:rPr>
          <w:b/>
          <w:color w:val="1F4E79"/>
          <w:sz w:val="21"/>
        </w:rPr>
        <w:t>Article T-69 - Autorite anticorruption</w:t>
      </w:r>
    </w:p>
    <w:p>
      <w:pPr>
        <w:spacing w:after="80" w:line="259" w:lineRule="auto"/>
      </w:pPr>
      <w:r>
        <w:rPr>
          <w:sz w:val="20"/>
        </w:rPr>
        <w:t>La lutte contre la corruption doit etre renforcee pendant la transition, car les periodes de transformation augmentent les risques de capture.</w:t>
      </w:r>
    </w:p>
    <w:p>
      <w:pPr>
        <w:spacing w:before="120" w:after="40"/>
      </w:pPr>
      <w:r>
        <w:rPr>
          <w:b/>
          <w:color w:val="1F4E79"/>
          <w:sz w:val="21"/>
        </w:rPr>
        <w:t>Article T-70 - Controle parlementaire</w:t>
      </w:r>
    </w:p>
    <w:p>
      <w:pPr>
        <w:spacing w:after="80" w:line="259" w:lineRule="auto"/>
      </w:pPr>
      <w:r>
        <w:rPr>
          <w:sz w:val="20"/>
        </w:rPr>
        <w:t>Le Parlement doit recevoir des rapports regulierement et pouvoir questionner les responsables de transition.</w:t>
      </w:r>
    </w:p>
    <w:p>
      <w:pPr>
        <w:spacing w:before="120" w:after="40"/>
      </w:pPr>
      <w:r>
        <w:rPr>
          <w:b/>
          <w:color w:val="1F4E79"/>
          <w:sz w:val="21"/>
        </w:rPr>
        <w:t>Article T-71 - Tribunaux</w:t>
      </w:r>
    </w:p>
    <w:p>
      <w:pPr>
        <w:spacing w:after="80" w:line="259" w:lineRule="auto"/>
      </w:pPr>
      <w:r>
        <w:rPr>
          <w:sz w:val="20"/>
        </w:rPr>
        <w:t>Les tribunaux doivent conserver leur independance et leurs fonctions essentielles.</w:t>
      </w:r>
    </w:p>
    <w:p>
      <w:pPr>
        <w:spacing w:before="120" w:after="40"/>
      </w:pPr>
      <w:r>
        <w:rPr>
          <w:b/>
          <w:color w:val="1F4E79"/>
          <w:sz w:val="21"/>
        </w:rPr>
        <w:t>Article T-72 - Municipalites</w:t>
      </w:r>
    </w:p>
    <w:p>
      <w:pPr>
        <w:spacing w:after="80" w:line="259" w:lineRule="auto"/>
      </w:pPr>
      <w:r>
        <w:rPr>
          <w:sz w:val="20"/>
        </w:rPr>
        <w:t>Les municipalites doivent etre integrees aux plans de transition lorsque leurs competences ou services sont touches.</w:t>
      </w:r>
    </w:p>
    <w:p>
      <w:pPr>
        <w:spacing w:before="120" w:after="40"/>
      </w:pPr>
      <w:r>
        <w:rPr>
          <w:b/>
          <w:color w:val="1F4E79"/>
          <w:sz w:val="21"/>
        </w:rPr>
        <w:t>Article T-73 - Societes d Etat</w:t>
      </w:r>
    </w:p>
    <w:p>
      <w:pPr>
        <w:spacing w:after="80" w:line="259" w:lineRule="auto"/>
      </w:pPr>
      <w:r>
        <w:rPr>
          <w:sz w:val="20"/>
        </w:rPr>
        <w:t>Les societes d Etat strategiques doivent disposer de plans de stabilite, de cybersécurite et de continuite.</w:t>
      </w:r>
    </w:p>
    <w:p>
      <w:pPr>
        <w:spacing w:before="120" w:after="40"/>
      </w:pPr>
      <w:r>
        <w:rPr>
          <w:b/>
          <w:color w:val="1F4E79"/>
          <w:sz w:val="21"/>
        </w:rPr>
        <w:t>Article T-74 - Archives publiques</w:t>
      </w:r>
    </w:p>
    <w:p>
      <w:pPr>
        <w:spacing w:after="80" w:line="259" w:lineRule="auto"/>
      </w:pPr>
      <w:r>
        <w:rPr>
          <w:sz w:val="20"/>
        </w:rPr>
        <w:t>Les archives publiques doivent etre protegees contre la destruction, la manipulation ou l effacement.</w:t>
      </w:r>
    </w:p>
    <w:p>
      <w:pPr>
        <w:spacing w:before="120" w:after="40"/>
      </w:pPr>
      <w:r>
        <w:rPr>
          <w:b/>
          <w:color w:val="1F4E79"/>
          <w:sz w:val="21"/>
        </w:rPr>
        <w:t>Article T-75 - Limites des organes transitoires</w:t>
      </w:r>
    </w:p>
    <w:p>
      <w:pPr>
        <w:spacing w:after="80" w:line="259" w:lineRule="auto"/>
      </w:pPr>
      <w:r>
        <w:rPr>
          <w:sz w:val="20"/>
        </w:rPr>
        <w:t>Aucun organe transitoire ne peut suspendre les droits fondamentaux ou se placer au-dessus de la Constitution.</w:t>
      </w:r>
    </w:p>
    <w:p>
      <w:pPr>
        <w:pStyle w:val="Heading1"/>
      </w:pPr>
      <w:r>
        <w:rPr>
          <w:rFonts w:ascii="Arial" w:hAnsi="Arial" w:eastAsia="Arial"/>
          <w:color w:val="1F4E79"/>
        </w:rPr>
        <w:t>PARTIE VIII - RELATIONS AVEC LE CANADA ET RECONNAISSANCE INTERNATIONALE</w:t>
      </w:r>
    </w:p>
    <w:p>
      <w:pPr>
        <w:spacing w:before="120" w:after="40"/>
      </w:pPr>
      <w:r>
        <w:rPr>
          <w:b/>
          <w:color w:val="1F4E79"/>
          <w:sz w:val="21"/>
        </w:rPr>
        <w:t>Article T-76 - Negociation avec le Canada</w:t>
      </w:r>
    </w:p>
    <w:p>
      <w:pPr>
        <w:spacing w:after="80" w:line="259" w:lineRule="auto"/>
      </w:pPr>
      <w:r>
        <w:rPr>
          <w:sz w:val="20"/>
        </w:rPr>
        <w:t>La transition doit prevoir une strategie de negociation avec le Canada fondee sur la stabilite, les interets du Quebec, la clarte et la protection des citoyens.</w:t>
      </w:r>
    </w:p>
    <w:p>
      <w:pPr>
        <w:spacing w:before="120" w:after="40"/>
      </w:pPr>
      <w:r>
        <w:rPr>
          <w:b/>
          <w:color w:val="1F4E79"/>
          <w:sz w:val="21"/>
        </w:rPr>
        <w:t>Article T-77 - Refus de la guerre economique automatique</w:t>
      </w:r>
    </w:p>
    <w:p>
      <w:pPr>
        <w:spacing w:after="80" w:line="259" w:lineRule="auto"/>
      </w:pPr>
      <w:r>
        <w:rPr>
          <w:sz w:val="20"/>
        </w:rPr>
        <w:t>La transition doit eviter les reflexes de guerre tarifaire automatique qui feraient payer les citoyens.</w:t>
      </w:r>
    </w:p>
    <w:p>
      <w:pPr>
        <w:spacing w:before="120" w:after="40"/>
      </w:pPr>
      <w:r>
        <w:rPr>
          <w:b/>
          <w:color w:val="1F4E79"/>
          <w:sz w:val="21"/>
        </w:rPr>
        <w:t>Article T-78 - Ententes de continuite</w:t>
      </w:r>
    </w:p>
    <w:p>
      <w:pPr>
        <w:spacing w:after="80" w:line="259" w:lineRule="auto"/>
      </w:pPr>
      <w:r>
        <w:rPr>
          <w:sz w:val="20"/>
        </w:rPr>
        <w:t>Des ententes de continuite peuvent viser pensions, fiscalite transitoire, mobilite, commerce, securite, transport, postes frontaliers et donnees.</w:t>
      </w:r>
    </w:p>
    <w:p>
      <w:pPr>
        <w:spacing w:before="120" w:after="40"/>
      </w:pPr>
      <w:r>
        <w:rPr>
          <w:b/>
          <w:color w:val="1F4E79"/>
          <w:sz w:val="21"/>
        </w:rPr>
        <w:t>Article T-79 - Frontieres</w:t>
      </w:r>
    </w:p>
    <w:p>
      <w:pPr>
        <w:spacing w:after="80" w:line="259" w:lineRule="auto"/>
      </w:pPr>
      <w:r>
        <w:rPr>
          <w:sz w:val="20"/>
        </w:rPr>
        <w:t>La gestion des frontieres doit etre preparee progressivement, avec priorite a la securite, au commerce et aux droits des personnes.</w:t>
      </w:r>
    </w:p>
    <w:p>
      <w:pPr>
        <w:spacing w:before="120" w:after="40"/>
      </w:pPr>
      <w:r>
        <w:rPr>
          <w:b/>
          <w:color w:val="1F4E79"/>
          <w:sz w:val="21"/>
        </w:rPr>
        <w:t>Article T-80 - Reconnaissance internationale</w:t>
      </w:r>
    </w:p>
    <w:p>
      <w:pPr>
        <w:spacing w:after="80" w:line="259" w:lineRule="auto"/>
      </w:pPr>
      <w:r>
        <w:rPr>
          <w:sz w:val="20"/>
        </w:rPr>
        <w:t>La reconnaissance internationale doit etre preparee par une diplomatie sobre, credible, documentee et pacifique.</w:t>
      </w:r>
    </w:p>
    <w:p>
      <w:pPr>
        <w:spacing w:before="120" w:after="40"/>
      </w:pPr>
      <w:r>
        <w:rPr>
          <w:b/>
          <w:color w:val="1F4E79"/>
          <w:sz w:val="21"/>
        </w:rPr>
        <w:t>Article T-81 - Francophonie</w:t>
      </w:r>
    </w:p>
    <w:p>
      <w:pPr>
        <w:spacing w:after="80" w:line="259" w:lineRule="auto"/>
      </w:pPr>
      <w:r>
        <w:rPr>
          <w:sz w:val="20"/>
        </w:rPr>
        <w:t>La francophonie doit etre mobilisee comme espace culturel, politique, economique et diplomatique.</w:t>
      </w:r>
    </w:p>
    <w:p>
      <w:pPr>
        <w:spacing w:before="120" w:after="40"/>
      </w:pPr>
      <w:r>
        <w:rPr>
          <w:b/>
          <w:color w:val="1F4E79"/>
          <w:sz w:val="21"/>
        </w:rPr>
        <w:t>Article T-82 - Etats-Unis</w:t>
      </w:r>
    </w:p>
    <w:p>
      <w:pPr>
        <w:spacing w:after="80" w:line="259" w:lineRule="auto"/>
      </w:pPr>
      <w:r>
        <w:rPr>
          <w:sz w:val="20"/>
        </w:rPr>
        <w:t>Les relations avec les Etats-Unis doivent tenir compte de l economie, de l energie, des frontieres, du commerce, de la securite et des chaines d approvisionnement.</w:t>
      </w:r>
    </w:p>
    <w:p>
      <w:pPr>
        <w:spacing w:before="120" w:after="40"/>
      </w:pPr>
      <w:r>
        <w:rPr>
          <w:b/>
          <w:color w:val="1F4E79"/>
          <w:sz w:val="21"/>
        </w:rPr>
        <w:t>Article T-83 - Organisations internationales</w:t>
      </w:r>
    </w:p>
    <w:p>
      <w:pPr>
        <w:spacing w:after="80" w:line="259" w:lineRule="auto"/>
      </w:pPr>
      <w:r>
        <w:rPr>
          <w:sz w:val="20"/>
        </w:rPr>
        <w:t>La transition doit identifier les organisations, traites et conventions a rejoindre, maintenir ou renegocier.</w:t>
      </w:r>
    </w:p>
    <w:p>
      <w:pPr>
        <w:spacing w:before="120" w:after="40"/>
      </w:pPr>
      <w:r>
        <w:rPr>
          <w:b/>
          <w:color w:val="1F4E79"/>
          <w:sz w:val="21"/>
        </w:rPr>
        <w:t>Article T-84 - Quebecois a l etranger</w:t>
      </w:r>
    </w:p>
    <w:p>
      <w:pPr>
        <w:spacing w:after="80" w:line="259" w:lineRule="auto"/>
      </w:pPr>
      <w:r>
        <w:rPr>
          <w:sz w:val="20"/>
        </w:rPr>
        <w:t>Un plan doit proteger les Quebecois a l etranger pendant la transition.</w:t>
      </w:r>
    </w:p>
    <w:p>
      <w:pPr>
        <w:spacing w:before="120" w:after="40"/>
      </w:pPr>
      <w:r>
        <w:rPr>
          <w:b/>
          <w:color w:val="1F4E79"/>
          <w:sz w:val="21"/>
        </w:rPr>
        <w:t>Article T-85 - Communication externe</w:t>
      </w:r>
    </w:p>
    <w:p>
      <w:pPr>
        <w:spacing w:after="80" w:line="259" w:lineRule="auto"/>
      </w:pPr>
      <w:r>
        <w:rPr>
          <w:sz w:val="20"/>
        </w:rPr>
        <w:t>La communication internationale doit etre coherente : democratie, stabilite, paix, continuite et responsabilite.</w:t>
      </w:r>
    </w:p>
    <w:p>
      <w:pPr>
        <w:pStyle w:val="Heading1"/>
      </w:pPr>
      <w:r>
        <w:rPr>
          <w:rFonts w:ascii="Arial" w:hAnsi="Arial" w:eastAsia="Arial"/>
          <w:color w:val="1F4E79"/>
        </w:rPr>
        <w:t>PARTIE IX - NUMERIQUE, DONNEES ET CYBERSECURITE</w:t>
      </w:r>
    </w:p>
    <w:p>
      <w:pPr>
        <w:spacing w:before="120" w:after="40"/>
      </w:pPr>
      <w:r>
        <w:rPr>
          <w:b/>
          <w:color w:val="1F4E79"/>
          <w:sz w:val="21"/>
        </w:rPr>
        <w:t>Article T-86 - Souverainete numerique</w:t>
      </w:r>
    </w:p>
    <w:p>
      <w:pPr>
        <w:spacing w:after="80" w:line="259" w:lineRule="auto"/>
      </w:pPr>
      <w:r>
        <w:rPr>
          <w:sz w:val="20"/>
        </w:rPr>
        <w:t>La transition doit inclure un plan de souverainete numerique pour les donnees, registres, logiciels, infrastructures et fournisseurs critiques.</w:t>
      </w:r>
    </w:p>
    <w:p>
      <w:pPr>
        <w:spacing w:before="120" w:after="40"/>
      </w:pPr>
      <w:r>
        <w:rPr>
          <w:b/>
          <w:color w:val="1F4E79"/>
          <w:sz w:val="21"/>
        </w:rPr>
        <w:t>Article T-87 - Audit des systemes</w:t>
      </w:r>
    </w:p>
    <w:p>
      <w:pPr>
        <w:spacing w:after="80" w:line="259" w:lineRule="auto"/>
      </w:pPr>
      <w:r>
        <w:rPr>
          <w:sz w:val="20"/>
        </w:rPr>
        <w:t>Les systemes publics critiques doivent etre audites avant les phases decisives.</w:t>
      </w:r>
    </w:p>
    <w:p>
      <w:pPr>
        <w:spacing w:before="120" w:after="40"/>
      </w:pPr>
      <w:r>
        <w:rPr>
          <w:b/>
          <w:color w:val="1F4E79"/>
          <w:sz w:val="21"/>
        </w:rPr>
        <w:t>Article T-88 - Sauvegardes</w:t>
      </w:r>
    </w:p>
    <w:p>
      <w:pPr>
        <w:spacing w:after="80" w:line="259" w:lineRule="auto"/>
      </w:pPr>
      <w:r>
        <w:rPr>
          <w:sz w:val="20"/>
        </w:rPr>
        <w:t>Les donnees essentielles doivent etre sauvegardees dans des environnements securises et controles.</w:t>
      </w:r>
    </w:p>
    <w:p>
      <w:pPr>
        <w:spacing w:before="120" w:after="40"/>
      </w:pPr>
      <w:r>
        <w:rPr>
          <w:b/>
          <w:color w:val="1F4E79"/>
          <w:sz w:val="21"/>
        </w:rPr>
        <w:t>Article T-89 - Identite numerique</w:t>
      </w:r>
    </w:p>
    <w:p>
      <w:pPr>
        <w:spacing w:after="80" w:line="259" w:lineRule="auto"/>
      </w:pPr>
      <w:r>
        <w:rPr>
          <w:sz w:val="20"/>
        </w:rPr>
        <w:t>L identite numerique ne doit pas devenir obligatoire de facon generalisee sans garanties, alternatives et acces humain.</w:t>
      </w:r>
    </w:p>
    <w:p>
      <w:pPr>
        <w:spacing w:before="120" w:after="40"/>
      </w:pPr>
      <w:r>
        <w:rPr>
          <w:b/>
          <w:color w:val="1F4E79"/>
          <w:sz w:val="21"/>
        </w:rPr>
        <w:t>Article T-90 - Cybersecurite</w:t>
      </w:r>
    </w:p>
    <w:p>
      <w:pPr>
        <w:spacing w:after="80" w:line="259" w:lineRule="auto"/>
      </w:pPr>
      <w:r>
        <w:rPr>
          <w:sz w:val="20"/>
        </w:rPr>
        <w:t>Un centre de coordination cyber doit proteger les infrastructures critiques, sans devenir un outil de surveillance politique.</w:t>
      </w:r>
    </w:p>
    <w:p>
      <w:pPr>
        <w:spacing w:before="120" w:after="40"/>
      </w:pPr>
      <w:r>
        <w:rPr>
          <w:b/>
          <w:color w:val="1F4E79"/>
          <w:sz w:val="21"/>
        </w:rPr>
        <w:t>Article T-91 - Acces aux donnees</w:t>
      </w:r>
    </w:p>
    <w:p>
      <w:pPr>
        <w:spacing w:after="80" w:line="259" w:lineRule="auto"/>
      </w:pPr>
      <w:r>
        <w:rPr>
          <w:sz w:val="20"/>
        </w:rPr>
        <w:t>Les acces aux donnees sensibles doivent etre journalises, limites et audites.</w:t>
      </w:r>
    </w:p>
    <w:p>
      <w:pPr>
        <w:spacing w:before="120" w:after="40"/>
      </w:pPr>
      <w:r>
        <w:rPr>
          <w:b/>
          <w:color w:val="1F4E79"/>
          <w:sz w:val="21"/>
        </w:rPr>
        <w:t>Article T-92 - Protection contre la surveillance</w:t>
      </w:r>
    </w:p>
    <w:p>
      <w:pPr>
        <w:spacing w:after="80" w:line="259" w:lineRule="auto"/>
      </w:pPr>
      <w:r>
        <w:rPr>
          <w:sz w:val="20"/>
        </w:rPr>
        <w:t>La transition ne peut justifier la surveillance de masse, le score social ou le controle politique des citoyens.</w:t>
      </w:r>
    </w:p>
    <w:p>
      <w:pPr>
        <w:spacing w:before="120" w:after="40"/>
      </w:pPr>
      <w:r>
        <w:rPr>
          <w:b/>
          <w:color w:val="1F4E79"/>
          <w:sz w:val="21"/>
        </w:rPr>
        <w:t>Article T-93 - Continuité numérique</w:t>
      </w:r>
    </w:p>
    <w:p>
      <w:pPr>
        <w:spacing w:after="80" w:line="259" w:lineRule="auto"/>
      </w:pPr>
      <w:r>
        <w:rPr>
          <w:sz w:val="20"/>
        </w:rPr>
        <w:t>Les plateformes administratives essentielles doivent avoir des plans de secours.</w:t>
      </w:r>
    </w:p>
    <w:p>
      <w:pPr>
        <w:spacing w:before="120" w:after="40"/>
      </w:pPr>
      <w:r>
        <w:rPr>
          <w:b/>
          <w:color w:val="1F4E79"/>
          <w:sz w:val="21"/>
        </w:rPr>
        <w:t>Article T-94 - Interopérabilité</w:t>
      </w:r>
    </w:p>
    <w:p>
      <w:pPr>
        <w:spacing w:after="80" w:line="259" w:lineRule="auto"/>
      </w:pPr>
      <w:r>
        <w:rPr>
          <w:sz w:val="20"/>
        </w:rPr>
        <w:t>Les systemes transitoires doivent etre interopérables afin d eviter les dependances proprietaires excessives.</w:t>
      </w:r>
    </w:p>
    <w:p>
      <w:pPr>
        <w:spacing w:before="120" w:after="40"/>
      </w:pPr>
      <w:r>
        <w:rPr>
          <w:b/>
          <w:color w:val="1F4E79"/>
          <w:sz w:val="21"/>
        </w:rPr>
        <w:t>Article T-95 - Transparence algorithmique</w:t>
      </w:r>
    </w:p>
    <w:p>
      <w:pPr>
        <w:spacing w:after="80" w:line="259" w:lineRule="auto"/>
      </w:pPr>
      <w:r>
        <w:rPr>
          <w:sz w:val="20"/>
        </w:rPr>
        <w:t>Toute automatisation affectant les droits doit etre explicable, contestable et soumise a une responsabilite humaine.</w:t>
      </w:r>
    </w:p>
    <w:p>
      <w:pPr>
        <w:pStyle w:val="Heading1"/>
      </w:pPr>
      <w:r>
        <w:rPr>
          <w:rFonts w:ascii="Arial" w:hAnsi="Arial" w:eastAsia="Arial"/>
          <w:color w:val="1F4E79"/>
        </w:rPr>
        <w:t>PARTIE X - RISQUES, CORRECTIFS, ANTI-CONTOURNEMENT ET CLAUSE FINALE</w:t>
      </w:r>
    </w:p>
    <w:p>
      <w:pPr>
        <w:spacing w:before="120" w:after="40"/>
      </w:pPr>
      <w:r>
        <w:rPr>
          <w:b/>
          <w:color w:val="1F4E79"/>
          <w:sz w:val="21"/>
        </w:rPr>
        <w:t>Article T-96 - Registre des risques</w:t>
      </w:r>
    </w:p>
    <w:p>
      <w:pPr>
        <w:spacing w:after="80" w:line="259" w:lineRule="auto"/>
      </w:pPr>
      <w:r>
        <w:rPr>
          <w:sz w:val="20"/>
        </w:rPr>
        <w:t>Un registre public des risques de transition doit etre tenu, avec niveau de gravite, probabilite, responsable et correctifs.</w:t>
      </w:r>
    </w:p>
    <w:p>
      <w:pPr>
        <w:spacing w:before="120" w:after="40"/>
      </w:pPr>
      <w:r>
        <w:rPr>
          <w:b/>
          <w:color w:val="1F4E79"/>
          <w:sz w:val="21"/>
        </w:rPr>
        <w:t>Article T-97 - Risques principaux</w:t>
      </w:r>
    </w:p>
    <w:p>
      <w:pPr>
        <w:spacing w:after="80" w:line="259" w:lineRule="auto"/>
      </w:pPr>
      <w:r>
        <w:rPr>
          <w:sz w:val="20"/>
        </w:rPr>
        <w:t>Les risques principaux comprennent :</w:t>
      </w:r>
    </w:p>
    <w:p>
      <w:pPr>
        <w:pStyle w:val="ListBullet"/>
        <w:spacing w:after="40"/>
      </w:pPr>
      <w:r>
        <w:rPr>
          <w:sz w:val="20"/>
        </w:rPr>
        <w:t>improvisation</w:t>
      </w:r>
    </w:p>
    <w:p>
      <w:pPr>
        <w:pStyle w:val="ListBullet"/>
        <w:spacing w:after="40"/>
      </w:pPr>
      <w:r>
        <w:rPr>
          <w:sz w:val="20"/>
        </w:rPr>
        <w:t>rupture de service</w:t>
      </w:r>
    </w:p>
    <w:p>
      <w:pPr>
        <w:pStyle w:val="ListBullet"/>
        <w:spacing w:after="40"/>
      </w:pPr>
      <w:r>
        <w:rPr>
          <w:sz w:val="20"/>
        </w:rPr>
        <w:t>capture institutionnelle</w:t>
      </w:r>
    </w:p>
    <w:p>
      <w:pPr>
        <w:pStyle w:val="ListBullet"/>
        <w:spacing w:after="40"/>
      </w:pPr>
      <w:r>
        <w:rPr>
          <w:sz w:val="20"/>
        </w:rPr>
        <w:t>depassement de couts</w:t>
      </w:r>
    </w:p>
    <w:p>
      <w:pPr>
        <w:pStyle w:val="ListBullet"/>
        <w:spacing w:after="40"/>
      </w:pPr>
      <w:r>
        <w:rPr>
          <w:sz w:val="20"/>
        </w:rPr>
        <w:t>opacite</w:t>
      </w:r>
    </w:p>
    <w:p>
      <w:pPr>
        <w:pStyle w:val="ListBullet"/>
        <w:spacing w:after="40"/>
      </w:pPr>
      <w:r>
        <w:rPr>
          <w:sz w:val="20"/>
        </w:rPr>
        <w:t>ingérence externe</w:t>
      </w:r>
    </w:p>
    <w:p>
      <w:pPr>
        <w:pStyle w:val="ListBullet"/>
        <w:spacing w:after="40"/>
      </w:pPr>
      <w:r>
        <w:rPr>
          <w:sz w:val="20"/>
        </w:rPr>
        <w:t>sabotage administratif</w:t>
      </w:r>
    </w:p>
    <w:p>
      <w:pPr>
        <w:pStyle w:val="ListBullet"/>
        <w:spacing w:after="40"/>
      </w:pPr>
      <w:r>
        <w:rPr>
          <w:sz w:val="20"/>
        </w:rPr>
        <w:t>cyberattaque</w:t>
      </w:r>
    </w:p>
    <w:p>
      <w:pPr>
        <w:pStyle w:val="ListBullet"/>
        <w:spacing w:after="40"/>
      </w:pPr>
      <w:r>
        <w:rPr>
          <w:sz w:val="20"/>
        </w:rPr>
        <w:t>confusion citoyenne</w:t>
      </w:r>
    </w:p>
    <w:p>
      <w:pPr>
        <w:pStyle w:val="ListBullet"/>
        <w:spacing w:after="40"/>
      </w:pPr>
      <w:r>
        <w:rPr>
          <w:sz w:val="20"/>
        </w:rPr>
        <w:t>contournement du vote</w:t>
      </w:r>
    </w:p>
    <w:p>
      <w:pPr>
        <w:spacing w:before="120" w:after="40"/>
      </w:pPr>
      <w:r>
        <w:rPr>
          <w:b/>
          <w:color w:val="1F4E79"/>
          <w:sz w:val="21"/>
        </w:rPr>
        <w:t>Article T-98 - Correctifs obligatoires</w:t>
      </w:r>
    </w:p>
    <w:p>
      <w:pPr>
        <w:spacing w:after="80" w:line="259" w:lineRule="auto"/>
      </w:pPr>
      <w:r>
        <w:rPr>
          <w:sz w:val="20"/>
        </w:rPr>
        <w:t>Tout risque majeur doit avoir un correctif documente et un responsable identifiable.</w:t>
      </w:r>
    </w:p>
    <w:p>
      <w:pPr>
        <w:spacing w:before="120" w:after="40"/>
      </w:pPr>
      <w:r>
        <w:rPr>
          <w:b/>
          <w:color w:val="1F4E79"/>
          <w:sz w:val="21"/>
        </w:rPr>
        <w:t>Article T-99 - Protection contre le contournement</w:t>
      </w:r>
    </w:p>
    <w:p>
      <w:pPr>
        <w:spacing w:after="80" w:line="259" w:lineRule="auto"/>
      </w:pPr>
      <w:r>
        <w:rPr>
          <w:sz w:val="20"/>
        </w:rPr>
        <w:t>Aucune directive, procedure, decret, contrat ou urgence administrative ne peut contourner la Constitution, le vote, les droits fondamentaux ou les normes fondamentales.</w:t>
      </w:r>
    </w:p>
    <w:p>
      <w:pPr>
        <w:spacing w:before="120" w:after="40"/>
      </w:pPr>
      <w:r>
        <w:rPr>
          <w:b/>
          <w:color w:val="1F4E79"/>
          <w:sz w:val="21"/>
        </w:rPr>
        <w:t>Article T-100 - Urgence transitoire</w:t>
      </w:r>
    </w:p>
    <w:p>
      <w:pPr>
        <w:spacing w:after="80" w:line="259" w:lineRule="auto"/>
      </w:pPr>
      <w:r>
        <w:rPr>
          <w:sz w:val="20"/>
        </w:rPr>
        <w:t>L urgence transitoire ne peut etre invoquee que de maniere limitee, justifiee, temporaire, proportionnee et controlable.</w:t>
      </w:r>
    </w:p>
    <w:p>
      <w:pPr>
        <w:spacing w:before="120" w:after="40"/>
      </w:pPr>
      <w:r>
        <w:rPr>
          <w:b/>
          <w:color w:val="1F4E79"/>
          <w:sz w:val="21"/>
        </w:rPr>
        <w:t>Article T-101 - Interdiction du fait accompli</w:t>
      </w:r>
    </w:p>
    <w:p>
      <w:pPr>
        <w:spacing w:after="80" w:line="259" w:lineRule="auto"/>
      </w:pPr>
      <w:r>
        <w:rPr>
          <w:sz w:val="20"/>
        </w:rPr>
        <w:t>Le gouvernement ne peut creer volontairement un fait accompli pour forcer l acceptation populaire d une etape non approuvee.</w:t>
      </w:r>
    </w:p>
    <w:p>
      <w:pPr>
        <w:spacing w:before="120" w:after="40"/>
      </w:pPr>
      <w:r>
        <w:rPr>
          <w:b/>
          <w:color w:val="1F4E79"/>
          <w:sz w:val="21"/>
        </w:rPr>
        <w:t>Article T-102 - Audit post-transition</w:t>
      </w:r>
    </w:p>
    <w:p>
      <w:pPr>
        <w:spacing w:after="80" w:line="259" w:lineRule="auto"/>
      </w:pPr>
      <w:r>
        <w:rPr>
          <w:sz w:val="20"/>
        </w:rPr>
        <w:t>Un audit post-transition doit evaluer les couts, erreurs, resultats et responsabilites.</w:t>
      </w:r>
    </w:p>
    <w:p>
      <w:pPr>
        <w:spacing w:before="120" w:after="40"/>
      </w:pPr>
      <w:r>
        <w:rPr>
          <w:b/>
          <w:color w:val="1F4E79"/>
          <w:sz w:val="21"/>
        </w:rPr>
        <w:t>Article T-103 - Protection des lanceurs d alerte</w:t>
      </w:r>
    </w:p>
    <w:p>
      <w:pPr>
        <w:spacing w:after="80" w:line="259" w:lineRule="auto"/>
      </w:pPr>
      <w:r>
        <w:rPr>
          <w:sz w:val="20"/>
        </w:rPr>
        <w:t>Les lanceurs d alerte doivent etre proteges contre les represailles lorsqu ils signalent abus, sabotage, fraude ou contournement.</w:t>
      </w:r>
    </w:p>
    <w:p>
      <w:pPr>
        <w:spacing w:before="120" w:after="40"/>
      </w:pPr>
      <w:r>
        <w:rPr>
          <w:b/>
          <w:color w:val="1F4E79"/>
          <w:sz w:val="21"/>
        </w:rPr>
        <w:t>Article T-104 - Responsabilite personnelle</w:t>
      </w:r>
    </w:p>
    <w:p>
      <w:pPr>
        <w:spacing w:after="80" w:line="259" w:lineRule="auto"/>
      </w:pPr>
      <w:r>
        <w:rPr>
          <w:sz w:val="20"/>
        </w:rPr>
        <w:t>Les responsables de fautes graves, fraudes ou abus de transition peuvent etre tenus personnellement responsables selon la loi.</w:t>
      </w:r>
    </w:p>
    <w:p>
      <w:pPr>
        <w:spacing w:before="120" w:after="40"/>
      </w:pPr>
      <w:r>
        <w:rPr>
          <w:b/>
          <w:color w:val="1F4E79"/>
          <w:sz w:val="21"/>
        </w:rPr>
        <w:t>Article T-105 - Publication finale</w:t>
      </w:r>
    </w:p>
    <w:p>
      <w:pPr>
        <w:spacing w:after="80" w:line="259" w:lineRule="auto"/>
      </w:pPr>
      <w:r>
        <w:rPr>
          <w:sz w:val="20"/>
        </w:rPr>
        <w:t>Une publication finale doit documenter la transition, les decisions, les resultats, les corrections et les lecons apprises.</w:t>
      </w:r>
    </w:p>
    <w:p>
      <w:pPr>
        <w:spacing w:before="120" w:after="40"/>
      </w:pPr>
      <w:r>
        <w:rPr>
          <w:b/>
          <w:color w:val="1F4E79"/>
          <w:sz w:val="21"/>
        </w:rPr>
        <w:t>Article T-106 - Memoire institutionnelle</w:t>
      </w:r>
    </w:p>
    <w:p>
      <w:pPr>
        <w:spacing w:after="80" w:line="259" w:lineRule="auto"/>
      </w:pPr>
      <w:r>
        <w:rPr>
          <w:sz w:val="20"/>
        </w:rPr>
        <w:t>Les documents de transition doivent etre archives pour proteger la memoire institutionnelle.</w:t>
      </w:r>
    </w:p>
    <w:p>
      <w:pPr>
        <w:spacing w:before="120" w:after="40"/>
      </w:pPr>
      <w:r>
        <w:rPr>
          <w:b/>
          <w:color w:val="1F4E79"/>
          <w:sz w:val="21"/>
        </w:rPr>
        <w:t>Article T-107 - Revision de l outil</w:t>
      </w:r>
    </w:p>
    <w:p>
      <w:pPr>
        <w:spacing w:after="80" w:line="259" w:lineRule="auto"/>
      </w:pPr>
      <w:r>
        <w:rPr>
          <w:sz w:val="20"/>
        </w:rPr>
        <w:t>Le present outil peut etre revise selon les faits, mais aucune revision ne peut reduire les garanties democratiques sans justification publique et procedure appropriee.</w:t>
      </w:r>
    </w:p>
    <w:p>
      <w:pPr>
        <w:spacing w:before="120" w:after="40"/>
      </w:pPr>
      <w:r>
        <w:rPr>
          <w:b/>
          <w:color w:val="1F4E79"/>
          <w:sz w:val="21"/>
        </w:rPr>
        <w:t>Article T-108 - Clause de coherence</w:t>
      </w:r>
    </w:p>
    <w:p>
      <w:pPr>
        <w:spacing w:after="80" w:line="259" w:lineRule="auto"/>
      </w:pPr>
      <w:r>
        <w:rPr>
          <w:sz w:val="20"/>
        </w:rPr>
        <w:t>Tout document sectoriel de transition doit etre coherent avec le present outil.</w:t>
      </w:r>
    </w:p>
    <w:p>
      <w:pPr>
        <w:spacing w:before="120" w:after="40"/>
      </w:pPr>
      <w:r>
        <w:rPr>
          <w:b/>
          <w:color w:val="1F4E79"/>
          <w:sz w:val="21"/>
        </w:rPr>
        <w:t>Article T-109 - Clause de protection du peuple</w:t>
      </w:r>
    </w:p>
    <w:p>
      <w:pPr>
        <w:spacing w:after="80" w:line="259" w:lineRule="auto"/>
      </w:pPr>
      <w:r>
        <w:rPr>
          <w:sz w:val="20"/>
        </w:rPr>
        <w:t>En cas de doute, l interpretation doit favoriser la protection du peuple, la continuite des services, le vote libre, la transparence et la limitation du pouvoir.</w:t>
      </w:r>
    </w:p>
    <w:p>
      <w:pPr>
        <w:spacing w:before="120" w:after="40"/>
      </w:pPr>
      <w:r>
        <w:rPr>
          <w:b/>
          <w:color w:val="1F4E79"/>
          <w:sz w:val="21"/>
        </w:rPr>
        <w:t>Article T-110 - Clause finale</w:t>
      </w:r>
    </w:p>
    <w:p>
      <w:pPr>
        <w:spacing w:after="80" w:line="259" w:lineRule="auto"/>
      </w:pPr>
      <w:r>
        <w:rPr>
          <w:sz w:val="20"/>
        </w:rPr>
        <w:t>Le present Outil de transition constitutionnelle et de mise en oeuvre constitue le cadre officiel de travail du Projet Nova pour transformer une volonte politique en transition ordonnee, democratique, transparente et protectrice des citoyens.</w:t>
      </w:r>
    </w:p>
    <w:p>
      <w:r>
        <w:br w:type="page"/>
      </w:r>
    </w:p>
    <w:p>
      <w:pPr>
        <w:pStyle w:val="Heading1"/>
      </w:pPr>
      <w:r>
        <w:rPr>
          <w:rFonts w:ascii="Arial" w:hAnsi="Arial" w:eastAsia="Arial"/>
          <w:color w:val="1F4E79"/>
        </w:rPr>
        <w:t>TABLE DE CONCORDANCE TRANSITIONNELLE</w:t>
      </w:r>
    </w:p>
    <w:tbl>
      <w:tblPr>
        <w:tblStyle w:val="TableGrid"/>
        <w:tblW w:type="auto" w:w="0"/>
        <w:jc w:val="center"/>
        <w:tblLook w:firstColumn="1" w:firstRow="1" w:lastColumn="0" w:lastRow="0" w:noHBand="0" w:noVBand="1" w:val="04A0"/>
      </w:tblPr>
      <w:tblGrid>
        <w:gridCol w:w="4896"/>
        <w:gridCol w:w="4896"/>
      </w:tblGrid>
      <w:tr>
        <w:tc>
          <w:tcPr>
            <w:tcW w:type="dxa" w:w="4896"/>
            <w:shd w:fill="1F4E79"/>
          </w:tcPr>
          <w:p>
            <w:r>
              <w:rPr>
                <w:color w:val="FFFFFF"/>
              </w:rPr>
            </w:r>
            <w:r>
              <w:rPr>
                <w:b/>
                <w:color w:val="FFFFFF"/>
                <w:sz w:val="18"/>
              </w:rPr>
              <w:t>Document</w:t>
            </w:r>
          </w:p>
        </w:tc>
        <w:tc>
          <w:tcPr>
            <w:tcW w:type="dxa" w:w="4896"/>
            <w:shd w:fill="1F4E79"/>
          </w:tcPr>
          <w:p>
            <w:r>
              <w:rPr>
                <w:color w:val="FFFFFF"/>
              </w:rPr>
            </w:r>
            <w:r>
              <w:rPr>
                <w:b/>
                <w:color w:val="FFFFFF"/>
                <w:sz w:val="18"/>
              </w:rPr>
              <w:t>Fonction dans la transition</w:t>
            </w:r>
          </w:p>
        </w:tc>
      </w:tr>
      <w:tr>
        <w:tc>
          <w:tcPr>
            <w:tcW w:type="dxa" w:w="4896"/>
          </w:tcPr>
          <w:p>
            <w:r/>
            <w:r>
              <w:rPr>
                <w:b/>
                <w:sz w:val="18"/>
              </w:rPr>
              <w:t>Constitution</w:t>
            </w:r>
          </w:p>
        </w:tc>
        <w:tc>
          <w:tcPr>
            <w:tcW w:type="dxa" w:w="4896"/>
          </w:tcPr>
          <w:p>
            <w:r/>
            <w:r>
              <w:rPr>
                <w:b w:val="0"/>
                <w:sz w:val="18"/>
              </w:rPr>
              <w:t>Cadre superieur, droits, institutions, limites du pouvoir</w:t>
            </w:r>
          </w:p>
        </w:tc>
      </w:tr>
      <w:tr>
        <w:tc>
          <w:tcPr>
            <w:tcW w:type="dxa" w:w="4896"/>
          </w:tcPr>
          <w:p>
            <w:r/>
            <w:r>
              <w:rPr>
                <w:b/>
                <w:sz w:val="18"/>
              </w:rPr>
              <w:t>Normes fondamentales</w:t>
            </w:r>
          </w:p>
        </w:tc>
        <w:tc>
          <w:tcPr>
            <w:tcW w:type="dxa" w:w="4896"/>
          </w:tcPr>
          <w:p>
            <w:r/>
            <w:r>
              <w:rPr>
                <w:b w:val="0"/>
                <w:sz w:val="18"/>
              </w:rPr>
              <w:t>Principes permanents et anti-contournement</w:t>
            </w:r>
          </w:p>
        </w:tc>
      </w:tr>
      <w:tr>
        <w:tc>
          <w:tcPr>
            <w:tcW w:type="dxa" w:w="4896"/>
          </w:tcPr>
          <w:p>
            <w:r/>
            <w:r>
              <w:rPr>
                <w:b/>
                <w:sz w:val="18"/>
              </w:rPr>
              <w:t>Lois organiques</w:t>
            </w:r>
          </w:p>
        </w:tc>
        <w:tc>
          <w:tcPr>
            <w:tcW w:type="dxa" w:w="4896"/>
          </w:tcPr>
          <w:p>
            <w:r/>
            <w:r>
              <w:rPr>
                <w:b w:val="0"/>
                <w:sz w:val="18"/>
              </w:rPr>
              <w:t>Architecture institutionnelle et autorites independantes</w:t>
            </w:r>
          </w:p>
        </w:tc>
      </w:tr>
      <w:tr>
        <w:tc>
          <w:tcPr>
            <w:tcW w:type="dxa" w:w="4896"/>
          </w:tcPr>
          <w:p>
            <w:r/>
            <w:r>
              <w:rPr>
                <w:b/>
                <w:sz w:val="18"/>
              </w:rPr>
              <w:t>Lois administratives</w:t>
            </w:r>
          </w:p>
        </w:tc>
        <w:tc>
          <w:tcPr>
            <w:tcW w:type="dxa" w:w="4896"/>
          </w:tcPr>
          <w:p>
            <w:r/>
            <w:r>
              <w:rPr>
                <w:b w:val="0"/>
                <w:sz w:val="18"/>
              </w:rPr>
              <w:t>Fonctionnement des ministeres, organismes et contrats</w:t>
            </w:r>
          </w:p>
        </w:tc>
      </w:tr>
      <w:tr>
        <w:tc>
          <w:tcPr>
            <w:tcW w:type="dxa" w:w="4896"/>
          </w:tcPr>
          <w:p>
            <w:r/>
            <w:r>
              <w:rPr>
                <w:b/>
                <w:sz w:val="18"/>
              </w:rPr>
              <w:t>Lois ordinaires</w:t>
            </w:r>
          </w:p>
        </w:tc>
        <w:tc>
          <w:tcPr>
            <w:tcW w:type="dxa" w:w="4896"/>
          </w:tcPr>
          <w:p>
            <w:r/>
            <w:r>
              <w:rPr>
                <w:b w:val="0"/>
                <w:sz w:val="18"/>
              </w:rPr>
              <w:t>Application sectorielle dans les politiques publiques</w:t>
            </w:r>
          </w:p>
        </w:tc>
      </w:tr>
      <w:tr>
        <w:tc>
          <w:tcPr>
            <w:tcW w:type="dxa" w:w="4896"/>
          </w:tcPr>
          <w:p>
            <w:r/>
            <w:r>
              <w:rPr>
                <w:b/>
                <w:sz w:val="18"/>
              </w:rPr>
              <w:t>Reglements</w:t>
            </w:r>
          </w:p>
        </w:tc>
        <w:tc>
          <w:tcPr>
            <w:tcW w:type="dxa" w:w="4896"/>
          </w:tcPr>
          <w:p>
            <w:r/>
            <w:r>
              <w:rPr>
                <w:b w:val="0"/>
                <w:sz w:val="18"/>
              </w:rPr>
              <w:t>Procedures, formulaires, directives et execution quotidienne</w:t>
            </w:r>
          </w:p>
        </w:tc>
      </w:tr>
      <w:tr>
        <w:tc>
          <w:tcPr>
            <w:tcW w:type="dxa" w:w="4896"/>
          </w:tcPr>
          <w:p>
            <w:r/>
            <w:r>
              <w:rPr>
                <w:b/>
                <w:sz w:val="18"/>
              </w:rPr>
              <w:t>Present outil</w:t>
            </w:r>
          </w:p>
        </w:tc>
        <w:tc>
          <w:tcPr>
            <w:tcW w:type="dxa" w:w="4896"/>
          </w:tcPr>
          <w:p>
            <w:r/>
            <w:r>
              <w:rPr>
                <w:b w:val="0"/>
                <w:sz w:val="18"/>
              </w:rPr>
              <w:t>Sequence, mandats, phases, risques et mise en oeuvre</w:t>
            </w:r>
          </w:p>
        </w:tc>
      </w:tr>
    </w:tbl>
    <w:p>
      <w:pPr>
        <w:pStyle w:val="Heading1"/>
      </w:pPr>
      <w:r>
        <w:rPr>
          <w:rFonts w:ascii="Arial" w:hAnsi="Arial" w:eastAsia="Arial"/>
          <w:color w:val="1F4E79"/>
        </w:rPr>
        <w:t>CLAUSE FINALE DE TRANSMISSION</w:t>
      </w:r>
    </w:p>
    <w:p>
      <w:pPr>
        <w:spacing w:after="80" w:line="259" w:lineRule="auto"/>
      </w:pPr>
      <w:r>
        <w:rPr>
          <w:sz w:val="20"/>
        </w:rPr>
        <w:t>Le present document doit etre transmis avec les autres documents officiels du Systeme Nova. Il doit servir de guide de mise en oeuvre, de protection democratique et de controle public pour toute phase de transition constitutionnelle ou institutionnelle.</w:t>
      </w:r>
    </w:p>
    <w:p>
      <w:pPr>
        <w:spacing w:after="80" w:line="259" w:lineRule="auto"/>
      </w:pPr>
      <w:r>
        <w:rPr>
          <w:sz w:val="20"/>
        </w:rPr>
        <w:t>Aucune transition ne doit etre conduite contre le peuple, sans le peuple ou au-dessus du peuple. La transition Nova doit etre une reprise de controle democratique, non une concentration de pouvoir.</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Projet Nova - Document officiel - Système Nova - Transition constitutionnelle et mise en oeuvre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