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9786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051560" cy="978649"/>
                    </a:xfrm>
                    <a:prstGeom prst="rect"/>
                  </pic:spPr>
                </pic:pic>
              </a:graphicData>
            </a:graphic>
          </wp:inline>
        </w:drawing>
      </w:r>
    </w:p>
    <w:p>
      <w:pPr>
        <w:pStyle w:val="SubtitleNova"/>
        <w:jc w:val="center"/>
      </w:pPr>
      <w:r>
        <w:t>DOCUMENT OFFICIEL</w:t>
      </w:r>
    </w:p>
    <w:p>
      <w:pPr>
        <w:pStyle w:val="TitleNova"/>
        <w:jc w:val="center"/>
      </w:pPr>
      <w:r>
        <w:t>SYSTÈME NOVA</w:t>
      </w:r>
    </w:p>
    <w:p>
      <w:pPr>
        <w:pStyle w:val="TitleNova"/>
        <w:jc w:val="center"/>
      </w:pPr>
      <w:r>
        <w:t>REGISTRE COMPLET DES RISQUES RÉSIDUELS</w:t>
      </w:r>
    </w:p>
    <w:p>
      <w:pPr>
        <w:pStyle w:val="TitleNova"/>
        <w:jc w:val="center"/>
      </w:pPr>
      <w:r>
        <w:t>&amp; CORRECTIFS OBLIGATOIRES</w:t>
      </w:r>
    </w:p>
    <w:p>
      <w:pPr>
        <w:pStyle w:val="SubtitleNova"/>
        <w:jc w:val="center"/>
      </w:pPr>
      <w:r>
        <w:t>Version révisée et consolidée - Projet Nova</w:t>
      </w:r>
    </w:p>
    <w:p>
      <w:pPr>
        <w:jc w:val="center"/>
      </w:pPr>
      <w:r>
        <w:t>Document de défense, de surveillance, de correction et de prévention des failles du corpus Nova.</w:t>
      </w:r>
    </w:p>
    <w:p>
      <w:pPr>
        <w:jc w:val="center"/>
      </w:pPr>
      <w:r>
        <w:t>Constitution, normes fondamentales, lois organiques, lois administratives, lois ordinaires, règlements, transition et documents citoyens.</w:t>
      </w:r>
    </w:p>
    <w:p>
      <w:pPr>
        <w:jc w:val="center"/>
      </w:pPr>
      <w:r>
        <w:t>Statut : document officiel de travail pour consolidation du Système Nova complet.</w:t>
      </w:r>
    </w:p>
    <w:p>
      <w:pPr>
        <w:pBdr>
          <w:bottom w:val="single" w:sz="8" w:space="1" w:color="C8A24A"/>
        </w:pBdr>
      </w:pPr>
    </w:p>
    <w:p>
      <w:pPr>
        <w:pStyle w:val="SmallNova"/>
        <w:jc w:val="center"/>
      </w:pPr>
      <w:r>
        <w:t>Ce registre ne remplace pas la Constitution ni les lois : il sert à identifier les risques qui subsistent malgré les garanties prévues, puis à fixer les correctifs, responsables et mécanismes de suivi.</w:t>
      </w:r>
    </w:p>
    <w:p>
      <w:r>
        <w:br w:type="page"/>
      </w:r>
    </w:p>
    <w:p>
      <w:pPr>
        <w:pStyle w:val="Heading1"/>
      </w:pPr>
      <w:r>
        <w:t>AVIS DE CONSOLIDATION</w:t>
      </w:r>
    </w:p>
    <w:p>
      <w:r>
        <w:t>Le présent document constitue le registre complet des risques résiduels et des correctifs obligatoires du Système Nova. Il recense les risques qui peuvent demeurer après l’adoption des textes constitutionnels, organiques, administratifs, ordinaires, réglementaires et transitionnels.</w:t>
      </w:r>
    </w:p>
    <w:p>
      <w:r>
        <w:t>Un risque résiduel n’est pas une faiblesse acceptée passivement. Il est une faille possible reconnue, nommée, classée, surveillée et corrigée par des mécanismes explicites.</w:t>
      </w:r>
    </w:p>
    <w:p>
      <w:r>
        <w:t>Ce registre doit être utilisé avec la Table de concordance normative, l’Audit de défense constitutionnelle, les normes fondamentales, les lois et les règlements du Système Nova.</w:t>
      </w:r>
    </w:p>
    <w:p>
      <w:r>
        <w:t>Toute autorité publique, instance interne Nova ou mécanisme de transition qui constate un risque non prévu doit l’inscrire au registre, proposer un correctif et transmettre le dossier à l’instance compétente.</w:t>
      </w:r>
    </w:p>
    <w:p>
      <w:pPr>
        <w:pStyle w:val="Heading1"/>
      </w:pPr>
      <w:r>
        <w:t>TABLE DE REPÉRAGE GÉNÉRALE</w:t>
      </w:r>
    </w:p>
    <w:p>
      <w:pPr>
        <w:pStyle w:val="Heading1"/>
      </w:pPr>
      <w:r>
        <w:t>Table de repérage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F1F1F"/>
          </w:tcPr>
          <w:p>
            <w:pPr>
              <w:spacing w:after="0" w:line="240" w:lineRule="auto"/>
            </w:pPr>
            <w:r/>
            <w:r>
              <w:rPr>
                <w:rFonts w:ascii="Arial" w:hAnsi="Arial" w:eastAsia="Arial"/>
                <w:b/>
                <w:color w:val="FFFFFF"/>
                <w:sz w:val="15"/>
              </w:rPr>
              <w:t>Partie</w:t>
            </w:r>
          </w:p>
        </w:tc>
        <w:tc>
          <w:tcPr>
            <w:tcW w:type="dxa" w:w="3427"/>
            <w:shd w:fill="1F1F1F"/>
          </w:tcPr>
          <w:p>
            <w:pPr>
              <w:spacing w:after="0" w:line="240" w:lineRule="auto"/>
            </w:pPr>
            <w:r/>
            <w:r>
              <w:rPr>
                <w:rFonts w:ascii="Arial" w:hAnsi="Arial" w:eastAsia="Arial"/>
                <w:b/>
                <w:color w:val="FFFFFF"/>
                <w:sz w:val="15"/>
              </w:rPr>
              <w:t>Thème</w:t>
            </w:r>
          </w:p>
        </w:tc>
        <w:tc>
          <w:tcPr>
            <w:tcW w:type="dxa" w:w="3427"/>
            <w:shd w:fill="1F1F1F"/>
          </w:tcPr>
          <w:p>
            <w:pPr>
              <w:spacing w:after="0" w:line="240" w:lineRule="auto"/>
            </w:pPr>
            <w:r/>
            <w:r>
              <w:rPr>
                <w:rFonts w:ascii="Arial" w:hAnsi="Arial" w:eastAsia="Arial"/>
                <w:b/>
                <w:color w:val="FFFFFF"/>
                <w:sz w:val="15"/>
              </w:rPr>
              <w:t>Fonction</w:t>
            </w:r>
          </w:p>
        </w:tc>
      </w:tr>
      <w:tr>
        <w:tc>
          <w:tcPr>
            <w:tcW w:type="dxa" w:w="3427"/>
            <w:vAlign w:val="top"/>
          </w:tcPr>
          <w:p>
            <w:pPr>
              <w:spacing w:after="0" w:line="240" w:lineRule="auto"/>
            </w:pPr>
            <w:r/>
            <w:r>
              <w:rPr>
                <w:rFonts w:ascii="Arial" w:hAnsi="Arial" w:eastAsia="Arial"/>
                <w:b w:val="0"/>
                <w:sz w:val="14"/>
              </w:rPr>
              <w:t>1</w:t>
            </w:r>
          </w:p>
        </w:tc>
        <w:tc>
          <w:tcPr>
            <w:tcW w:type="dxa" w:w="3427"/>
            <w:vAlign w:val="top"/>
          </w:tcPr>
          <w:p>
            <w:pPr>
              <w:spacing w:after="0" w:line="240" w:lineRule="auto"/>
            </w:pPr>
            <w:r/>
            <w:r>
              <w:rPr>
                <w:rFonts w:ascii="Arial" w:hAnsi="Arial" w:eastAsia="Arial"/>
                <w:b w:val="0"/>
                <w:sz w:val="14"/>
              </w:rPr>
              <w:t>Cadre du registre</w:t>
            </w:r>
          </w:p>
        </w:tc>
        <w:tc>
          <w:tcPr>
            <w:tcW w:type="dxa" w:w="3427"/>
            <w:vAlign w:val="top"/>
          </w:tcPr>
          <w:p>
            <w:pPr>
              <w:spacing w:after="0" w:line="240" w:lineRule="auto"/>
            </w:pPr>
            <w:r/>
            <w:r>
              <w:rPr>
                <w:rFonts w:ascii="Arial" w:hAnsi="Arial" w:eastAsia="Arial"/>
                <w:b w:val="0"/>
                <w:sz w:val="14"/>
              </w:rPr>
              <w:t>Objet, portée, méthode et obligation de mise à jour</w:t>
            </w:r>
          </w:p>
        </w:tc>
      </w:tr>
      <w:tr>
        <w:tc>
          <w:tcPr>
            <w:tcW w:type="dxa" w:w="3427"/>
            <w:vAlign w:val="top"/>
            <w:shd w:fill="FBF8EF"/>
          </w:tcPr>
          <w:p>
            <w:pPr>
              <w:spacing w:after="0" w:line="240" w:lineRule="auto"/>
            </w:pPr>
            <w:r/>
            <w:r>
              <w:rPr>
                <w:rFonts w:ascii="Arial" w:hAnsi="Arial" w:eastAsia="Arial"/>
                <w:b w:val="0"/>
                <w:sz w:val="14"/>
              </w:rPr>
              <w:t>2</w:t>
            </w:r>
          </w:p>
        </w:tc>
        <w:tc>
          <w:tcPr>
            <w:tcW w:type="dxa" w:w="3427"/>
            <w:vAlign w:val="top"/>
            <w:shd w:fill="FBF8EF"/>
          </w:tcPr>
          <w:p>
            <w:pPr>
              <w:spacing w:after="0" w:line="240" w:lineRule="auto"/>
            </w:pPr>
            <w:r/>
            <w:r>
              <w:rPr>
                <w:rFonts w:ascii="Arial" w:hAnsi="Arial" w:eastAsia="Arial"/>
                <w:b w:val="0"/>
                <w:sz w:val="14"/>
              </w:rPr>
              <w:t>Niveaux de risque</w:t>
            </w:r>
          </w:p>
        </w:tc>
        <w:tc>
          <w:tcPr>
            <w:tcW w:type="dxa" w:w="3427"/>
            <w:vAlign w:val="top"/>
            <w:shd w:fill="FBF8EF"/>
          </w:tcPr>
          <w:p>
            <w:pPr>
              <w:spacing w:after="0" w:line="240" w:lineRule="auto"/>
            </w:pPr>
            <w:r/>
            <w:r>
              <w:rPr>
                <w:rFonts w:ascii="Arial" w:hAnsi="Arial" w:eastAsia="Arial"/>
                <w:b w:val="0"/>
                <w:sz w:val="14"/>
              </w:rPr>
              <w:t>Gravité, probabilité, urgence et statut résiduel</w:t>
            </w:r>
          </w:p>
        </w:tc>
      </w:tr>
      <w:tr>
        <w:tc>
          <w:tcPr>
            <w:tcW w:type="dxa" w:w="3427"/>
            <w:vAlign w:val="top"/>
          </w:tcPr>
          <w:p>
            <w:pPr>
              <w:spacing w:after="0" w:line="240" w:lineRule="auto"/>
            </w:pPr>
            <w:r/>
            <w:r>
              <w:rPr>
                <w:rFonts w:ascii="Arial" w:hAnsi="Arial" w:eastAsia="Arial"/>
                <w:b w:val="0"/>
                <w:sz w:val="14"/>
              </w:rPr>
              <w:t>3</w:t>
            </w:r>
          </w:p>
        </w:tc>
        <w:tc>
          <w:tcPr>
            <w:tcW w:type="dxa" w:w="3427"/>
            <w:vAlign w:val="top"/>
          </w:tcPr>
          <w:p>
            <w:pPr>
              <w:spacing w:after="0" w:line="240" w:lineRule="auto"/>
            </w:pPr>
            <w:r/>
            <w:r>
              <w:rPr>
                <w:rFonts w:ascii="Arial" w:hAnsi="Arial" w:eastAsia="Arial"/>
                <w:b w:val="0"/>
                <w:sz w:val="14"/>
              </w:rPr>
              <w:t>Risques démocratiques</w:t>
            </w:r>
          </w:p>
        </w:tc>
        <w:tc>
          <w:tcPr>
            <w:tcW w:type="dxa" w:w="3427"/>
            <w:vAlign w:val="top"/>
          </w:tcPr>
          <w:p>
            <w:pPr>
              <w:spacing w:after="0" w:line="240" w:lineRule="auto"/>
            </w:pPr>
            <w:r/>
            <w:r>
              <w:rPr>
                <w:rFonts w:ascii="Arial" w:hAnsi="Arial" w:eastAsia="Arial"/>
                <w:b w:val="0"/>
                <w:sz w:val="14"/>
              </w:rPr>
              <w:t>Vote, référendums, autorité électorale, acceptation sociale</w:t>
            </w:r>
          </w:p>
        </w:tc>
      </w:tr>
      <w:tr>
        <w:tc>
          <w:tcPr>
            <w:tcW w:type="dxa" w:w="3427"/>
            <w:vAlign w:val="top"/>
            <w:shd w:fill="FBF8EF"/>
          </w:tcPr>
          <w:p>
            <w:pPr>
              <w:spacing w:after="0" w:line="240" w:lineRule="auto"/>
            </w:pPr>
            <w:r/>
            <w:r>
              <w:rPr>
                <w:rFonts w:ascii="Arial" w:hAnsi="Arial" w:eastAsia="Arial"/>
                <w:b w:val="0"/>
                <w:sz w:val="14"/>
              </w:rPr>
              <w:t>4</w:t>
            </w:r>
          </w:p>
        </w:tc>
        <w:tc>
          <w:tcPr>
            <w:tcW w:type="dxa" w:w="3427"/>
            <w:vAlign w:val="top"/>
            <w:shd w:fill="FBF8EF"/>
          </w:tcPr>
          <w:p>
            <w:pPr>
              <w:spacing w:after="0" w:line="240" w:lineRule="auto"/>
            </w:pPr>
            <w:r/>
            <w:r>
              <w:rPr>
                <w:rFonts w:ascii="Arial" w:hAnsi="Arial" w:eastAsia="Arial"/>
                <w:b w:val="0"/>
                <w:sz w:val="14"/>
              </w:rPr>
              <w:t>Risques constitutionnels</w:t>
            </w:r>
          </w:p>
        </w:tc>
        <w:tc>
          <w:tcPr>
            <w:tcW w:type="dxa" w:w="3427"/>
            <w:vAlign w:val="top"/>
            <w:shd w:fill="FBF8EF"/>
          </w:tcPr>
          <w:p>
            <w:pPr>
              <w:spacing w:after="0" w:line="240" w:lineRule="auto"/>
            </w:pPr>
            <w:r/>
            <w:r>
              <w:rPr>
                <w:rFonts w:ascii="Arial" w:hAnsi="Arial" w:eastAsia="Arial"/>
                <w:b w:val="0"/>
                <w:sz w:val="14"/>
              </w:rPr>
              <w:t>Contournement, capture, abus d’urgence, conflits de normes</w:t>
            </w:r>
          </w:p>
        </w:tc>
      </w:tr>
      <w:tr>
        <w:tc>
          <w:tcPr>
            <w:tcW w:type="dxa" w:w="3427"/>
            <w:vAlign w:val="top"/>
          </w:tcPr>
          <w:p>
            <w:pPr>
              <w:spacing w:after="0" w:line="240" w:lineRule="auto"/>
            </w:pPr>
            <w:r/>
            <w:r>
              <w:rPr>
                <w:rFonts w:ascii="Arial" w:hAnsi="Arial" w:eastAsia="Arial"/>
                <w:b w:val="0"/>
                <w:sz w:val="14"/>
              </w:rPr>
              <w:t>5</w:t>
            </w:r>
          </w:p>
        </w:tc>
        <w:tc>
          <w:tcPr>
            <w:tcW w:type="dxa" w:w="3427"/>
            <w:vAlign w:val="top"/>
          </w:tcPr>
          <w:p>
            <w:pPr>
              <w:spacing w:after="0" w:line="240" w:lineRule="auto"/>
            </w:pPr>
            <w:r/>
            <w:r>
              <w:rPr>
                <w:rFonts w:ascii="Arial" w:hAnsi="Arial" w:eastAsia="Arial"/>
                <w:b w:val="0"/>
                <w:sz w:val="14"/>
              </w:rPr>
              <w:t>Risques administratifs</w:t>
            </w:r>
          </w:p>
        </w:tc>
        <w:tc>
          <w:tcPr>
            <w:tcW w:type="dxa" w:w="3427"/>
            <w:vAlign w:val="top"/>
          </w:tcPr>
          <w:p>
            <w:pPr>
              <w:spacing w:after="0" w:line="240" w:lineRule="auto"/>
            </w:pPr>
            <w:r/>
            <w:r>
              <w:rPr>
                <w:rFonts w:ascii="Arial" w:hAnsi="Arial" w:eastAsia="Arial"/>
                <w:b w:val="0"/>
                <w:sz w:val="14"/>
              </w:rPr>
              <w:t>Bureaucratie, délais, directives parallèles, opacité</w:t>
            </w:r>
          </w:p>
        </w:tc>
      </w:tr>
      <w:tr>
        <w:tc>
          <w:tcPr>
            <w:tcW w:type="dxa" w:w="3427"/>
            <w:vAlign w:val="top"/>
            <w:shd w:fill="FBF8EF"/>
          </w:tcPr>
          <w:p>
            <w:pPr>
              <w:spacing w:after="0" w:line="240" w:lineRule="auto"/>
            </w:pPr>
            <w:r/>
            <w:r>
              <w:rPr>
                <w:rFonts w:ascii="Arial" w:hAnsi="Arial" w:eastAsia="Arial"/>
                <w:b w:val="0"/>
                <w:sz w:val="14"/>
              </w:rPr>
              <w:t>6</w:t>
            </w:r>
          </w:p>
        </w:tc>
        <w:tc>
          <w:tcPr>
            <w:tcW w:type="dxa" w:w="3427"/>
            <w:vAlign w:val="top"/>
            <w:shd w:fill="FBF8EF"/>
          </w:tcPr>
          <w:p>
            <w:pPr>
              <w:spacing w:after="0" w:line="240" w:lineRule="auto"/>
            </w:pPr>
            <w:r/>
            <w:r>
              <w:rPr>
                <w:rFonts w:ascii="Arial" w:hAnsi="Arial" w:eastAsia="Arial"/>
                <w:b w:val="0"/>
                <w:sz w:val="14"/>
              </w:rPr>
              <w:t>Risques financiers</w:t>
            </w:r>
          </w:p>
        </w:tc>
        <w:tc>
          <w:tcPr>
            <w:tcW w:type="dxa" w:w="3427"/>
            <w:vAlign w:val="top"/>
            <w:shd w:fill="FBF8EF"/>
          </w:tcPr>
          <w:p>
            <w:pPr>
              <w:spacing w:after="0" w:line="240" w:lineRule="auto"/>
            </w:pPr>
            <w:r/>
            <w:r>
              <w:rPr>
                <w:rFonts w:ascii="Arial" w:hAnsi="Arial" w:eastAsia="Arial"/>
                <w:b w:val="0"/>
                <w:sz w:val="14"/>
              </w:rPr>
              <w:t>Dette, contrats, corruption, taxes cachées, dépenses</w:t>
            </w:r>
          </w:p>
        </w:tc>
      </w:tr>
      <w:tr>
        <w:tc>
          <w:tcPr>
            <w:tcW w:type="dxa" w:w="3427"/>
            <w:vAlign w:val="top"/>
          </w:tcPr>
          <w:p>
            <w:pPr>
              <w:spacing w:after="0" w:line="240" w:lineRule="auto"/>
            </w:pPr>
            <w:r/>
            <w:r>
              <w:rPr>
                <w:rFonts w:ascii="Arial" w:hAnsi="Arial" w:eastAsia="Arial"/>
                <w:b w:val="0"/>
                <w:sz w:val="14"/>
              </w:rPr>
              <w:t>7</w:t>
            </w:r>
          </w:p>
        </w:tc>
        <w:tc>
          <w:tcPr>
            <w:tcW w:type="dxa" w:w="3427"/>
            <w:vAlign w:val="top"/>
          </w:tcPr>
          <w:p>
            <w:pPr>
              <w:spacing w:after="0" w:line="240" w:lineRule="auto"/>
            </w:pPr>
            <w:r/>
            <w:r>
              <w:rPr>
                <w:rFonts w:ascii="Arial" w:hAnsi="Arial" w:eastAsia="Arial"/>
                <w:b w:val="0"/>
                <w:sz w:val="14"/>
              </w:rPr>
              <w:t>Risques de services essentiels</w:t>
            </w:r>
          </w:p>
        </w:tc>
        <w:tc>
          <w:tcPr>
            <w:tcW w:type="dxa" w:w="3427"/>
            <w:vAlign w:val="top"/>
          </w:tcPr>
          <w:p>
            <w:pPr>
              <w:spacing w:after="0" w:line="240" w:lineRule="auto"/>
            </w:pPr>
            <w:r/>
            <w:r>
              <w:rPr>
                <w:rFonts w:ascii="Arial" w:hAnsi="Arial" w:eastAsia="Arial"/>
                <w:b w:val="0"/>
                <w:sz w:val="14"/>
              </w:rPr>
              <w:t>Santé, justice, sécurité, énergie, logement, continuité</w:t>
            </w:r>
          </w:p>
        </w:tc>
      </w:tr>
      <w:tr>
        <w:tc>
          <w:tcPr>
            <w:tcW w:type="dxa" w:w="3427"/>
            <w:vAlign w:val="top"/>
            <w:shd w:fill="FBF8EF"/>
          </w:tcPr>
          <w:p>
            <w:pPr>
              <w:spacing w:after="0" w:line="240" w:lineRule="auto"/>
            </w:pPr>
            <w:r/>
            <w:r>
              <w:rPr>
                <w:rFonts w:ascii="Arial" w:hAnsi="Arial" w:eastAsia="Arial"/>
                <w:b w:val="0"/>
                <w:sz w:val="14"/>
              </w:rPr>
              <w:t>8</w:t>
            </w:r>
          </w:p>
        </w:tc>
        <w:tc>
          <w:tcPr>
            <w:tcW w:type="dxa" w:w="3427"/>
            <w:vAlign w:val="top"/>
            <w:shd w:fill="FBF8EF"/>
          </w:tcPr>
          <w:p>
            <w:pPr>
              <w:spacing w:after="0" w:line="240" w:lineRule="auto"/>
            </w:pPr>
            <w:r/>
            <w:r>
              <w:rPr>
                <w:rFonts w:ascii="Arial" w:hAnsi="Arial" w:eastAsia="Arial"/>
                <w:b w:val="0"/>
                <w:sz w:val="14"/>
              </w:rPr>
              <w:t>Risques sociaux</w:t>
            </w:r>
          </w:p>
        </w:tc>
        <w:tc>
          <w:tcPr>
            <w:tcW w:type="dxa" w:w="3427"/>
            <w:vAlign w:val="top"/>
            <w:shd w:fill="FBF8EF"/>
          </w:tcPr>
          <w:p>
            <w:pPr>
              <w:spacing w:after="0" w:line="240" w:lineRule="auto"/>
            </w:pPr>
            <w:r/>
            <w:r>
              <w:rPr>
                <w:rFonts w:ascii="Arial" w:hAnsi="Arial" w:eastAsia="Arial"/>
                <w:b w:val="0"/>
                <w:sz w:val="14"/>
              </w:rPr>
              <w:t>Immigration, français, cohésion, liberté de conscience</w:t>
            </w:r>
          </w:p>
        </w:tc>
      </w:tr>
      <w:tr>
        <w:tc>
          <w:tcPr>
            <w:tcW w:type="dxa" w:w="3427"/>
            <w:vAlign w:val="top"/>
          </w:tcPr>
          <w:p>
            <w:pPr>
              <w:spacing w:after="0" w:line="240" w:lineRule="auto"/>
            </w:pPr>
            <w:r/>
            <w:r>
              <w:rPr>
                <w:rFonts w:ascii="Arial" w:hAnsi="Arial" w:eastAsia="Arial"/>
                <w:b w:val="0"/>
                <w:sz w:val="14"/>
              </w:rPr>
              <w:t>9</w:t>
            </w:r>
          </w:p>
        </w:tc>
        <w:tc>
          <w:tcPr>
            <w:tcW w:type="dxa" w:w="3427"/>
            <w:vAlign w:val="top"/>
          </w:tcPr>
          <w:p>
            <w:pPr>
              <w:spacing w:after="0" w:line="240" w:lineRule="auto"/>
            </w:pPr>
            <w:r/>
            <w:r>
              <w:rPr>
                <w:rFonts w:ascii="Arial" w:hAnsi="Arial" w:eastAsia="Arial"/>
                <w:b w:val="0"/>
                <w:sz w:val="14"/>
              </w:rPr>
              <w:t>Risques économiques</w:t>
            </w:r>
          </w:p>
        </w:tc>
        <w:tc>
          <w:tcPr>
            <w:tcW w:type="dxa" w:w="3427"/>
            <w:vAlign w:val="top"/>
          </w:tcPr>
          <w:p>
            <w:pPr>
              <w:spacing w:after="0" w:line="240" w:lineRule="auto"/>
            </w:pPr>
            <w:r/>
            <w:r>
              <w:rPr>
                <w:rFonts w:ascii="Arial" w:hAnsi="Arial" w:eastAsia="Arial"/>
                <w:b w:val="0"/>
                <w:sz w:val="14"/>
              </w:rPr>
              <w:t>Marchés, tarifs, autonomie stratégique, régions</w:t>
            </w:r>
          </w:p>
        </w:tc>
      </w:tr>
      <w:tr>
        <w:tc>
          <w:tcPr>
            <w:tcW w:type="dxa" w:w="3427"/>
            <w:vAlign w:val="top"/>
            <w:shd w:fill="FBF8EF"/>
          </w:tcPr>
          <w:p>
            <w:pPr>
              <w:spacing w:after="0" w:line="240" w:lineRule="auto"/>
            </w:pPr>
            <w:r/>
            <w:r>
              <w:rPr>
                <w:rFonts w:ascii="Arial" w:hAnsi="Arial" w:eastAsia="Arial"/>
                <w:b w:val="0"/>
                <w:sz w:val="14"/>
              </w:rPr>
              <w:t>10</w:t>
            </w:r>
          </w:p>
        </w:tc>
        <w:tc>
          <w:tcPr>
            <w:tcW w:type="dxa" w:w="3427"/>
            <w:vAlign w:val="top"/>
            <w:shd w:fill="FBF8EF"/>
          </w:tcPr>
          <w:p>
            <w:pPr>
              <w:spacing w:after="0" w:line="240" w:lineRule="auto"/>
            </w:pPr>
            <w:r/>
            <w:r>
              <w:rPr>
                <w:rFonts w:ascii="Arial" w:hAnsi="Arial" w:eastAsia="Arial"/>
                <w:b w:val="0"/>
                <w:sz w:val="14"/>
              </w:rPr>
              <w:t>Risques numériques</w:t>
            </w:r>
          </w:p>
        </w:tc>
        <w:tc>
          <w:tcPr>
            <w:tcW w:type="dxa" w:w="3427"/>
            <w:vAlign w:val="top"/>
            <w:shd w:fill="FBF8EF"/>
          </w:tcPr>
          <w:p>
            <w:pPr>
              <w:spacing w:after="0" w:line="240" w:lineRule="auto"/>
            </w:pPr>
            <w:r/>
            <w:r>
              <w:rPr>
                <w:rFonts w:ascii="Arial" w:hAnsi="Arial" w:eastAsia="Arial"/>
                <w:b w:val="0"/>
                <w:sz w:val="14"/>
              </w:rPr>
              <w:t>Données, IA, identité numérique, cybersécurité</w:t>
            </w:r>
          </w:p>
        </w:tc>
      </w:tr>
      <w:tr>
        <w:tc>
          <w:tcPr>
            <w:tcW w:type="dxa" w:w="3427"/>
            <w:vAlign w:val="top"/>
          </w:tcPr>
          <w:p>
            <w:pPr>
              <w:spacing w:after="0" w:line="240" w:lineRule="auto"/>
            </w:pPr>
            <w:r/>
            <w:r>
              <w:rPr>
                <w:rFonts w:ascii="Arial" w:hAnsi="Arial" w:eastAsia="Arial"/>
                <w:b w:val="0"/>
                <w:sz w:val="14"/>
              </w:rPr>
              <w:t>11</w:t>
            </w:r>
          </w:p>
        </w:tc>
        <w:tc>
          <w:tcPr>
            <w:tcW w:type="dxa" w:w="3427"/>
            <w:vAlign w:val="top"/>
          </w:tcPr>
          <w:p>
            <w:pPr>
              <w:spacing w:after="0" w:line="240" w:lineRule="auto"/>
            </w:pPr>
            <w:r/>
            <w:r>
              <w:rPr>
                <w:rFonts w:ascii="Arial" w:hAnsi="Arial" w:eastAsia="Arial"/>
                <w:b w:val="0"/>
                <w:sz w:val="14"/>
              </w:rPr>
              <w:t>Risques de transition</w:t>
            </w:r>
          </w:p>
        </w:tc>
        <w:tc>
          <w:tcPr>
            <w:tcW w:type="dxa" w:w="3427"/>
            <w:vAlign w:val="top"/>
          </w:tcPr>
          <w:p>
            <w:pPr>
              <w:spacing w:after="0" w:line="240" w:lineRule="auto"/>
            </w:pPr>
            <w:r/>
            <w:r>
              <w:rPr>
                <w:rFonts w:ascii="Arial" w:hAnsi="Arial" w:eastAsia="Arial"/>
                <w:b w:val="0"/>
                <w:sz w:val="14"/>
              </w:rPr>
              <w:t>Souveraineté, reconnaissance, Canada, citoyenneté</w:t>
            </w:r>
          </w:p>
        </w:tc>
      </w:tr>
      <w:tr>
        <w:tc>
          <w:tcPr>
            <w:tcW w:type="dxa" w:w="3427"/>
            <w:vAlign w:val="top"/>
            <w:shd w:fill="FBF8EF"/>
          </w:tcPr>
          <w:p>
            <w:pPr>
              <w:spacing w:after="0" w:line="240" w:lineRule="auto"/>
            </w:pPr>
            <w:r/>
            <w:r>
              <w:rPr>
                <w:rFonts w:ascii="Arial" w:hAnsi="Arial" w:eastAsia="Arial"/>
                <w:b w:val="0"/>
                <w:sz w:val="14"/>
              </w:rPr>
              <w:t>12</w:t>
            </w:r>
          </w:p>
        </w:tc>
        <w:tc>
          <w:tcPr>
            <w:tcW w:type="dxa" w:w="3427"/>
            <w:vAlign w:val="top"/>
            <w:shd w:fill="FBF8EF"/>
          </w:tcPr>
          <w:p>
            <w:pPr>
              <w:spacing w:after="0" w:line="240" w:lineRule="auto"/>
            </w:pPr>
            <w:r/>
            <w:r>
              <w:rPr>
                <w:rFonts w:ascii="Arial" w:hAnsi="Arial" w:eastAsia="Arial"/>
                <w:b w:val="0"/>
                <w:sz w:val="14"/>
              </w:rPr>
              <w:t>Correctifs et suivi</w:t>
            </w:r>
          </w:p>
        </w:tc>
        <w:tc>
          <w:tcPr>
            <w:tcW w:type="dxa" w:w="3427"/>
            <w:vAlign w:val="top"/>
            <w:shd w:fill="FBF8EF"/>
          </w:tcPr>
          <w:p>
            <w:pPr>
              <w:spacing w:after="0" w:line="240" w:lineRule="auto"/>
            </w:pPr>
            <w:r/>
            <w:r>
              <w:rPr>
                <w:rFonts w:ascii="Arial" w:hAnsi="Arial" w:eastAsia="Arial"/>
                <w:b w:val="0"/>
                <w:sz w:val="14"/>
              </w:rPr>
              <w:t>Responsables, fréquence, preuve, révision et escalade</w:t>
            </w:r>
          </w:p>
        </w:tc>
      </w:tr>
    </w:tbl>
    <w:p/>
    <w:p>
      <w:pPr>
        <w:pStyle w:val="Heading1"/>
      </w:pPr>
      <w:r>
        <w:t>Échelle de risque résiduel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F1F1F"/>
          </w:tcPr>
          <w:p>
            <w:pPr>
              <w:spacing w:after="0" w:line="240" w:lineRule="auto"/>
            </w:pPr>
            <w:r/>
            <w:r>
              <w:rPr>
                <w:rFonts w:ascii="Arial" w:hAnsi="Arial" w:eastAsia="Arial"/>
                <w:b/>
                <w:color w:val="FFFFFF"/>
                <w:sz w:val="15"/>
              </w:rPr>
              <w:t>Niveau</w:t>
            </w:r>
          </w:p>
        </w:tc>
        <w:tc>
          <w:tcPr>
            <w:tcW w:type="dxa" w:w="3427"/>
            <w:shd w:fill="1F1F1F"/>
          </w:tcPr>
          <w:p>
            <w:pPr>
              <w:spacing w:after="0" w:line="240" w:lineRule="auto"/>
            </w:pPr>
            <w:r/>
            <w:r>
              <w:rPr>
                <w:rFonts w:ascii="Arial" w:hAnsi="Arial" w:eastAsia="Arial"/>
                <w:b/>
                <w:color w:val="FFFFFF"/>
                <w:sz w:val="15"/>
              </w:rPr>
              <w:t>Définition</w:t>
            </w:r>
          </w:p>
        </w:tc>
        <w:tc>
          <w:tcPr>
            <w:tcW w:type="dxa" w:w="3427"/>
            <w:shd w:fill="1F1F1F"/>
          </w:tcPr>
          <w:p>
            <w:pPr>
              <w:spacing w:after="0" w:line="240" w:lineRule="auto"/>
            </w:pPr>
            <w:r/>
            <w:r>
              <w:rPr>
                <w:rFonts w:ascii="Arial" w:hAnsi="Arial" w:eastAsia="Arial"/>
                <w:b/>
                <w:color w:val="FFFFFF"/>
                <w:sz w:val="15"/>
              </w:rPr>
              <w:t>Réponse obligatoire</w:t>
            </w:r>
          </w:p>
        </w:tc>
      </w:tr>
      <w:tr>
        <w:tc>
          <w:tcPr>
            <w:tcW w:type="dxa" w:w="3427"/>
            <w:vAlign w:val="top"/>
          </w:tcPr>
          <w:p>
            <w:pPr>
              <w:spacing w:after="0" w:line="240" w:lineRule="auto"/>
            </w:pPr>
            <w:r/>
            <w:r>
              <w:rPr>
                <w:rFonts w:ascii="Arial" w:hAnsi="Arial" w:eastAsia="Arial"/>
                <w:b w:val="0"/>
                <w:sz w:val="14"/>
              </w:rPr>
              <w:t>Faible</w:t>
            </w:r>
          </w:p>
        </w:tc>
        <w:tc>
          <w:tcPr>
            <w:tcW w:type="dxa" w:w="3427"/>
            <w:vAlign w:val="top"/>
          </w:tcPr>
          <w:p>
            <w:pPr>
              <w:spacing w:after="0" w:line="240" w:lineRule="auto"/>
            </w:pPr>
            <w:r/>
            <w:r>
              <w:rPr>
                <w:rFonts w:ascii="Arial" w:hAnsi="Arial" w:eastAsia="Arial"/>
                <w:b w:val="0"/>
                <w:sz w:val="14"/>
              </w:rPr>
              <w:t>Risque connu, limité et contrôlé par les mécanismes ordinaires.</w:t>
            </w:r>
          </w:p>
        </w:tc>
        <w:tc>
          <w:tcPr>
            <w:tcW w:type="dxa" w:w="3427"/>
            <w:vAlign w:val="top"/>
          </w:tcPr>
          <w:p>
            <w:pPr>
              <w:spacing w:after="0" w:line="240" w:lineRule="auto"/>
            </w:pPr>
            <w:r/>
            <w:r>
              <w:rPr>
                <w:rFonts w:ascii="Arial" w:hAnsi="Arial" w:eastAsia="Arial"/>
                <w:b w:val="0"/>
                <w:sz w:val="14"/>
              </w:rPr>
              <w:t>Surveillance annuelle et correction si le contexte change.</w:t>
            </w:r>
          </w:p>
        </w:tc>
      </w:tr>
      <w:tr>
        <w:tc>
          <w:tcPr>
            <w:tcW w:type="dxa" w:w="3427"/>
            <w:vAlign w:val="top"/>
            <w:shd w:fill="FBF8EF"/>
          </w:tcPr>
          <w:p>
            <w:pPr>
              <w:spacing w:after="0" w:line="240" w:lineRule="auto"/>
            </w:pPr>
            <w:r/>
            <w:r>
              <w:rPr>
                <w:rFonts w:ascii="Arial" w:hAnsi="Arial" w:eastAsia="Arial"/>
                <w:b w:val="0"/>
                <w:sz w:val="14"/>
              </w:rPr>
              <w:t>Modéré</w:t>
            </w:r>
          </w:p>
        </w:tc>
        <w:tc>
          <w:tcPr>
            <w:tcW w:type="dxa" w:w="3427"/>
            <w:vAlign w:val="top"/>
            <w:shd w:fill="FBF8EF"/>
          </w:tcPr>
          <w:p>
            <w:pPr>
              <w:spacing w:after="0" w:line="240" w:lineRule="auto"/>
            </w:pPr>
            <w:r/>
            <w:r>
              <w:rPr>
                <w:rFonts w:ascii="Arial" w:hAnsi="Arial" w:eastAsia="Arial"/>
                <w:b w:val="0"/>
                <w:sz w:val="14"/>
              </w:rPr>
              <w:t>Risque pouvant affecter un service, une norme ou une institution sans crise systémique.</w:t>
            </w:r>
          </w:p>
        </w:tc>
        <w:tc>
          <w:tcPr>
            <w:tcW w:type="dxa" w:w="3427"/>
            <w:vAlign w:val="top"/>
            <w:shd w:fill="FBF8EF"/>
          </w:tcPr>
          <w:p>
            <w:pPr>
              <w:spacing w:after="0" w:line="240" w:lineRule="auto"/>
            </w:pPr>
            <w:r/>
            <w:r>
              <w:rPr>
                <w:rFonts w:ascii="Arial" w:hAnsi="Arial" w:eastAsia="Arial"/>
                <w:b w:val="0"/>
                <w:sz w:val="14"/>
              </w:rPr>
              <w:t>Plan correctif, responsable désigné et suivi semestriel.</w:t>
            </w:r>
          </w:p>
        </w:tc>
      </w:tr>
      <w:tr>
        <w:tc>
          <w:tcPr>
            <w:tcW w:type="dxa" w:w="3427"/>
            <w:vAlign w:val="top"/>
          </w:tcPr>
          <w:p>
            <w:pPr>
              <w:spacing w:after="0" w:line="240" w:lineRule="auto"/>
            </w:pPr>
            <w:r/>
            <w:r>
              <w:rPr>
                <w:rFonts w:ascii="Arial" w:hAnsi="Arial" w:eastAsia="Arial"/>
                <w:b w:val="0"/>
                <w:sz w:val="14"/>
              </w:rPr>
              <w:t>Élevé</w:t>
            </w:r>
          </w:p>
        </w:tc>
        <w:tc>
          <w:tcPr>
            <w:tcW w:type="dxa" w:w="3427"/>
            <w:vAlign w:val="top"/>
          </w:tcPr>
          <w:p>
            <w:pPr>
              <w:spacing w:after="0" w:line="240" w:lineRule="auto"/>
            </w:pPr>
            <w:r/>
            <w:r>
              <w:rPr>
                <w:rFonts w:ascii="Arial" w:hAnsi="Arial" w:eastAsia="Arial"/>
                <w:b w:val="0"/>
                <w:sz w:val="14"/>
              </w:rPr>
              <w:t>Risque pouvant compromettre une garantie fondamentale, un service essentiel ou une réforme.</w:t>
            </w:r>
          </w:p>
        </w:tc>
        <w:tc>
          <w:tcPr>
            <w:tcW w:type="dxa" w:w="3427"/>
            <w:vAlign w:val="top"/>
          </w:tcPr>
          <w:p>
            <w:pPr>
              <w:spacing w:after="0" w:line="240" w:lineRule="auto"/>
            </w:pPr>
            <w:r/>
            <w:r>
              <w:rPr>
                <w:rFonts w:ascii="Arial" w:hAnsi="Arial" w:eastAsia="Arial"/>
                <w:b w:val="0"/>
                <w:sz w:val="14"/>
              </w:rPr>
              <w:t>Mesures immédiates, rapport public et révision obligatoire.</w:t>
            </w:r>
          </w:p>
        </w:tc>
      </w:tr>
      <w:tr>
        <w:tc>
          <w:tcPr>
            <w:tcW w:type="dxa" w:w="3427"/>
            <w:vAlign w:val="top"/>
            <w:shd w:fill="FBF8EF"/>
          </w:tcPr>
          <w:p>
            <w:pPr>
              <w:spacing w:after="0" w:line="240" w:lineRule="auto"/>
            </w:pPr>
            <w:r/>
            <w:r>
              <w:rPr>
                <w:rFonts w:ascii="Arial" w:hAnsi="Arial" w:eastAsia="Arial"/>
                <w:b w:val="0"/>
                <w:sz w:val="14"/>
              </w:rPr>
              <w:t>Critique</w:t>
            </w:r>
          </w:p>
        </w:tc>
        <w:tc>
          <w:tcPr>
            <w:tcW w:type="dxa" w:w="3427"/>
            <w:vAlign w:val="top"/>
            <w:shd w:fill="FBF8EF"/>
          </w:tcPr>
          <w:p>
            <w:pPr>
              <w:spacing w:after="0" w:line="240" w:lineRule="auto"/>
            </w:pPr>
            <w:r/>
            <w:r>
              <w:rPr>
                <w:rFonts w:ascii="Arial" w:hAnsi="Arial" w:eastAsia="Arial"/>
                <w:b w:val="0"/>
                <w:sz w:val="14"/>
              </w:rPr>
              <w:t>Risque pouvant menacer la démocratie, la continuité de l’État, la souveraineté populaire ou l’intégrité du système.</w:t>
            </w:r>
          </w:p>
        </w:tc>
        <w:tc>
          <w:tcPr>
            <w:tcW w:type="dxa" w:w="3427"/>
            <w:vAlign w:val="top"/>
            <w:shd w:fill="FBF8EF"/>
          </w:tcPr>
          <w:p>
            <w:pPr>
              <w:spacing w:after="0" w:line="240" w:lineRule="auto"/>
            </w:pPr>
            <w:r/>
            <w:r>
              <w:rPr>
                <w:rFonts w:ascii="Arial" w:hAnsi="Arial" w:eastAsia="Arial"/>
                <w:b w:val="0"/>
                <w:sz w:val="14"/>
              </w:rPr>
              <w:t>Activation d’une procédure d’urgence encadrée, audit indépendant et correction prioritaire.</w:t>
            </w:r>
          </w:p>
        </w:tc>
      </w:tr>
    </w:tbl>
    <w:p/>
    <w:p>
      <w:pPr>
        <w:pStyle w:val="Heading1"/>
      </w:pPr>
      <w:r>
        <w:t>Catégories de risques du Système Nova</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F1F1F"/>
          </w:tcPr>
          <w:p>
            <w:pPr>
              <w:spacing w:after="0" w:line="240" w:lineRule="auto"/>
            </w:pPr>
            <w:r/>
            <w:r>
              <w:rPr>
                <w:rFonts w:ascii="Arial" w:hAnsi="Arial" w:eastAsia="Arial"/>
                <w:b/>
                <w:color w:val="FFFFFF"/>
                <w:sz w:val="15"/>
              </w:rPr>
              <w:t>Code</w:t>
            </w:r>
          </w:p>
        </w:tc>
        <w:tc>
          <w:tcPr>
            <w:tcW w:type="dxa" w:w="3427"/>
            <w:shd w:fill="1F1F1F"/>
          </w:tcPr>
          <w:p>
            <w:pPr>
              <w:spacing w:after="0" w:line="240" w:lineRule="auto"/>
            </w:pPr>
            <w:r/>
            <w:r>
              <w:rPr>
                <w:rFonts w:ascii="Arial" w:hAnsi="Arial" w:eastAsia="Arial"/>
                <w:b/>
                <w:color w:val="FFFFFF"/>
                <w:sz w:val="15"/>
              </w:rPr>
              <w:t>Catégorie</w:t>
            </w:r>
          </w:p>
        </w:tc>
        <w:tc>
          <w:tcPr>
            <w:tcW w:type="dxa" w:w="3427"/>
            <w:shd w:fill="1F1F1F"/>
          </w:tcPr>
          <w:p>
            <w:pPr>
              <w:spacing w:after="0" w:line="240" w:lineRule="auto"/>
            </w:pPr>
            <w:r/>
            <w:r>
              <w:rPr>
                <w:rFonts w:ascii="Arial" w:hAnsi="Arial" w:eastAsia="Arial"/>
                <w:b/>
                <w:color w:val="FFFFFF"/>
                <w:sz w:val="15"/>
              </w:rPr>
              <w:t>Exemples</w:t>
            </w:r>
          </w:p>
        </w:tc>
      </w:tr>
      <w:tr>
        <w:tc>
          <w:tcPr>
            <w:tcW w:type="dxa" w:w="3427"/>
            <w:vAlign w:val="top"/>
          </w:tcPr>
          <w:p>
            <w:pPr>
              <w:spacing w:after="0" w:line="240" w:lineRule="auto"/>
            </w:pPr>
            <w:r/>
            <w:r>
              <w:rPr>
                <w:rFonts w:ascii="Arial" w:hAnsi="Arial" w:eastAsia="Arial"/>
                <w:b w:val="0"/>
                <w:sz w:val="14"/>
              </w:rPr>
              <w:t>D</w:t>
            </w:r>
          </w:p>
        </w:tc>
        <w:tc>
          <w:tcPr>
            <w:tcW w:type="dxa" w:w="3427"/>
            <w:vAlign w:val="top"/>
          </w:tcPr>
          <w:p>
            <w:pPr>
              <w:spacing w:after="0" w:line="240" w:lineRule="auto"/>
            </w:pPr>
            <w:r/>
            <w:r>
              <w:rPr>
                <w:rFonts w:ascii="Arial" w:hAnsi="Arial" w:eastAsia="Arial"/>
                <w:b w:val="0"/>
                <w:sz w:val="14"/>
              </w:rPr>
              <w:t>Démocratique</w:t>
            </w:r>
          </w:p>
        </w:tc>
        <w:tc>
          <w:tcPr>
            <w:tcW w:type="dxa" w:w="3427"/>
            <w:vAlign w:val="top"/>
          </w:tcPr>
          <w:p>
            <w:pPr>
              <w:spacing w:after="0" w:line="240" w:lineRule="auto"/>
            </w:pPr>
            <w:r/>
            <w:r>
              <w:rPr>
                <w:rFonts w:ascii="Arial" w:hAnsi="Arial" w:eastAsia="Arial"/>
                <w:b w:val="0"/>
                <w:sz w:val="14"/>
              </w:rPr>
              <w:t>Vote, référendums, initiatives citoyennes, financement politique, autorité électorale.</w:t>
            </w:r>
          </w:p>
        </w:tc>
      </w:tr>
      <w:tr>
        <w:tc>
          <w:tcPr>
            <w:tcW w:type="dxa" w:w="3427"/>
            <w:vAlign w:val="top"/>
            <w:shd w:fill="FBF8EF"/>
          </w:tcPr>
          <w:p>
            <w:pPr>
              <w:spacing w:after="0" w:line="240" w:lineRule="auto"/>
            </w:pPr>
            <w:r/>
            <w:r>
              <w:rPr>
                <w:rFonts w:ascii="Arial" w:hAnsi="Arial" w:eastAsia="Arial"/>
                <w:b w:val="0"/>
                <w:sz w:val="14"/>
              </w:rPr>
              <w:t>C</w:t>
            </w:r>
          </w:p>
        </w:tc>
        <w:tc>
          <w:tcPr>
            <w:tcW w:type="dxa" w:w="3427"/>
            <w:vAlign w:val="top"/>
            <w:shd w:fill="FBF8EF"/>
          </w:tcPr>
          <w:p>
            <w:pPr>
              <w:spacing w:after="0" w:line="240" w:lineRule="auto"/>
            </w:pPr>
            <w:r/>
            <w:r>
              <w:rPr>
                <w:rFonts w:ascii="Arial" w:hAnsi="Arial" w:eastAsia="Arial"/>
                <w:b w:val="0"/>
                <w:sz w:val="14"/>
              </w:rPr>
              <w:t>Constitutionnelle</w:t>
            </w:r>
          </w:p>
        </w:tc>
        <w:tc>
          <w:tcPr>
            <w:tcW w:type="dxa" w:w="3427"/>
            <w:vAlign w:val="top"/>
            <w:shd w:fill="FBF8EF"/>
          </w:tcPr>
          <w:p>
            <w:pPr>
              <w:spacing w:after="0" w:line="240" w:lineRule="auto"/>
            </w:pPr>
            <w:r/>
            <w:r>
              <w:rPr>
                <w:rFonts w:ascii="Arial" w:hAnsi="Arial" w:eastAsia="Arial"/>
                <w:b w:val="0"/>
                <w:sz w:val="14"/>
              </w:rPr>
              <w:t>Conflits de normes, abus d’urgence, modification opportuniste, capture institutionnelle.</w:t>
            </w:r>
          </w:p>
        </w:tc>
      </w:tr>
      <w:tr>
        <w:tc>
          <w:tcPr>
            <w:tcW w:type="dxa" w:w="3427"/>
            <w:vAlign w:val="top"/>
          </w:tcPr>
          <w:p>
            <w:pPr>
              <w:spacing w:after="0" w:line="240" w:lineRule="auto"/>
            </w:pPr>
            <w:r/>
            <w:r>
              <w:rPr>
                <w:rFonts w:ascii="Arial" w:hAnsi="Arial" w:eastAsia="Arial"/>
                <w:b w:val="0"/>
                <w:sz w:val="14"/>
              </w:rPr>
              <w:t>A</w:t>
            </w:r>
          </w:p>
        </w:tc>
        <w:tc>
          <w:tcPr>
            <w:tcW w:type="dxa" w:w="3427"/>
            <w:vAlign w:val="top"/>
          </w:tcPr>
          <w:p>
            <w:pPr>
              <w:spacing w:after="0" w:line="240" w:lineRule="auto"/>
            </w:pPr>
            <w:r/>
            <w:r>
              <w:rPr>
                <w:rFonts w:ascii="Arial" w:hAnsi="Arial" w:eastAsia="Arial"/>
                <w:b w:val="0"/>
                <w:sz w:val="14"/>
              </w:rPr>
              <w:t>Administrative</w:t>
            </w:r>
          </w:p>
        </w:tc>
        <w:tc>
          <w:tcPr>
            <w:tcW w:type="dxa" w:w="3427"/>
            <w:vAlign w:val="top"/>
          </w:tcPr>
          <w:p>
            <w:pPr>
              <w:spacing w:after="0" w:line="240" w:lineRule="auto"/>
            </w:pPr>
            <w:r/>
            <w:r>
              <w:rPr>
                <w:rFonts w:ascii="Arial" w:hAnsi="Arial" w:eastAsia="Arial"/>
                <w:b w:val="0"/>
                <w:sz w:val="14"/>
              </w:rPr>
              <w:t>Directives opaques, délais, bureaucratie, contournement par formulaires ou procédures.</w:t>
            </w:r>
          </w:p>
        </w:tc>
      </w:tr>
      <w:tr>
        <w:tc>
          <w:tcPr>
            <w:tcW w:type="dxa" w:w="3427"/>
            <w:vAlign w:val="top"/>
            <w:shd w:fill="FBF8EF"/>
          </w:tcPr>
          <w:p>
            <w:pPr>
              <w:spacing w:after="0" w:line="240" w:lineRule="auto"/>
            </w:pPr>
            <w:r/>
            <w:r>
              <w:rPr>
                <w:rFonts w:ascii="Arial" w:hAnsi="Arial" w:eastAsia="Arial"/>
                <w:b w:val="0"/>
                <w:sz w:val="14"/>
              </w:rPr>
              <w:t>F</w:t>
            </w:r>
          </w:p>
        </w:tc>
        <w:tc>
          <w:tcPr>
            <w:tcW w:type="dxa" w:w="3427"/>
            <w:vAlign w:val="top"/>
            <w:shd w:fill="FBF8EF"/>
          </w:tcPr>
          <w:p>
            <w:pPr>
              <w:spacing w:after="0" w:line="240" w:lineRule="auto"/>
            </w:pPr>
            <w:r/>
            <w:r>
              <w:rPr>
                <w:rFonts w:ascii="Arial" w:hAnsi="Arial" w:eastAsia="Arial"/>
                <w:b w:val="0"/>
                <w:sz w:val="14"/>
              </w:rPr>
              <w:t>Financière</w:t>
            </w:r>
          </w:p>
        </w:tc>
        <w:tc>
          <w:tcPr>
            <w:tcW w:type="dxa" w:w="3427"/>
            <w:vAlign w:val="top"/>
            <w:shd w:fill="FBF8EF"/>
          </w:tcPr>
          <w:p>
            <w:pPr>
              <w:spacing w:after="0" w:line="240" w:lineRule="auto"/>
            </w:pPr>
            <w:r/>
            <w:r>
              <w:rPr>
                <w:rFonts w:ascii="Arial" w:hAnsi="Arial" w:eastAsia="Arial"/>
                <w:b w:val="0"/>
                <w:sz w:val="14"/>
              </w:rPr>
              <w:t>Dette, dépenses, contrats publics, taxes cachées, corruption, gaspillage.</w:t>
            </w:r>
          </w:p>
        </w:tc>
      </w:tr>
      <w:tr>
        <w:tc>
          <w:tcPr>
            <w:tcW w:type="dxa" w:w="3427"/>
            <w:vAlign w:val="top"/>
          </w:tcPr>
          <w:p>
            <w:pPr>
              <w:spacing w:after="0" w:line="240" w:lineRule="auto"/>
            </w:pPr>
            <w:r/>
            <w:r>
              <w:rPr>
                <w:rFonts w:ascii="Arial" w:hAnsi="Arial" w:eastAsia="Arial"/>
                <w:b w:val="0"/>
                <w:sz w:val="14"/>
              </w:rPr>
              <w:t>S</w:t>
            </w:r>
          </w:p>
        </w:tc>
        <w:tc>
          <w:tcPr>
            <w:tcW w:type="dxa" w:w="3427"/>
            <w:vAlign w:val="top"/>
          </w:tcPr>
          <w:p>
            <w:pPr>
              <w:spacing w:after="0" w:line="240" w:lineRule="auto"/>
            </w:pPr>
            <w:r/>
            <w:r>
              <w:rPr>
                <w:rFonts w:ascii="Arial" w:hAnsi="Arial" w:eastAsia="Arial"/>
                <w:b w:val="0"/>
                <w:sz w:val="14"/>
              </w:rPr>
              <w:t>Services essentiels</w:t>
            </w:r>
          </w:p>
        </w:tc>
        <w:tc>
          <w:tcPr>
            <w:tcW w:type="dxa" w:w="3427"/>
            <w:vAlign w:val="top"/>
          </w:tcPr>
          <w:p>
            <w:pPr>
              <w:spacing w:after="0" w:line="240" w:lineRule="auto"/>
            </w:pPr>
            <w:r/>
            <w:r>
              <w:rPr>
                <w:rFonts w:ascii="Arial" w:hAnsi="Arial" w:eastAsia="Arial"/>
                <w:b w:val="0"/>
                <w:sz w:val="14"/>
              </w:rPr>
              <w:t>Santé, justice, sécurité, énergie, logement, infrastructures, continuité.</w:t>
            </w:r>
          </w:p>
        </w:tc>
      </w:tr>
      <w:tr>
        <w:tc>
          <w:tcPr>
            <w:tcW w:type="dxa" w:w="3427"/>
            <w:vAlign w:val="top"/>
            <w:shd w:fill="FBF8EF"/>
          </w:tcPr>
          <w:p>
            <w:pPr>
              <w:spacing w:after="0" w:line="240" w:lineRule="auto"/>
            </w:pPr>
            <w:r/>
            <w:r>
              <w:rPr>
                <w:rFonts w:ascii="Arial" w:hAnsi="Arial" w:eastAsia="Arial"/>
                <w:b w:val="0"/>
                <w:sz w:val="14"/>
              </w:rPr>
              <w:t>I</w:t>
            </w:r>
          </w:p>
        </w:tc>
        <w:tc>
          <w:tcPr>
            <w:tcW w:type="dxa" w:w="3427"/>
            <w:vAlign w:val="top"/>
            <w:shd w:fill="FBF8EF"/>
          </w:tcPr>
          <w:p>
            <w:pPr>
              <w:spacing w:after="0" w:line="240" w:lineRule="auto"/>
            </w:pPr>
            <w:r/>
            <w:r>
              <w:rPr>
                <w:rFonts w:ascii="Arial" w:hAnsi="Arial" w:eastAsia="Arial"/>
                <w:b w:val="0"/>
                <w:sz w:val="14"/>
              </w:rPr>
              <w:t>Identité et cohésion</w:t>
            </w:r>
          </w:p>
        </w:tc>
        <w:tc>
          <w:tcPr>
            <w:tcW w:type="dxa" w:w="3427"/>
            <w:vAlign w:val="top"/>
            <w:shd w:fill="FBF8EF"/>
          </w:tcPr>
          <w:p>
            <w:pPr>
              <w:spacing w:after="0" w:line="240" w:lineRule="auto"/>
            </w:pPr>
            <w:r/>
            <w:r>
              <w:rPr>
                <w:rFonts w:ascii="Arial" w:hAnsi="Arial" w:eastAsia="Arial"/>
                <w:b w:val="0"/>
                <w:sz w:val="14"/>
              </w:rPr>
              <w:t>Français, immigration, intégration, liberté de conscience, stabilité sociale.</w:t>
            </w:r>
          </w:p>
        </w:tc>
      </w:tr>
      <w:tr>
        <w:tc>
          <w:tcPr>
            <w:tcW w:type="dxa" w:w="3427"/>
            <w:vAlign w:val="top"/>
          </w:tcPr>
          <w:p>
            <w:pPr>
              <w:spacing w:after="0" w:line="240" w:lineRule="auto"/>
            </w:pPr>
            <w:r/>
            <w:r>
              <w:rPr>
                <w:rFonts w:ascii="Arial" w:hAnsi="Arial" w:eastAsia="Arial"/>
                <w:b w:val="0"/>
                <w:sz w:val="14"/>
              </w:rPr>
              <w:t>E</w:t>
            </w:r>
          </w:p>
        </w:tc>
        <w:tc>
          <w:tcPr>
            <w:tcW w:type="dxa" w:w="3427"/>
            <w:vAlign w:val="top"/>
          </w:tcPr>
          <w:p>
            <w:pPr>
              <w:spacing w:after="0" w:line="240" w:lineRule="auto"/>
            </w:pPr>
            <w:r/>
            <w:r>
              <w:rPr>
                <w:rFonts w:ascii="Arial" w:hAnsi="Arial" w:eastAsia="Arial"/>
                <w:b w:val="0"/>
                <w:sz w:val="14"/>
              </w:rPr>
              <w:t>Économie et autonomie</w:t>
            </w:r>
          </w:p>
        </w:tc>
        <w:tc>
          <w:tcPr>
            <w:tcW w:type="dxa" w:w="3427"/>
            <w:vAlign w:val="top"/>
          </w:tcPr>
          <w:p>
            <w:pPr>
              <w:spacing w:after="0" w:line="240" w:lineRule="auto"/>
            </w:pPr>
            <w:r/>
            <w:r>
              <w:rPr>
                <w:rFonts w:ascii="Arial" w:hAnsi="Arial" w:eastAsia="Arial"/>
                <w:b w:val="0"/>
                <w:sz w:val="14"/>
              </w:rPr>
              <w:t>Marchés, concurrence, régions, tarifs, ressources, autonomie stratégique.</w:t>
            </w:r>
          </w:p>
        </w:tc>
      </w:tr>
      <w:tr>
        <w:tc>
          <w:tcPr>
            <w:tcW w:type="dxa" w:w="3427"/>
            <w:vAlign w:val="top"/>
            <w:shd w:fill="FBF8EF"/>
          </w:tcPr>
          <w:p>
            <w:pPr>
              <w:spacing w:after="0" w:line="240" w:lineRule="auto"/>
            </w:pPr>
            <w:r/>
            <w:r>
              <w:rPr>
                <w:rFonts w:ascii="Arial" w:hAnsi="Arial" w:eastAsia="Arial"/>
                <w:b w:val="0"/>
                <w:sz w:val="14"/>
              </w:rPr>
              <w:t>N</w:t>
            </w:r>
          </w:p>
        </w:tc>
        <w:tc>
          <w:tcPr>
            <w:tcW w:type="dxa" w:w="3427"/>
            <w:vAlign w:val="top"/>
            <w:shd w:fill="FBF8EF"/>
          </w:tcPr>
          <w:p>
            <w:pPr>
              <w:spacing w:after="0" w:line="240" w:lineRule="auto"/>
            </w:pPr>
            <w:r/>
            <w:r>
              <w:rPr>
                <w:rFonts w:ascii="Arial" w:hAnsi="Arial" w:eastAsia="Arial"/>
                <w:b w:val="0"/>
                <w:sz w:val="14"/>
              </w:rPr>
              <w:t>Numérique</w:t>
            </w:r>
          </w:p>
        </w:tc>
        <w:tc>
          <w:tcPr>
            <w:tcW w:type="dxa" w:w="3427"/>
            <w:vAlign w:val="top"/>
            <w:shd w:fill="FBF8EF"/>
          </w:tcPr>
          <w:p>
            <w:pPr>
              <w:spacing w:after="0" w:line="240" w:lineRule="auto"/>
            </w:pPr>
            <w:r/>
            <w:r>
              <w:rPr>
                <w:rFonts w:ascii="Arial" w:hAnsi="Arial" w:eastAsia="Arial"/>
                <w:b w:val="0"/>
                <w:sz w:val="14"/>
              </w:rPr>
              <w:t>Données, IA, identité numérique, cybersécurité, surveillance, dépendance fournisseurs.</w:t>
            </w:r>
          </w:p>
        </w:tc>
      </w:tr>
      <w:tr>
        <w:tc>
          <w:tcPr>
            <w:tcW w:type="dxa" w:w="3427"/>
            <w:vAlign w:val="top"/>
          </w:tcPr>
          <w:p>
            <w:pPr>
              <w:spacing w:after="0" w:line="240" w:lineRule="auto"/>
            </w:pPr>
            <w:r/>
            <w:r>
              <w:rPr>
                <w:rFonts w:ascii="Arial" w:hAnsi="Arial" w:eastAsia="Arial"/>
                <w:b w:val="0"/>
                <w:sz w:val="14"/>
              </w:rPr>
              <w:t>T</w:t>
            </w:r>
          </w:p>
        </w:tc>
        <w:tc>
          <w:tcPr>
            <w:tcW w:type="dxa" w:w="3427"/>
            <w:vAlign w:val="top"/>
          </w:tcPr>
          <w:p>
            <w:pPr>
              <w:spacing w:after="0" w:line="240" w:lineRule="auto"/>
            </w:pPr>
            <w:r/>
            <w:r>
              <w:rPr>
                <w:rFonts w:ascii="Arial" w:hAnsi="Arial" w:eastAsia="Arial"/>
                <w:b w:val="0"/>
                <w:sz w:val="14"/>
              </w:rPr>
              <w:t>Transition</w:t>
            </w:r>
          </w:p>
        </w:tc>
        <w:tc>
          <w:tcPr>
            <w:tcW w:type="dxa" w:w="3427"/>
            <w:vAlign w:val="top"/>
          </w:tcPr>
          <w:p>
            <w:pPr>
              <w:spacing w:after="0" w:line="240" w:lineRule="auto"/>
            </w:pPr>
            <w:r/>
            <w:r>
              <w:rPr>
                <w:rFonts w:ascii="Arial" w:hAnsi="Arial" w:eastAsia="Arial"/>
                <w:b w:val="0"/>
                <w:sz w:val="14"/>
              </w:rPr>
              <w:t>Souveraineté, relations avec le Canada, reconnaissance, citoyenneté, frontières.</w:t>
            </w:r>
          </w:p>
        </w:tc>
      </w:tr>
    </w:tbl>
    <w:p/>
    <w:p>
      <w:pPr>
        <w:pStyle w:val="Heading1"/>
      </w:pPr>
      <w:r>
        <w:t>PARTIE I - CADRE DU REGISTRE</w:t>
      </w:r>
    </w:p>
    <w:p>
      <w:pPr>
        <w:pStyle w:val="ArticleTitleNova"/>
        <w:pBdr>
          <w:bottom w:val="single" w:sz="8" w:space="1" w:color="E6D7A5"/>
        </w:pBdr>
      </w:pPr>
      <w:r>
        <w:t>RR-1. Objet du registre</w:t>
      </w:r>
    </w:p>
    <w:p>
      <w:r>
        <w:t>Le registre a pour objet d’identifier les risques résiduels du Système Nova, de les classer, de fixer les correctifs nécessaires et de prévoir un suivi continu.</w:t>
      </w:r>
    </w:p>
    <w:p>
      <w:pPr>
        <w:pStyle w:val="ArticleTitleNova"/>
        <w:pBdr>
          <w:bottom w:val="single" w:sz="8" w:space="1" w:color="E6D7A5"/>
        </w:pBdr>
      </w:pPr>
      <w:r>
        <w:t>RR-2. Définition du risque résiduel</w:t>
      </w:r>
    </w:p>
    <w:p>
      <w:r>
        <w:t>Un risque résiduel est un risque qui demeure possible même après l’adoption d’une norme, d’une loi, d’un règlement, d’un mécanisme de contrôle ou d’une garantie constitutionnelle.</w:t>
      </w:r>
    </w:p>
    <w:p>
      <w:pPr>
        <w:pStyle w:val="ArticleTitleNova"/>
        <w:pBdr>
          <w:bottom w:val="single" w:sz="8" w:space="1" w:color="E6D7A5"/>
        </w:pBdr>
      </w:pPr>
      <w:r>
        <w:t>RR-3. Principe de non-déni</w:t>
      </w:r>
    </w:p>
    <w:p>
      <w:r>
        <w:t>Aucun risque connu ne doit être ignoré pour protéger l’image du projet, du gouvernement, d’un parti, d’un chef ou d’une administration.</w:t>
      </w:r>
    </w:p>
    <w:p>
      <w:pPr>
        <w:pStyle w:val="ArticleTitleNova"/>
        <w:pBdr>
          <w:bottom w:val="single" w:sz="8" w:space="1" w:color="E6D7A5"/>
        </w:pBdr>
      </w:pPr>
      <w:r>
        <w:t>RR-4. Principe de correction obligatoire</w:t>
      </w:r>
    </w:p>
    <w:p>
      <w:r>
        <w:t>Tout risque résiduel significatif doit entraîner une mesure de prévention, de correction, de surveillance ou d’escalade.</w:t>
      </w:r>
    </w:p>
    <w:p>
      <w:pPr>
        <w:pStyle w:val="ArticleTitleNova"/>
        <w:pBdr>
          <w:bottom w:val="single" w:sz="8" w:space="1" w:color="E6D7A5"/>
        </w:pBdr>
      </w:pPr>
      <w:r>
        <w:t>RR-5. Hiérarchie des protections</w:t>
      </w:r>
    </w:p>
    <w:p>
      <w:r>
        <w:t>Les correctifs doivent respecter la hiérarchie normative : Constitution, normes fondamentales, lois organiques, lois administratives, lois ordinaires, règlements, directives, procédures et pratiques.</w:t>
      </w:r>
    </w:p>
    <w:p>
      <w:pPr>
        <w:pStyle w:val="ArticleTitleNova"/>
        <w:pBdr>
          <w:bottom w:val="single" w:sz="8" w:space="1" w:color="E6D7A5"/>
        </w:pBdr>
      </w:pPr>
      <w:r>
        <w:t>RR-6. Lien avec la table de concordance</w:t>
      </w:r>
    </w:p>
    <w:p>
      <w:r>
        <w:t>Chaque risque doit pouvoir être rattaché à au moins un document source, une norme applicable et une instance responsable.</w:t>
      </w:r>
    </w:p>
    <w:p>
      <w:pPr>
        <w:pStyle w:val="ArticleTitleNova"/>
        <w:pBdr>
          <w:bottom w:val="single" w:sz="8" w:space="1" w:color="E6D7A5"/>
        </w:pBdr>
      </w:pPr>
      <w:r>
        <w:t>RR-7. Mise à jour obligatoire</w:t>
      </w:r>
    </w:p>
    <w:p>
      <w:r>
        <w:t>Le registre doit être mis à jour lors de toute réforme majeure, crise, audit, jugement, référendum, modification normative ou détection d’une faille.</w:t>
      </w:r>
    </w:p>
    <w:p>
      <w:pPr>
        <w:pStyle w:val="ArticleTitleNova"/>
        <w:pBdr>
          <w:bottom w:val="single" w:sz="8" w:space="1" w:color="E6D7A5"/>
        </w:pBdr>
      </w:pPr>
      <w:r>
        <w:t>RR-8. Responsabilité documentaire</w:t>
      </w:r>
    </w:p>
    <w:p>
      <w:r>
        <w:t>La conservation du registre relève de l’instance de contrôle prévue par le Système Nova, avec archivage public lorsque la sécurité ou la confidentialité ne l’interdit pas.</w:t>
      </w:r>
    </w:p>
    <w:p>
      <w:pPr>
        <w:pStyle w:val="ArticleTitleNova"/>
        <w:pBdr>
          <w:bottom w:val="single" w:sz="8" w:space="1" w:color="E6D7A5"/>
        </w:pBdr>
      </w:pPr>
      <w:r>
        <w:t>RR-9. Transparence proportionnée</w:t>
      </w:r>
    </w:p>
    <w:p>
      <w:r>
        <w:t>Les risques doivent être publiés dans une forme compréhensible, sauf lorsque la publication détaillée compromettrait la sécurité, les données personnelles ou la continuité des services essentiels.</w:t>
      </w:r>
    </w:p>
    <w:p>
      <w:pPr>
        <w:pStyle w:val="ArticleTitleNova"/>
        <w:pBdr>
          <w:bottom w:val="single" w:sz="8" w:space="1" w:color="E6D7A5"/>
        </w:pBdr>
      </w:pPr>
      <w:r>
        <w:t>RR-10. Clause anti-contournement</w:t>
      </w:r>
    </w:p>
    <w:p>
      <w:r>
        <w:t>Aucun responsable ne peut refuser l’inscription d’un risque au registre au motif que le risque serait politiquement embarrassant ou administrativement gênant.</w:t>
      </w:r>
    </w:p>
    <w:p>
      <w:pPr>
        <w:pStyle w:val="Heading1"/>
      </w:pPr>
      <w:r>
        <w:t>Matrice de gestion des risques résiduels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F1F1F"/>
          </w:tcPr>
          <w:p>
            <w:pPr>
              <w:spacing w:after="0" w:line="240" w:lineRule="auto"/>
            </w:pPr>
            <w:r/>
            <w:r>
              <w:rPr>
                <w:rFonts w:ascii="Arial" w:hAnsi="Arial" w:eastAsia="Arial"/>
                <w:b/>
                <w:color w:val="FFFFFF"/>
                <w:sz w:val="15"/>
              </w:rPr>
              <w:t>Étape</w:t>
            </w:r>
          </w:p>
        </w:tc>
        <w:tc>
          <w:tcPr>
            <w:tcW w:type="dxa" w:w="3427"/>
            <w:shd w:fill="1F1F1F"/>
          </w:tcPr>
          <w:p>
            <w:pPr>
              <w:spacing w:after="0" w:line="240" w:lineRule="auto"/>
            </w:pPr>
            <w:r/>
            <w:r>
              <w:rPr>
                <w:rFonts w:ascii="Arial" w:hAnsi="Arial" w:eastAsia="Arial"/>
                <w:b/>
                <w:color w:val="FFFFFF"/>
                <w:sz w:val="15"/>
              </w:rPr>
              <w:t>Question de contrôle</w:t>
            </w:r>
          </w:p>
        </w:tc>
        <w:tc>
          <w:tcPr>
            <w:tcW w:type="dxa" w:w="3427"/>
            <w:shd w:fill="1F1F1F"/>
          </w:tcPr>
          <w:p>
            <w:pPr>
              <w:spacing w:after="0" w:line="240" w:lineRule="auto"/>
            </w:pPr>
            <w:r/>
            <w:r>
              <w:rPr>
                <w:rFonts w:ascii="Arial" w:hAnsi="Arial" w:eastAsia="Arial"/>
                <w:b/>
                <w:color w:val="FFFFFF"/>
                <w:sz w:val="15"/>
              </w:rPr>
              <w:t>Sortie attendue</w:t>
            </w:r>
          </w:p>
        </w:tc>
      </w:tr>
      <w:tr>
        <w:tc>
          <w:tcPr>
            <w:tcW w:type="dxa" w:w="3427"/>
            <w:vAlign w:val="top"/>
          </w:tcPr>
          <w:p>
            <w:pPr>
              <w:spacing w:after="0" w:line="240" w:lineRule="auto"/>
            </w:pPr>
            <w:r/>
            <w:r>
              <w:rPr>
                <w:rFonts w:ascii="Arial" w:hAnsi="Arial" w:eastAsia="Arial"/>
                <w:b w:val="0"/>
                <w:sz w:val="14"/>
              </w:rPr>
              <w:t>Identification</w:t>
            </w:r>
          </w:p>
        </w:tc>
        <w:tc>
          <w:tcPr>
            <w:tcW w:type="dxa" w:w="3427"/>
            <w:vAlign w:val="top"/>
          </w:tcPr>
          <w:p>
            <w:pPr>
              <w:spacing w:after="0" w:line="240" w:lineRule="auto"/>
            </w:pPr>
            <w:r/>
            <w:r>
              <w:rPr>
                <w:rFonts w:ascii="Arial" w:hAnsi="Arial" w:eastAsia="Arial"/>
                <w:b w:val="0"/>
                <w:sz w:val="14"/>
              </w:rPr>
              <w:t>Quel événement, pratique ou faille pourrait nuire au système?</w:t>
            </w:r>
          </w:p>
        </w:tc>
        <w:tc>
          <w:tcPr>
            <w:tcW w:type="dxa" w:w="3427"/>
            <w:vAlign w:val="top"/>
          </w:tcPr>
          <w:p>
            <w:pPr>
              <w:spacing w:after="0" w:line="240" w:lineRule="auto"/>
            </w:pPr>
            <w:r/>
            <w:r>
              <w:rPr>
                <w:rFonts w:ascii="Arial" w:hAnsi="Arial" w:eastAsia="Arial"/>
                <w:b w:val="0"/>
                <w:sz w:val="14"/>
              </w:rPr>
              <w:t>Risque nommé clairement.</w:t>
            </w:r>
          </w:p>
        </w:tc>
      </w:tr>
      <w:tr>
        <w:tc>
          <w:tcPr>
            <w:tcW w:type="dxa" w:w="3427"/>
            <w:vAlign w:val="top"/>
            <w:shd w:fill="FBF8EF"/>
          </w:tcPr>
          <w:p>
            <w:pPr>
              <w:spacing w:after="0" w:line="240" w:lineRule="auto"/>
            </w:pPr>
            <w:r/>
            <w:r>
              <w:rPr>
                <w:rFonts w:ascii="Arial" w:hAnsi="Arial" w:eastAsia="Arial"/>
                <w:b w:val="0"/>
                <w:sz w:val="14"/>
              </w:rPr>
              <w:t>Qualification</w:t>
            </w:r>
          </w:p>
        </w:tc>
        <w:tc>
          <w:tcPr>
            <w:tcW w:type="dxa" w:w="3427"/>
            <w:vAlign w:val="top"/>
            <w:shd w:fill="FBF8EF"/>
          </w:tcPr>
          <w:p>
            <w:pPr>
              <w:spacing w:after="0" w:line="240" w:lineRule="auto"/>
            </w:pPr>
            <w:r/>
            <w:r>
              <w:rPr>
                <w:rFonts w:ascii="Arial" w:hAnsi="Arial" w:eastAsia="Arial"/>
                <w:b w:val="0"/>
                <w:sz w:val="14"/>
              </w:rPr>
              <w:t>Quel domaine, quelle norme et quel acteur sont touchés?</w:t>
            </w:r>
          </w:p>
        </w:tc>
        <w:tc>
          <w:tcPr>
            <w:tcW w:type="dxa" w:w="3427"/>
            <w:vAlign w:val="top"/>
            <w:shd w:fill="FBF8EF"/>
          </w:tcPr>
          <w:p>
            <w:pPr>
              <w:spacing w:after="0" w:line="240" w:lineRule="auto"/>
            </w:pPr>
            <w:r/>
            <w:r>
              <w:rPr>
                <w:rFonts w:ascii="Arial" w:hAnsi="Arial" w:eastAsia="Arial"/>
                <w:b w:val="0"/>
                <w:sz w:val="14"/>
              </w:rPr>
              <w:t>Catégorie et source normative.</w:t>
            </w:r>
          </w:p>
        </w:tc>
      </w:tr>
      <w:tr>
        <w:tc>
          <w:tcPr>
            <w:tcW w:type="dxa" w:w="3427"/>
            <w:vAlign w:val="top"/>
          </w:tcPr>
          <w:p>
            <w:pPr>
              <w:spacing w:after="0" w:line="240" w:lineRule="auto"/>
            </w:pPr>
            <w:r/>
            <w:r>
              <w:rPr>
                <w:rFonts w:ascii="Arial" w:hAnsi="Arial" w:eastAsia="Arial"/>
                <w:b w:val="0"/>
                <w:sz w:val="14"/>
              </w:rPr>
              <w:t>Évaluation</w:t>
            </w:r>
          </w:p>
        </w:tc>
        <w:tc>
          <w:tcPr>
            <w:tcW w:type="dxa" w:w="3427"/>
            <w:vAlign w:val="top"/>
          </w:tcPr>
          <w:p>
            <w:pPr>
              <w:spacing w:after="0" w:line="240" w:lineRule="auto"/>
            </w:pPr>
            <w:r/>
            <w:r>
              <w:rPr>
                <w:rFonts w:ascii="Arial" w:hAnsi="Arial" w:eastAsia="Arial"/>
                <w:b w:val="0"/>
                <w:sz w:val="14"/>
              </w:rPr>
              <w:t>Quelle probabilité, quelle gravité et quelle urgence?</w:t>
            </w:r>
          </w:p>
        </w:tc>
        <w:tc>
          <w:tcPr>
            <w:tcW w:type="dxa" w:w="3427"/>
            <w:vAlign w:val="top"/>
          </w:tcPr>
          <w:p>
            <w:pPr>
              <w:spacing w:after="0" w:line="240" w:lineRule="auto"/>
            </w:pPr>
            <w:r/>
            <w:r>
              <w:rPr>
                <w:rFonts w:ascii="Arial" w:hAnsi="Arial" w:eastAsia="Arial"/>
                <w:b w:val="0"/>
                <w:sz w:val="14"/>
              </w:rPr>
              <w:t>Niveau résiduel classé.</w:t>
            </w:r>
          </w:p>
        </w:tc>
      </w:tr>
      <w:tr>
        <w:tc>
          <w:tcPr>
            <w:tcW w:type="dxa" w:w="3427"/>
            <w:vAlign w:val="top"/>
            <w:shd w:fill="FBF8EF"/>
          </w:tcPr>
          <w:p>
            <w:pPr>
              <w:spacing w:after="0" w:line="240" w:lineRule="auto"/>
            </w:pPr>
            <w:r/>
            <w:r>
              <w:rPr>
                <w:rFonts w:ascii="Arial" w:hAnsi="Arial" w:eastAsia="Arial"/>
                <w:b w:val="0"/>
                <w:sz w:val="14"/>
              </w:rPr>
              <w:t>Correctif</w:t>
            </w:r>
          </w:p>
        </w:tc>
        <w:tc>
          <w:tcPr>
            <w:tcW w:type="dxa" w:w="3427"/>
            <w:vAlign w:val="top"/>
            <w:shd w:fill="FBF8EF"/>
          </w:tcPr>
          <w:p>
            <w:pPr>
              <w:spacing w:after="0" w:line="240" w:lineRule="auto"/>
            </w:pPr>
            <w:r/>
            <w:r>
              <w:rPr>
                <w:rFonts w:ascii="Arial" w:hAnsi="Arial" w:eastAsia="Arial"/>
                <w:b w:val="0"/>
                <w:sz w:val="14"/>
              </w:rPr>
              <w:t>Quelle mesure réduit ou neutralise le risque?</w:t>
            </w:r>
          </w:p>
        </w:tc>
        <w:tc>
          <w:tcPr>
            <w:tcW w:type="dxa" w:w="3427"/>
            <w:vAlign w:val="top"/>
            <w:shd w:fill="FBF8EF"/>
          </w:tcPr>
          <w:p>
            <w:pPr>
              <w:spacing w:after="0" w:line="240" w:lineRule="auto"/>
            </w:pPr>
            <w:r/>
            <w:r>
              <w:rPr>
                <w:rFonts w:ascii="Arial" w:hAnsi="Arial" w:eastAsia="Arial"/>
                <w:b w:val="0"/>
                <w:sz w:val="14"/>
              </w:rPr>
              <w:t>Plan de correction.</w:t>
            </w:r>
          </w:p>
        </w:tc>
      </w:tr>
      <w:tr>
        <w:tc>
          <w:tcPr>
            <w:tcW w:type="dxa" w:w="3427"/>
            <w:vAlign w:val="top"/>
          </w:tcPr>
          <w:p>
            <w:pPr>
              <w:spacing w:after="0" w:line="240" w:lineRule="auto"/>
            </w:pPr>
            <w:r/>
            <w:r>
              <w:rPr>
                <w:rFonts w:ascii="Arial" w:hAnsi="Arial" w:eastAsia="Arial"/>
                <w:b w:val="0"/>
                <w:sz w:val="14"/>
              </w:rPr>
              <w:t>Responsable</w:t>
            </w:r>
          </w:p>
        </w:tc>
        <w:tc>
          <w:tcPr>
            <w:tcW w:type="dxa" w:w="3427"/>
            <w:vAlign w:val="top"/>
          </w:tcPr>
          <w:p>
            <w:pPr>
              <w:spacing w:after="0" w:line="240" w:lineRule="auto"/>
            </w:pPr>
            <w:r/>
            <w:r>
              <w:rPr>
                <w:rFonts w:ascii="Arial" w:hAnsi="Arial" w:eastAsia="Arial"/>
                <w:b w:val="0"/>
                <w:sz w:val="14"/>
              </w:rPr>
              <w:t>Qui doit agir et rendre compte?</w:t>
            </w:r>
          </w:p>
        </w:tc>
        <w:tc>
          <w:tcPr>
            <w:tcW w:type="dxa" w:w="3427"/>
            <w:vAlign w:val="top"/>
          </w:tcPr>
          <w:p>
            <w:pPr>
              <w:spacing w:after="0" w:line="240" w:lineRule="auto"/>
            </w:pPr>
            <w:r/>
            <w:r>
              <w:rPr>
                <w:rFonts w:ascii="Arial" w:hAnsi="Arial" w:eastAsia="Arial"/>
                <w:b w:val="0"/>
                <w:sz w:val="14"/>
              </w:rPr>
              <w:t>Instance désignée.</w:t>
            </w:r>
          </w:p>
        </w:tc>
      </w:tr>
      <w:tr>
        <w:tc>
          <w:tcPr>
            <w:tcW w:type="dxa" w:w="3427"/>
            <w:vAlign w:val="top"/>
            <w:shd w:fill="FBF8EF"/>
          </w:tcPr>
          <w:p>
            <w:pPr>
              <w:spacing w:after="0" w:line="240" w:lineRule="auto"/>
            </w:pPr>
            <w:r/>
            <w:r>
              <w:rPr>
                <w:rFonts w:ascii="Arial" w:hAnsi="Arial" w:eastAsia="Arial"/>
                <w:b w:val="0"/>
                <w:sz w:val="14"/>
              </w:rPr>
              <w:t>Preuve</w:t>
            </w:r>
          </w:p>
        </w:tc>
        <w:tc>
          <w:tcPr>
            <w:tcW w:type="dxa" w:w="3427"/>
            <w:vAlign w:val="top"/>
            <w:shd w:fill="FBF8EF"/>
          </w:tcPr>
          <w:p>
            <w:pPr>
              <w:spacing w:after="0" w:line="240" w:lineRule="auto"/>
            </w:pPr>
            <w:r/>
            <w:r>
              <w:rPr>
                <w:rFonts w:ascii="Arial" w:hAnsi="Arial" w:eastAsia="Arial"/>
                <w:b w:val="0"/>
                <w:sz w:val="14"/>
              </w:rPr>
              <w:t>Comment prouver que le correctif fonctionne?</w:t>
            </w:r>
          </w:p>
        </w:tc>
        <w:tc>
          <w:tcPr>
            <w:tcW w:type="dxa" w:w="3427"/>
            <w:vAlign w:val="top"/>
            <w:shd w:fill="FBF8EF"/>
          </w:tcPr>
          <w:p>
            <w:pPr>
              <w:spacing w:after="0" w:line="240" w:lineRule="auto"/>
            </w:pPr>
            <w:r/>
            <w:r>
              <w:rPr>
                <w:rFonts w:ascii="Arial" w:hAnsi="Arial" w:eastAsia="Arial"/>
                <w:b w:val="0"/>
                <w:sz w:val="14"/>
              </w:rPr>
              <w:t>Indicateur et document de suivi.</w:t>
            </w:r>
          </w:p>
        </w:tc>
      </w:tr>
      <w:tr>
        <w:tc>
          <w:tcPr>
            <w:tcW w:type="dxa" w:w="3427"/>
            <w:vAlign w:val="top"/>
          </w:tcPr>
          <w:p>
            <w:pPr>
              <w:spacing w:after="0" w:line="240" w:lineRule="auto"/>
            </w:pPr>
            <w:r/>
            <w:r>
              <w:rPr>
                <w:rFonts w:ascii="Arial" w:hAnsi="Arial" w:eastAsia="Arial"/>
                <w:b w:val="0"/>
                <w:sz w:val="14"/>
              </w:rPr>
              <w:t>Révision</w:t>
            </w:r>
          </w:p>
        </w:tc>
        <w:tc>
          <w:tcPr>
            <w:tcW w:type="dxa" w:w="3427"/>
            <w:vAlign w:val="top"/>
          </w:tcPr>
          <w:p>
            <w:pPr>
              <w:spacing w:after="0" w:line="240" w:lineRule="auto"/>
            </w:pPr>
            <w:r/>
            <w:r>
              <w:rPr>
                <w:rFonts w:ascii="Arial" w:hAnsi="Arial" w:eastAsia="Arial"/>
                <w:b w:val="0"/>
                <w:sz w:val="14"/>
              </w:rPr>
              <w:t>Quand réévaluer le risque?</w:t>
            </w:r>
          </w:p>
        </w:tc>
        <w:tc>
          <w:tcPr>
            <w:tcW w:type="dxa" w:w="3427"/>
            <w:vAlign w:val="top"/>
          </w:tcPr>
          <w:p>
            <w:pPr>
              <w:spacing w:after="0" w:line="240" w:lineRule="auto"/>
            </w:pPr>
            <w:r/>
            <w:r>
              <w:rPr>
                <w:rFonts w:ascii="Arial" w:hAnsi="Arial" w:eastAsia="Arial"/>
                <w:b w:val="0"/>
                <w:sz w:val="14"/>
              </w:rPr>
              <w:t>Échéance de contrôle.</w:t>
            </w:r>
          </w:p>
        </w:tc>
      </w:tr>
    </w:tbl>
    <w:p/>
    <w:p>
      <w:pPr>
        <w:pStyle w:val="Heading1"/>
      </w:pPr>
      <w:r>
        <w:t>PARTIE II - RISQUES DÉMOCRATIQUES ET ÉLECTORAUX</w:t>
      </w:r>
    </w:p>
    <w:p>
      <w:pPr>
        <w:pStyle w:val="ArticleTitleNova"/>
        <w:pBdr>
          <w:bottom w:val="single" w:sz="8" w:space="1" w:color="E6D7A5"/>
        </w:pBdr>
      </w:pPr>
      <w:r>
        <w:t>RR-11. Capture de l’autorité électorale</w:t>
      </w:r>
    </w:p>
    <w:p>
      <w:r>
        <w:t>Risque qu’un gouvernement tente d’influencer l’autorité électorale par budget, nomination, pression politique ou réorganisation administrative. Correctif : nomination indépendante, budget protégé, mandat fixe, audits publics et protection constitutionnelle.</w:t>
      </w:r>
    </w:p>
    <w:p>
      <w:pPr>
        <w:pStyle w:val="ArticleTitleNova"/>
        <w:pBdr>
          <w:bottom w:val="single" w:sz="8" w:space="1" w:color="E6D7A5"/>
        </w:pBdr>
      </w:pPr>
      <w:r>
        <w:t>RR-12. Modification opportuniste des règles électorales</w:t>
      </w:r>
    </w:p>
    <w:p>
      <w:r>
        <w:t>Risque qu’un gouvernement modifie les règles du vote pour favoriser son maintien. Correctif : délai de stabilité, consultation publique, examen indépendant et référendum pour toute réforme majeure.</w:t>
      </w:r>
    </w:p>
    <w:p>
      <w:pPr>
        <w:pStyle w:val="ArticleTitleNova"/>
        <w:pBdr>
          <w:bottom w:val="single" w:sz="8" w:space="1" w:color="E6D7A5"/>
        </w:pBdr>
      </w:pPr>
      <w:r>
        <w:t>RR-13. Technologie de vote non vérifiable</w:t>
      </w:r>
    </w:p>
    <w:p>
      <w:r>
        <w:t>Risque qu’un système de vote numérique réduise la confiance, la confidentialité ou la vérifiabilité. Correctif : preuve indépendante, audit externe, source contrôlable, trace vérifiable et maintien d’une option non numérique.</w:t>
      </w:r>
    </w:p>
    <w:p>
      <w:pPr>
        <w:pStyle w:val="ArticleTitleNova"/>
        <w:pBdr>
          <w:bottom w:val="single" w:sz="8" w:space="1" w:color="E6D7A5"/>
        </w:pBdr>
      </w:pPr>
      <w:r>
        <w:t>RR-14. Acceptation sociale utilisée contre le vote</w:t>
      </w:r>
    </w:p>
    <w:p>
      <w:r>
        <w:t>Risque qu’une acceptation sociale floue remplace un vote requis. Correctif : préciser dans les normes que les décisions fondamentales exigent un vote ou référendum clair.</w:t>
      </w:r>
    </w:p>
    <w:p>
      <w:pPr>
        <w:pStyle w:val="ArticleTitleNova"/>
        <w:pBdr>
          <w:bottom w:val="single" w:sz="8" w:space="1" w:color="E6D7A5"/>
        </w:pBdr>
      </w:pPr>
      <w:r>
        <w:t>RR-15. Financement politique opaque</w:t>
      </w:r>
    </w:p>
    <w:p>
      <w:r>
        <w:t>Risque d’influence cachée par prête-noms, structures parallèles ou dépenses tierces. Correctif : registre, plafonds, audits, sanctions, traçabilité et publication.</w:t>
      </w:r>
    </w:p>
    <w:p>
      <w:pPr>
        <w:pStyle w:val="ArticleTitleNova"/>
        <w:pBdr>
          <w:bottom w:val="single" w:sz="8" w:space="1" w:color="E6D7A5"/>
        </w:pBdr>
      </w:pPr>
      <w:r>
        <w:t>RR-16. Désinformation organisée</w:t>
      </w:r>
    </w:p>
    <w:p>
      <w:r>
        <w:t>Risque d’opérations coordonnées pour manipuler le peuple sans créer un ministère de la vérité. Correctif : transparence des sources, archives des publicités politiques et information publique vérifiable.</w:t>
      </w:r>
    </w:p>
    <w:p>
      <w:pPr>
        <w:pStyle w:val="ArticleTitleNova"/>
        <w:pBdr>
          <w:bottom w:val="single" w:sz="8" w:space="1" w:color="E6D7A5"/>
        </w:pBdr>
      </w:pPr>
      <w:r>
        <w:t>RR-17. Révocation utilisée comme arme</w:t>
      </w:r>
    </w:p>
    <w:p>
      <w:r>
        <w:t>Risque d’abus du mécanisme de révocation contre des élus pour des motifs frivoles. Correctif : seuils, motifs sérieux, contrôle indépendant et procédure équitable.</w:t>
      </w:r>
    </w:p>
    <w:p>
      <w:pPr>
        <w:pStyle w:val="ArticleTitleNova"/>
        <w:pBdr>
          <w:bottom w:val="single" w:sz="8" w:space="1" w:color="E6D7A5"/>
        </w:pBdr>
      </w:pPr>
      <w:r>
        <w:t>RR-18. Référendum ambigu</w:t>
      </w:r>
    </w:p>
    <w:p>
      <w:r>
        <w:t>Risque qu’une question référendaire soit trop floue. Correctif : contrôle indépendant de clarté, information équilibrée et délais suffisants.</w:t>
      </w:r>
    </w:p>
    <w:p>
      <w:pPr>
        <w:pStyle w:val="ArticleTitleNova"/>
        <w:pBdr>
          <w:bottom w:val="single" w:sz="8" w:space="1" w:color="E6D7A5"/>
        </w:pBdr>
      </w:pPr>
      <w:r>
        <w:t>RR-19. Faible participation citoyenne</w:t>
      </w:r>
    </w:p>
    <w:p>
      <w:r>
        <w:t>Risque que les outils de démocratie directe soient peu utilisés. Correctif : éducation civique, accès simple, information citoyenne et mécanismes régionaux.</w:t>
      </w:r>
    </w:p>
    <w:p>
      <w:pPr>
        <w:pStyle w:val="ArticleTitleNova"/>
        <w:pBdr>
          <w:bottom w:val="single" w:sz="8" w:space="1" w:color="E6D7A5"/>
        </w:pBdr>
      </w:pPr>
      <w:r>
        <w:t>RR-20. Non-respect d’un résultat clair</w:t>
      </w:r>
    </w:p>
    <w:p>
      <w:r>
        <w:t>Risque qu’un gouvernement cherche à contourner un résultat référendaire ou électoral. Correctif : obligation constitutionnelle de respect, rapport public et recours institutionnel.</w:t>
      </w:r>
    </w:p>
    <w:p>
      <w:pPr>
        <w:pStyle w:val="Heading1"/>
      </w:pPr>
      <w:r>
        <w:t>PARTIE III - RISQUES CONSTITUTIONNELS ET INSTITUTIONNELS</w:t>
      </w:r>
    </w:p>
    <w:p>
      <w:pPr>
        <w:pStyle w:val="ArticleTitleNova"/>
        <w:pBdr>
          <w:bottom w:val="single" w:sz="8" w:space="1" w:color="E6D7A5"/>
        </w:pBdr>
      </w:pPr>
      <w:r>
        <w:t>RR-21. Contournement par loi ordinaire</w:t>
      </w:r>
    </w:p>
    <w:p>
      <w:r>
        <w:t>Risque qu’une loi ordinaire neutralise une garantie supérieure. Correctif : contrôle de conformité, table de concordance et primauté constitutionnelle.</w:t>
      </w:r>
    </w:p>
    <w:p>
      <w:pPr>
        <w:pStyle w:val="ArticleTitleNova"/>
        <w:pBdr>
          <w:bottom w:val="single" w:sz="8" w:space="1" w:color="E6D7A5"/>
        </w:pBdr>
      </w:pPr>
      <w:r>
        <w:t>RR-22. Abus des pouvoirs d’urgence</w:t>
      </w:r>
    </w:p>
    <w:p>
      <w:r>
        <w:t>Risque que l’urgence devienne un mode permanent de gouvernement. Correctif : durée limitée, approbation parlementaire, contrôle judiciaire, publication et révision obligatoire.</w:t>
      </w:r>
    </w:p>
    <w:p>
      <w:pPr>
        <w:pStyle w:val="ArticleTitleNova"/>
        <w:pBdr>
          <w:bottom w:val="single" w:sz="8" w:space="1" w:color="E6D7A5"/>
        </w:pBdr>
      </w:pPr>
      <w:r>
        <w:t>RR-23. Capture des contre-pouvoirs</w:t>
      </w:r>
    </w:p>
    <w:p>
      <w:r>
        <w:t>Risque de nomination partisane des organes de contrôle. Correctif : comités indépendants, mandats fixes, incompatibilités et auditions publiques.</w:t>
      </w:r>
    </w:p>
    <w:p>
      <w:pPr>
        <w:pStyle w:val="ArticleTitleNova"/>
        <w:pBdr>
          <w:bottom w:val="single" w:sz="8" w:space="1" w:color="E6D7A5"/>
        </w:pBdr>
      </w:pPr>
      <w:r>
        <w:t>RR-24. Conflit entre normes</w:t>
      </w:r>
    </w:p>
    <w:p>
      <w:r>
        <w:t>Risque de contradiction entre Constitution, lois, règlements et directives. Correctif : mécanisme de concordance, hiérarchie normative et suspension des normes inférieures contradictoires.</w:t>
      </w:r>
    </w:p>
    <w:p>
      <w:pPr>
        <w:pStyle w:val="ArticleTitleNova"/>
        <w:pBdr>
          <w:bottom w:val="single" w:sz="8" w:space="1" w:color="E6D7A5"/>
        </w:pBdr>
      </w:pPr>
      <w:r>
        <w:t>RR-25. Concentration du pouvoir exécutif</w:t>
      </w:r>
    </w:p>
    <w:p>
      <w:r>
        <w:t>Risque que le gouvernement centralise les décisions au détriment du Parlement, des autorités indépendantes et des citoyens. Correctif : limites constitutionnelles, reddition de comptes et recours.</w:t>
      </w:r>
    </w:p>
    <w:p>
      <w:pPr>
        <w:pStyle w:val="ArticleTitleNova"/>
        <w:pBdr>
          <w:bottom w:val="single" w:sz="8" w:space="1" w:color="E6D7A5"/>
        </w:pBdr>
      </w:pPr>
      <w:r>
        <w:t>RR-26. Affaiblissement progressif des droits</w:t>
      </w:r>
    </w:p>
    <w:p>
      <w:r>
        <w:t>Risque de réduction graduelle des libertés par mesures techniques. Correctif : contrôle des effets cumulés, audit des restrictions et clause de proportionnalité.</w:t>
      </w:r>
    </w:p>
    <w:p>
      <w:pPr>
        <w:pStyle w:val="ArticleTitleNova"/>
        <w:pBdr>
          <w:bottom w:val="single" w:sz="8" w:space="1" w:color="E6D7A5"/>
        </w:pBdr>
      </w:pPr>
      <w:r>
        <w:t>RR-27. Instrumentalisation des tribunaux</w:t>
      </w:r>
    </w:p>
    <w:p>
      <w:r>
        <w:t>Risque de pressions politiques ou budgétaires sur la justice. Correctif : indépendance judiciaire protégée et transparence des ressources.</w:t>
      </w:r>
    </w:p>
    <w:p>
      <w:pPr>
        <w:pStyle w:val="ArticleTitleNova"/>
        <w:pBdr>
          <w:bottom w:val="single" w:sz="8" w:space="1" w:color="E6D7A5"/>
        </w:pBdr>
      </w:pPr>
      <w:r>
        <w:t>RR-28. Dérive centralisatrice</w:t>
      </w:r>
    </w:p>
    <w:p>
      <w:r>
        <w:t>Risque de retirer aux régions et municipalités leur capacité d’action légitime. Correctif : principe de subsidiarité et justification des centralisations.</w:t>
      </w:r>
    </w:p>
    <w:p>
      <w:pPr>
        <w:pStyle w:val="ArticleTitleNova"/>
        <w:pBdr>
          <w:bottom w:val="single" w:sz="8" w:space="1" w:color="E6D7A5"/>
        </w:pBdr>
      </w:pPr>
      <w:r>
        <w:t>RR-29. Modification opportuniste de la Constitution</w:t>
      </w:r>
    </w:p>
    <w:p>
      <w:r>
        <w:t>Risque qu’une majorité temporaire modifie les garanties fondamentales. Correctif : seuils renforcés, délai, information publique et référendum selon la matière.</w:t>
      </w:r>
    </w:p>
    <w:p>
      <w:pPr>
        <w:pStyle w:val="ArticleTitleNova"/>
        <w:pBdr>
          <w:bottom w:val="single" w:sz="8" w:space="1" w:color="E6D7A5"/>
        </w:pBdr>
      </w:pPr>
      <w:r>
        <w:t>RR-30. Vide institutionnel</w:t>
      </w:r>
    </w:p>
    <w:p>
      <w:r>
        <w:t>Risque qu’une réforme abolisse un mécanisme avant que son remplacement soit prêt. Correctif : continuité obligatoire et clauses transitoires.</w:t>
      </w:r>
    </w:p>
    <w:p>
      <w:pPr>
        <w:pStyle w:val="Heading1"/>
      </w:pPr>
      <w:r>
        <w:t>PARTIE IV - RISQUES ADMINISTRATIFS ET BUREAUCRATIQUES</w:t>
      </w:r>
    </w:p>
    <w:p>
      <w:pPr>
        <w:pStyle w:val="ArticleTitleNova"/>
        <w:pBdr>
          <w:bottom w:val="single" w:sz="8" w:space="1" w:color="E6D7A5"/>
        </w:pBdr>
      </w:pPr>
      <w:r>
        <w:t>RR-31. Directives parallèles</w:t>
      </w:r>
    </w:p>
    <w:p>
      <w:r>
        <w:t>Risque que l’administration contourne les lois par guides, formulaires ou directives non publiés. Correctif : publication obligatoire et contrôle des directives.</w:t>
      </w:r>
    </w:p>
    <w:p>
      <w:pPr>
        <w:pStyle w:val="ArticleTitleNova"/>
        <w:pBdr>
          <w:bottom w:val="single" w:sz="8" w:space="1" w:color="E6D7A5"/>
        </w:pBdr>
      </w:pPr>
      <w:r>
        <w:t>RR-32. Délais administratifs abusifs</w:t>
      </w:r>
    </w:p>
    <w:p>
      <w:r>
        <w:t>Risque que les droits soient neutralisés par l’attente. Correctif : délais maximums, silence administratif encadré et recours accéléré.</w:t>
      </w:r>
    </w:p>
    <w:p>
      <w:pPr>
        <w:pStyle w:val="ArticleTitleNova"/>
        <w:pBdr>
          <w:bottom w:val="single" w:sz="8" w:space="1" w:color="E6D7A5"/>
        </w:pBdr>
      </w:pPr>
      <w:r>
        <w:t>RR-33. Opacité des décisions</w:t>
      </w:r>
    </w:p>
    <w:p>
      <w:r>
        <w:t>Risque que les citoyens ne comprennent pas pourquoi une décision est prise. Correctif : motifs écrits, accès au dossier et droit de correction.</w:t>
      </w:r>
    </w:p>
    <w:p>
      <w:pPr>
        <w:pStyle w:val="ArticleTitleNova"/>
        <w:pBdr>
          <w:bottom w:val="single" w:sz="8" w:space="1" w:color="E6D7A5"/>
        </w:pBdr>
      </w:pPr>
      <w:r>
        <w:t>RR-34. Fragmentation des responsabilités</w:t>
      </w:r>
    </w:p>
    <w:p>
      <w:r>
        <w:t>Risque que chaque bureau renvoie le citoyen à un autre bureau. Correctif : responsable de dossier, guichet unique et traçabilité.</w:t>
      </w:r>
    </w:p>
    <w:p>
      <w:pPr>
        <w:pStyle w:val="ArticleTitleNova"/>
        <w:pBdr>
          <w:bottom w:val="single" w:sz="8" w:space="1" w:color="E6D7A5"/>
        </w:pBdr>
      </w:pPr>
      <w:r>
        <w:t>RR-35. Bureaucratie auto-protectrice</w:t>
      </w:r>
    </w:p>
    <w:p>
      <w:r>
        <w:t>Risque que l’appareil protège ses procédures contre l’intérêt public. Correctif : audit de simplification et indicateurs centrés sur le citoyen.</w:t>
      </w:r>
    </w:p>
    <w:p>
      <w:pPr>
        <w:pStyle w:val="ArticleTitleNova"/>
        <w:pBdr>
          <w:bottom w:val="single" w:sz="8" w:space="1" w:color="E6D7A5"/>
        </w:pBdr>
      </w:pPr>
      <w:r>
        <w:t>RR-36. Formulaires excessifs</w:t>
      </w:r>
    </w:p>
    <w:p>
      <w:r>
        <w:t>Risque que les formulaires deviennent des barrières. Correctif : révision annuelle, formulaire court par défaut et aide humaine.</w:t>
      </w:r>
    </w:p>
    <w:p>
      <w:pPr>
        <w:pStyle w:val="ArticleTitleNova"/>
        <w:pBdr>
          <w:bottom w:val="single" w:sz="8" w:space="1" w:color="E6D7A5"/>
        </w:pBdr>
      </w:pPr>
      <w:r>
        <w:t>RR-37. Externalisation irresponsable</w:t>
      </w:r>
    </w:p>
    <w:p>
      <w:r>
        <w:t>Risque que l’État délègue sans contrôle à des fournisseurs. Correctif : clauses de responsabilité, audit, réversibilité et propriété publique des données critiques.</w:t>
      </w:r>
    </w:p>
    <w:p>
      <w:pPr>
        <w:pStyle w:val="ArticleTitleNova"/>
        <w:pBdr>
          <w:bottom w:val="single" w:sz="8" w:space="1" w:color="E6D7A5"/>
        </w:pBdr>
      </w:pPr>
      <w:r>
        <w:t>RR-38. Absence de suivi des engagements</w:t>
      </w:r>
    </w:p>
    <w:p>
      <w:r>
        <w:t>Risque que les promesses disparaissent après adoption. Correctif : tableau de suivi public et rapport périodique.</w:t>
      </w:r>
    </w:p>
    <w:p>
      <w:pPr>
        <w:pStyle w:val="ArticleTitleNova"/>
        <w:pBdr>
          <w:bottom w:val="single" w:sz="8" w:space="1" w:color="E6D7A5"/>
        </w:pBdr>
      </w:pPr>
      <w:r>
        <w:t>RR-39. Perte de mémoire institutionnelle</w:t>
      </w:r>
    </w:p>
    <w:p>
      <w:r>
        <w:t>Risque que les documents et décisions soient mal archivés. Correctif : registre central et obligation d’archivage.</w:t>
      </w:r>
    </w:p>
    <w:p>
      <w:pPr>
        <w:pStyle w:val="ArticleTitleNova"/>
        <w:pBdr>
          <w:bottom w:val="single" w:sz="8" w:space="1" w:color="E6D7A5"/>
        </w:pBdr>
      </w:pPr>
      <w:r>
        <w:t>RR-40. Contournement par budget</w:t>
      </w:r>
    </w:p>
    <w:p>
      <w:r>
        <w:t>Risque de neutraliser une norme en refusant les moyens nécessaires. Correctif : analyse budgétaire et obligation de signalement.</w:t>
      </w:r>
    </w:p>
    <w:p>
      <w:pPr>
        <w:pStyle w:val="Heading1"/>
      </w:pPr>
      <w:r>
        <w:t>PARTIE V - RISQUES FINANCIERS, CONTRATS ET CORRUPTION</w:t>
      </w:r>
    </w:p>
    <w:p>
      <w:pPr>
        <w:pStyle w:val="ArticleTitleNova"/>
        <w:pBdr>
          <w:bottom w:val="single" w:sz="8" w:space="1" w:color="E6D7A5"/>
        </w:pBdr>
      </w:pPr>
      <w:r>
        <w:t>RR-41. Taxes cachées</w:t>
      </w:r>
    </w:p>
    <w:p>
      <w:r>
        <w:t>Risque que des frais remplacent l’impôt transparent. Correctif : inventaire, publication et justification des frais obligatoires.</w:t>
      </w:r>
    </w:p>
    <w:p>
      <w:pPr>
        <w:pStyle w:val="ArticleTitleNova"/>
        <w:pBdr>
          <w:bottom w:val="single" w:sz="8" w:space="1" w:color="E6D7A5"/>
        </w:pBdr>
      </w:pPr>
      <w:r>
        <w:t>RR-42. Dépenses de prestige</w:t>
      </w:r>
    </w:p>
    <w:p>
      <w:r>
        <w:t>Risque que des avantages politiques reviennent sous d’autres formes. Correctif : interdiction, publication et audit des dépenses.</w:t>
      </w:r>
    </w:p>
    <w:p>
      <w:pPr>
        <w:pStyle w:val="ArticleTitleNova"/>
        <w:pBdr>
          <w:bottom w:val="single" w:sz="8" w:space="1" w:color="E6D7A5"/>
        </w:pBdr>
      </w:pPr>
      <w:r>
        <w:t>RR-43. Contrats publics opaques</w:t>
      </w:r>
    </w:p>
    <w:p>
      <w:r>
        <w:t>Risque de contrats difficiles à suivre. Correctif : registre public, appels d’offres clairs et publication des modifications.</w:t>
      </w:r>
    </w:p>
    <w:p>
      <w:pPr>
        <w:pStyle w:val="ArticleTitleNova"/>
        <w:pBdr>
          <w:bottom w:val="single" w:sz="8" w:space="1" w:color="E6D7A5"/>
        </w:pBdr>
      </w:pPr>
      <w:r>
        <w:t>RR-44. Dépassements de coûts</w:t>
      </w:r>
    </w:p>
    <w:p>
      <w:r>
        <w:t>Risque de projets mal estimés ou mal contrôlés. Correctif : seuils d’alerte, audit indépendant et publication des dépassements.</w:t>
      </w:r>
    </w:p>
    <w:p>
      <w:pPr>
        <w:pStyle w:val="ArticleTitleNova"/>
        <w:pBdr>
          <w:bottom w:val="single" w:sz="8" w:space="1" w:color="E6D7A5"/>
        </w:pBdr>
      </w:pPr>
      <w:r>
        <w:t>RR-45. Collusion et favoritisme</w:t>
      </w:r>
    </w:p>
    <w:p>
      <w:r>
        <w:t>Risque de réseaux fermés autour des contrats publics. Correctif : exclusions, déclaration des bénéficiaires réels, sanctions et rotation des vérifications.</w:t>
      </w:r>
    </w:p>
    <w:p>
      <w:pPr>
        <w:pStyle w:val="ArticleTitleNova"/>
        <w:pBdr>
          <w:bottom w:val="single" w:sz="8" w:space="1" w:color="E6D7A5"/>
        </w:pBdr>
      </w:pPr>
      <w:r>
        <w:t>RR-46. Dette dissimulée</w:t>
      </w:r>
    </w:p>
    <w:p>
      <w:r>
        <w:t>Risque que des engagements hors bilan masquent la situation réelle. Correctif : bilan consolidé et budget citoyen.</w:t>
      </w:r>
    </w:p>
    <w:p>
      <w:pPr>
        <w:pStyle w:val="ArticleTitleNova"/>
        <w:pBdr>
          <w:bottom w:val="single" w:sz="8" w:space="1" w:color="E6D7A5"/>
        </w:pBdr>
      </w:pPr>
      <w:r>
        <w:t>RR-47. Subventions sans résultats</w:t>
      </w:r>
    </w:p>
    <w:p>
      <w:r>
        <w:t>Risque de financer des programmes sans impact. Correctif : objectifs mesurables, échéances et récupération lorsque prévu.</w:t>
      </w:r>
    </w:p>
    <w:p>
      <w:pPr>
        <w:pStyle w:val="ArticleTitleNova"/>
        <w:pBdr>
          <w:bottom w:val="single" w:sz="8" w:space="1" w:color="E6D7A5"/>
        </w:pBdr>
      </w:pPr>
      <w:r>
        <w:t>RR-48. Financement politique influent</w:t>
      </w:r>
    </w:p>
    <w:p>
      <w:r>
        <w:t>Risque que les donateurs orientent la politique. Correctif : transparence, plafonds et interdiction des contreparties.</w:t>
      </w:r>
    </w:p>
    <w:p>
      <w:pPr>
        <w:pStyle w:val="ArticleTitleNova"/>
        <w:pBdr>
          <w:bottom w:val="single" w:sz="8" w:space="1" w:color="E6D7A5"/>
        </w:pBdr>
      </w:pPr>
      <w:r>
        <w:t>RR-49. Dépenses extérieures non justifiées</w:t>
      </w:r>
    </w:p>
    <w:p>
      <w:r>
        <w:t>Risque d’utiliser l’argent des contribuables hors Québec sans intérêt public clair. Correctif : principe Québec d’abord et exceptions strictement justifiées.</w:t>
      </w:r>
    </w:p>
    <w:p>
      <w:pPr>
        <w:pStyle w:val="ArticleTitleNova"/>
        <w:pBdr>
          <w:bottom w:val="single" w:sz="8" w:space="1" w:color="E6D7A5"/>
        </w:pBdr>
      </w:pPr>
      <w:r>
        <w:t>RR-50. Incapacité de récupérer les sommes perdues</w:t>
      </w:r>
    </w:p>
    <w:p>
      <w:r>
        <w:t>Risque que les erreurs coûtent sans conséquence. Correctif : mécanisme de recouvrement, responsabilité et poursuites lorsque justifié.</w:t>
      </w:r>
    </w:p>
    <w:p>
      <w:pPr>
        <w:pStyle w:val="Heading1"/>
      </w:pPr>
      <w:r>
        <w:t>PARTIE VI - RISQUES DE SERVICES ESSENTIELS</w:t>
      </w:r>
    </w:p>
    <w:p>
      <w:pPr>
        <w:pStyle w:val="ArticleTitleNova"/>
        <w:pBdr>
          <w:bottom w:val="single" w:sz="8" w:space="1" w:color="E6D7A5"/>
        </w:pBdr>
      </w:pPr>
      <w:r>
        <w:t>RR-51. Rupture de continuité</w:t>
      </w:r>
    </w:p>
    <w:p>
      <w:r>
        <w:t>Risque qu’un service essentiel ne puisse fonctionner en crise. Correctif : plans de continuité testés et réserves opérationnelles.</w:t>
      </w:r>
    </w:p>
    <w:p>
      <w:pPr>
        <w:pStyle w:val="ArticleTitleNova"/>
        <w:pBdr>
          <w:bottom w:val="single" w:sz="8" w:space="1" w:color="E6D7A5"/>
        </w:pBdr>
      </w:pPr>
      <w:r>
        <w:t>RR-52. Délais en santé</w:t>
      </w:r>
    </w:p>
    <w:p>
      <w:r>
        <w:t>Risque que la publication des délais ne suffise pas à améliorer l’accès. Correctif : responsables identifiés, seuils de correction et suivi mensuel.</w:t>
      </w:r>
    </w:p>
    <w:p>
      <w:pPr>
        <w:pStyle w:val="ArticleTitleNova"/>
        <w:pBdr>
          <w:bottom w:val="single" w:sz="8" w:space="1" w:color="E6D7A5"/>
        </w:pBdr>
      </w:pPr>
      <w:r>
        <w:t>RR-53. Accès régional inégal</w:t>
      </w:r>
    </w:p>
    <w:p>
      <w:r>
        <w:t>Risque que les régions demeurent moins servies. Correctif : indicateurs régionaux et budgets de correction ciblés.</w:t>
      </w:r>
    </w:p>
    <w:p>
      <w:pPr>
        <w:pStyle w:val="ArticleTitleNova"/>
        <w:pBdr>
          <w:bottom w:val="single" w:sz="8" w:space="1" w:color="E6D7A5"/>
        </w:pBdr>
      </w:pPr>
      <w:r>
        <w:t>RR-54. Épuisement du personnel</w:t>
      </w:r>
    </w:p>
    <w:p>
      <w:r>
        <w:t>Risque que les réformes augmentent la pression sur les travailleurs. Correctif : volontariat réel, charge suivie et simplification clinique.</w:t>
      </w:r>
    </w:p>
    <w:p>
      <w:pPr>
        <w:pStyle w:val="ArticleTitleNova"/>
        <w:pBdr>
          <w:bottom w:val="single" w:sz="8" w:space="1" w:color="E6D7A5"/>
        </w:pBdr>
      </w:pPr>
      <w:r>
        <w:t>RR-55. Justice trop lente</w:t>
      </w:r>
    </w:p>
    <w:p>
      <w:r>
        <w:t>Risque que les droits soient théoriques. Correctif : délais judiciaires publics, ressources et procédures simplifiées.</w:t>
      </w:r>
    </w:p>
    <w:p>
      <w:pPr>
        <w:pStyle w:val="ArticleTitleNova"/>
        <w:pBdr>
          <w:bottom w:val="single" w:sz="8" w:space="1" w:color="E6D7A5"/>
        </w:pBdr>
      </w:pPr>
      <w:r>
        <w:t>RR-56. Logement insuffisant</w:t>
      </w:r>
    </w:p>
    <w:p>
      <w:r>
        <w:t>Risque que les politiques soient neutralisées par manque d’offre. Correctif : délais de permis, libération de projets et suivi de la capacité d’accueil.</w:t>
      </w:r>
    </w:p>
    <w:p>
      <w:pPr>
        <w:pStyle w:val="ArticleTitleNova"/>
        <w:pBdr>
          <w:bottom w:val="single" w:sz="8" w:space="1" w:color="E6D7A5"/>
        </w:pBdr>
      </w:pPr>
      <w:r>
        <w:t>RR-57. Infrastructures critiques vieillissantes</w:t>
      </w:r>
    </w:p>
    <w:p>
      <w:r>
        <w:t>Risque de ruptures coûteuses. Correctif : audit, priorité à l’entretien et transparence du carnet d’actifs.</w:t>
      </w:r>
    </w:p>
    <w:p>
      <w:pPr>
        <w:pStyle w:val="ArticleTitleNova"/>
        <w:pBdr>
          <w:bottom w:val="single" w:sz="8" w:space="1" w:color="E6D7A5"/>
        </w:pBdr>
      </w:pPr>
      <w:r>
        <w:t>RR-58. Dépendance énergétique</w:t>
      </w:r>
    </w:p>
    <w:p>
      <w:r>
        <w:t>Risque que la capacité énergétique limite le développement. Correctif : plan de capacité, sobriété des usages publics et priorisation stratégique.</w:t>
      </w:r>
    </w:p>
    <w:p>
      <w:pPr>
        <w:pStyle w:val="ArticleTitleNova"/>
        <w:pBdr>
          <w:bottom w:val="single" w:sz="8" w:space="1" w:color="E6D7A5"/>
        </w:pBdr>
      </w:pPr>
      <w:r>
        <w:t>RR-59. Sécurité civile insuffisante</w:t>
      </w:r>
    </w:p>
    <w:p>
      <w:r>
        <w:t>Risque de mauvaise réponse aux crises. Correctif : exercices, réserves et coordination interinstitutionnelle.</w:t>
      </w:r>
    </w:p>
    <w:p>
      <w:pPr>
        <w:pStyle w:val="ArticleTitleNova"/>
        <w:pBdr>
          <w:bottom w:val="single" w:sz="8" w:space="1" w:color="E6D7A5"/>
        </w:pBdr>
      </w:pPr>
      <w:r>
        <w:t>RR-60. Exclusion numérique des services</w:t>
      </w:r>
    </w:p>
    <w:p>
      <w:r>
        <w:t>Risque que le tout numérique exclue des citoyens. Correctif : accès humain et option non numérique pour services essentiels.</w:t>
      </w:r>
    </w:p>
    <w:p>
      <w:pPr>
        <w:pStyle w:val="Heading1"/>
      </w:pPr>
      <w:r>
        <w:t>PARTIE VII - RISQUES SOCIAUX, IMMIGRATION, FRANÇAIS ET LIBERTÉS</w:t>
      </w:r>
    </w:p>
    <w:p>
      <w:pPr>
        <w:pStyle w:val="ArticleTitleNova"/>
        <w:pBdr>
          <w:bottom w:val="single" w:sz="8" w:space="1" w:color="E6D7A5"/>
        </w:pBdr>
      </w:pPr>
      <w:r>
        <w:t>RR-61. Capacité d’accueil surestimée</w:t>
      </w:r>
    </w:p>
    <w:p>
      <w:r>
        <w:t>Risque de seuils d’immigration déconnectés du logement et des services. Correctif : seuils liés à la capacité réelle et publication des indicateurs.</w:t>
      </w:r>
    </w:p>
    <w:p>
      <w:pPr>
        <w:pStyle w:val="ArticleTitleNova"/>
        <w:pBdr>
          <w:bottom w:val="single" w:sz="8" w:space="1" w:color="E6D7A5"/>
        </w:pBdr>
      </w:pPr>
      <w:r>
        <w:t>RR-62. Francisation insuffisante</w:t>
      </w:r>
    </w:p>
    <w:p>
      <w:r>
        <w:t>Risque que les nouveaux arrivants ne puissent participer pleinement en français. Correctif : parcours mesurable, ressources et obligations adaptées.</w:t>
      </w:r>
    </w:p>
    <w:p>
      <w:pPr>
        <w:pStyle w:val="ArticleTitleNova"/>
        <w:pBdr>
          <w:bottom w:val="single" w:sz="8" w:space="1" w:color="E6D7A5"/>
        </w:pBdr>
      </w:pPr>
      <w:r>
        <w:t>RR-63. Tensions sociales</w:t>
      </w:r>
    </w:p>
    <w:p>
      <w:r>
        <w:t>Risque que les politiques mal expliquées créent polarisation ou méfiance. Correctif : communication claire, vote lorsque requis et respect des citoyens.</w:t>
      </w:r>
    </w:p>
    <w:p>
      <w:pPr>
        <w:pStyle w:val="ArticleTitleNova"/>
        <w:pBdr>
          <w:bottom w:val="single" w:sz="8" w:space="1" w:color="E6D7A5"/>
        </w:pBdr>
      </w:pPr>
      <w:r>
        <w:t>RR-64. Atteinte à la liberté de conscience</w:t>
      </w:r>
    </w:p>
    <w:p>
      <w:r>
        <w:t>Risque que l’État impose une pensée obligatoire. Correctif : clause de liberté de conscience et contrôle des politiques idéologiques.</w:t>
      </w:r>
    </w:p>
    <w:p>
      <w:pPr>
        <w:pStyle w:val="ArticleTitleNova"/>
        <w:pBdr>
          <w:bottom w:val="single" w:sz="8" w:space="1" w:color="E6D7A5"/>
        </w:pBdr>
      </w:pPr>
      <w:r>
        <w:t>RR-65. Discrimination ou traitement injuste</w:t>
      </w:r>
    </w:p>
    <w:p>
      <w:r>
        <w:t>Risque que des mesures légitimes soient appliquées de façon abusive. Correctif : règles claires, recours et formation.</w:t>
      </w:r>
    </w:p>
    <w:p>
      <w:pPr>
        <w:pStyle w:val="ArticleTitleNova"/>
        <w:pBdr>
          <w:bottom w:val="single" w:sz="8" w:space="1" w:color="E6D7A5"/>
        </w:pBdr>
      </w:pPr>
      <w:r>
        <w:t>RR-66. Affaiblissement du français dans l’État</w:t>
      </w:r>
    </w:p>
    <w:p>
      <w:r>
        <w:t>Risque que les services contournent l’usage normal du français. Correctif : audits linguistiques et obligations institutionnelles.</w:t>
      </w:r>
    </w:p>
    <w:p>
      <w:pPr>
        <w:pStyle w:val="ArticleTitleNova"/>
        <w:pBdr>
          <w:bottom w:val="single" w:sz="8" w:space="1" w:color="E6D7A5"/>
        </w:pBdr>
      </w:pPr>
      <w:r>
        <w:t>RR-67. Perte de confiance des citoyens</w:t>
      </w:r>
    </w:p>
    <w:p>
      <w:r>
        <w:t>Risque que les réformes soient perçues comme imposées. Correctif : versions citoyennes, consultations et preuves de résultats.</w:t>
      </w:r>
    </w:p>
    <w:p>
      <w:pPr>
        <w:pStyle w:val="ArticleTitleNova"/>
        <w:pBdr>
          <w:bottom w:val="single" w:sz="8" w:space="1" w:color="E6D7A5"/>
        </w:pBdr>
      </w:pPr>
      <w:r>
        <w:t>RR-68. Conflit entre intégration et dignité</w:t>
      </w:r>
    </w:p>
    <w:p>
      <w:r>
        <w:t>Risque que l’encadrement de l’intégration soit perçu comme exclusion. Correctif : règles fermes mais respectueuses, accès à la francisation et information claire.</w:t>
      </w:r>
    </w:p>
    <w:p>
      <w:pPr>
        <w:pStyle w:val="ArticleTitleNova"/>
        <w:pBdr>
          <w:bottom w:val="single" w:sz="8" w:space="1" w:color="E6D7A5"/>
        </w:pBdr>
      </w:pPr>
      <w:r>
        <w:t>RR-69. Instrumentalisation de groupes vulnérables</w:t>
      </w:r>
    </w:p>
    <w:p>
      <w:r>
        <w:t>Risque d’utiliser des clientèles pour des débats politiques. Correctif : évaluation d’impact, services réels et langage digne.</w:t>
      </w:r>
    </w:p>
    <w:p>
      <w:pPr>
        <w:pStyle w:val="ArticleTitleNova"/>
        <w:pBdr>
          <w:bottom w:val="single" w:sz="8" w:space="1" w:color="E6D7A5"/>
        </w:pBdr>
      </w:pPr>
      <w:r>
        <w:t>RR-70. Rupture intergénérationnelle</w:t>
      </w:r>
    </w:p>
    <w:p>
      <w:r>
        <w:t>Risque que les réformes ne tiennent pas compte des jeunes et des aînés. Correctif : analyses par génération et mécanismes de participation.</w:t>
      </w:r>
    </w:p>
    <w:p>
      <w:pPr>
        <w:pStyle w:val="Heading1"/>
      </w:pPr>
      <w:r>
        <w:t>PARTIE VIII - RISQUES ÉCONOMIQUES ET AUTONOMIE STRATÉGIQUE</w:t>
      </w:r>
    </w:p>
    <w:p>
      <w:pPr>
        <w:pStyle w:val="ArticleTitleNova"/>
        <w:pBdr>
          <w:bottom w:val="single" w:sz="8" w:space="1" w:color="E6D7A5"/>
        </w:pBdr>
      </w:pPr>
      <w:r>
        <w:t>RR-71. Transition économique trop brusque</w:t>
      </w:r>
    </w:p>
    <w:p>
      <w:r>
        <w:t>Risque que des réformes de marché perturbent inutilement des secteurs. Correctif : phases, avis publics, mesures d’adaptation et suivi.</w:t>
      </w:r>
    </w:p>
    <w:p>
      <w:pPr>
        <w:pStyle w:val="ArticleTitleNova"/>
        <w:pBdr>
          <w:bottom w:val="single" w:sz="8" w:space="1" w:color="E6D7A5"/>
        </w:pBdr>
      </w:pPr>
      <w:r>
        <w:t>RR-72. Monopoles abusifs</w:t>
      </w:r>
    </w:p>
    <w:p>
      <w:r>
        <w:t>Risque que la liberté de marché soit captée par quelques acteurs. Correctif : concurrence, anti-collusion et accès des PME.</w:t>
      </w:r>
    </w:p>
    <w:p>
      <w:pPr>
        <w:pStyle w:val="ArticleTitleNova"/>
        <w:pBdr>
          <w:bottom w:val="single" w:sz="8" w:space="1" w:color="E6D7A5"/>
        </w:pBdr>
      </w:pPr>
      <w:r>
        <w:t>RR-73. Contre-tarifs politiques</w:t>
      </w:r>
    </w:p>
    <w:p>
      <w:r>
        <w:t>Risque de répondre à l’extérieur par des mesures qui appauvrissent le peuple. Correctif : analyse obligatoire des prix et effet sur ménages.</w:t>
      </w:r>
    </w:p>
    <w:p>
      <w:pPr>
        <w:pStyle w:val="ArticleTitleNova"/>
        <w:pBdr>
          <w:bottom w:val="single" w:sz="8" w:space="1" w:color="E6D7A5"/>
        </w:pBdr>
      </w:pPr>
      <w:r>
        <w:t>RR-74. Dépendance aux chaînes d’approvisionnement</w:t>
      </w:r>
    </w:p>
    <w:p>
      <w:r>
        <w:t>Risque de rupture de biens essentiels. Correctif : cartographie, stocks stratégiques et fournisseurs alternatifs.</w:t>
      </w:r>
    </w:p>
    <w:p>
      <w:pPr>
        <w:pStyle w:val="ArticleTitleNova"/>
        <w:pBdr>
          <w:bottom w:val="single" w:sz="8" w:space="1" w:color="E6D7A5"/>
        </w:pBdr>
      </w:pPr>
      <w:r>
        <w:t>RR-75. Affaiblissement des régions</w:t>
      </w:r>
    </w:p>
    <w:p>
      <w:r>
        <w:t>Risque que les décisions économiques favorisent seulement les grands centres. Correctif : analyse régionale et mécanismes de développement local.</w:t>
      </w:r>
    </w:p>
    <w:p>
      <w:pPr>
        <w:pStyle w:val="ArticleTitleNova"/>
        <w:pBdr>
          <w:bottom w:val="single" w:sz="8" w:space="1" w:color="E6D7A5"/>
        </w:pBdr>
      </w:pPr>
      <w:r>
        <w:t>RR-76. Fuite de compétences</w:t>
      </w:r>
    </w:p>
    <w:p>
      <w:r>
        <w:t>Risque de perdre travailleurs et entrepreneurs. Correctif : climat économique stable, formation et reconnaissance du travail.</w:t>
      </w:r>
    </w:p>
    <w:p>
      <w:pPr>
        <w:pStyle w:val="ArticleTitleNova"/>
        <w:pBdr>
          <w:bottom w:val="single" w:sz="8" w:space="1" w:color="E6D7A5"/>
        </w:pBdr>
      </w:pPr>
      <w:r>
        <w:t>RR-77. Subventions captées par intérêts privés</w:t>
      </w:r>
    </w:p>
    <w:p>
      <w:r>
        <w:t>Risque que l’aide publique ne serve pas l’intérêt général. Correctif : critères, résultats mesurables et transparence.</w:t>
      </w:r>
    </w:p>
    <w:p>
      <w:pPr>
        <w:pStyle w:val="ArticleTitleNova"/>
        <w:pBdr>
          <w:bottom w:val="single" w:sz="8" w:space="1" w:color="E6D7A5"/>
        </w:pBdr>
      </w:pPr>
      <w:r>
        <w:t>RR-78. Sous-investissement en productivité</w:t>
      </w:r>
    </w:p>
    <w:p>
      <w:r>
        <w:t>Risque de compenser par immigration ou heures au lieu de productivité. Correctif : formation, technologies utiles et organisation du travail.</w:t>
      </w:r>
    </w:p>
    <w:p>
      <w:pPr>
        <w:pStyle w:val="ArticleTitleNova"/>
        <w:pBdr>
          <w:bottom w:val="single" w:sz="8" w:space="1" w:color="E6D7A5"/>
        </w:pBdr>
      </w:pPr>
      <w:r>
        <w:t>RR-79. Fragilité agricole et alimentaire</w:t>
      </w:r>
    </w:p>
    <w:p>
      <w:r>
        <w:t>Risque de dépendance alimentaire excessive. Correctif : autonomie, concurrence loyale et soutien ciblé à la production.</w:t>
      </w:r>
    </w:p>
    <w:p>
      <w:pPr>
        <w:pStyle w:val="ArticleTitleNova"/>
        <w:pBdr>
          <w:bottom w:val="single" w:sz="8" w:space="1" w:color="E6D7A5"/>
        </w:pBdr>
      </w:pPr>
      <w:r>
        <w:t>RR-80. Décisions économiques idéologiques</w:t>
      </w:r>
    </w:p>
    <w:p>
      <w:r>
        <w:t>Risque de politiques sans preuve. Correctif : analyse d’impact, expérimentation et correction.</w:t>
      </w:r>
    </w:p>
    <w:p>
      <w:pPr>
        <w:pStyle w:val="Heading1"/>
      </w:pPr>
      <w:r>
        <w:t>PARTIE IX - RISQUES NUMÉRIQUES, DONNÉES ET IA</w:t>
      </w:r>
    </w:p>
    <w:p>
      <w:pPr>
        <w:pStyle w:val="ArticleTitleNova"/>
        <w:pBdr>
          <w:bottom w:val="single" w:sz="8" w:space="1" w:color="E6D7A5"/>
        </w:pBdr>
      </w:pPr>
      <w:r>
        <w:t>RR-81. Surveillance de masse</w:t>
      </w:r>
    </w:p>
    <w:p>
      <w:r>
        <w:t>Risque que le numérique public serve au contrôle social. Correctif : interdiction, autorisation judiciaire et audit.</w:t>
      </w:r>
    </w:p>
    <w:p>
      <w:pPr>
        <w:pStyle w:val="ArticleTitleNova"/>
        <w:pBdr>
          <w:bottom w:val="single" w:sz="8" w:space="1" w:color="E6D7A5"/>
        </w:pBdr>
      </w:pPr>
      <w:r>
        <w:t>RR-82. Identité numérique obligatoire généralisée</w:t>
      </w:r>
    </w:p>
    <w:p>
      <w:r>
        <w:t>Risque d’exclusion ou de traçage. Correctif : usages limités, options non numériques et consentement encadré.</w:t>
      </w:r>
    </w:p>
    <w:p>
      <w:pPr>
        <w:pStyle w:val="ArticleTitleNova"/>
        <w:pBdr>
          <w:bottom w:val="single" w:sz="8" w:space="1" w:color="E6D7A5"/>
        </w:pBdr>
      </w:pPr>
      <w:r>
        <w:t>RR-83. Décisions automatisées opaques</w:t>
      </w:r>
    </w:p>
    <w:p>
      <w:r>
        <w:t>Risque qu’un algorithme affecte les droits sans recours. Correctif : explication, recours humain, audit des biais et responsabilité publique.</w:t>
      </w:r>
    </w:p>
    <w:p>
      <w:pPr>
        <w:pStyle w:val="ArticleTitleNova"/>
        <w:pBdr>
          <w:bottom w:val="single" w:sz="8" w:space="1" w:color="E6D7A5"/>
        </w:pBdr>
      </w:pPr>
      <w:r>
        <w:t>RR-84. Fuite de données personnelles</w:t>
      </w:r>
    </w:p>
    <w:p>
      <w:r>
        <w:t>Risque de brèche affectant les citoyens. Correctif : sécurité, journalisation, sanctions et notification.</w:t>
      </w:r>
    </w:p>
    <w:p>
      <w:pPr>
        <w:pStyle w:val="ArticleTitleNova"/>
        <w:pBdr>
          <w:bottom w:val="single" w:sz="8" w:space="1" w:color="E6D7A5"/>
        </w:pBdr>
      </w:pPr>
      <w:r>
        <w:t>RR-85. Dépendance à un fournisseur</w:t>
      </w:r>
    </w:p>
    <w:p>
      <w:r>
        <w:t>Risque de perte de contrôle technologique. Correctif : réversibilité, standards ouverts et propriété publique des données.</w:t>
      </w:r>
    </w:p>
    <w:p>
      <w:pPr>
        <w:pStyle w:val="ArticleTitleNova"/>
        <w:pBdr>
          <w:bottom w:val="single" w:sz="8" w:space="1" w:color="E6D7A5"/>
        </w:pBdr>
      </w:pPr>
      <w:r>
        <w:t>RR-86. Cyberattaque contre services essentiels</w:t>
      </w:r>
    </w:p>
    <w:p>
      <w:r>
        <w:t>Risque de paralysie. Correctif : plans de reprise, segmentation, exercices et sauvegardes hors ligne.</w:t>
      </w:r>
    </w:p>
    <w:p>
      <w:pPr>
        <w:pStyle w:val="ArticleTitleNova"/>
        <w:pBdr>
          <w:bottom w:val="single" w:sz="8" w:space="1" w:color="E6D7A5"/>
        </w:pBdr>
      </w:pPr>
      <w:r>
        <w:t>RR-87. Accumulation excessive de données</w:t>
      </w:r>
    </w:p>
    <w:p>
      <w:r>
        <w:t>Risque de collecte au-delà du besoin. Correctif : minimisation et destruction contrôlée.</w:t>
      </w:r>
    </w:p>
    <w:p>
      <w:pPr>
        <w:pStyle w:val="ArticleTitleNova"/>
        <w:pBdr>
          <w:bottom w:val="single" w:sz="8" w:space="1" w:color="E6D7A5"/>
        </w:pBdr>
      </w:pPr>
      <w:r>
        <w:t>RR-88. Manipulation informationnelle</w:t>
      </w:r>
    </w:p>
    <w:p>
      <w:r>
        <w:t>Risque de campagnes coordonnées numériques. Correctif : transparence, éducation numérique et archives des publicités politiques.</w:t>
      </w:r>
    </w:p>
    <w:p>
      <w:pPr>
        <w:pStyle w:val="ArticleTitleNova"/>
        <w:pBdr>
          <w:bottom w:val="single" w:sz="8" w:space="1" w:color="E6D7A5"/>
        </w:pBdr>
      </w:pPr>
      <w:r>
        <w:t>RR-89. Obsolescence des systèmes publics</w:t>
      </w:r>
    </w:p>
    <w:p>
      <w:r>
        <w:t>Risque de coûts croissants et failles. Correctif : inventaire, modernisation priorisée et architecture modulaire.</w:t>
      </w:r>
    </w:p>
    <w:p>
      <w:pPr>
        <w:pStyle w:val="ArticleTitleNova"/>
        <w:pBdr>
          <w:bottom w:val="single" w:sz="8" w:space="1" w:color="E6D7A5"/>
        </w:pBdr>
      </w:pPr>
      <w:r>
        <w:t>RR-90. Perte de souveraineté numérique</w:t>
      </w:r>
    </w:p>
    <w:p>
      <w:r>
        <w:t>Risque que données et infrastructures critiques soient contrôlées hors juridiction. Correctif : hébergement stratégique, exigences contractuelles et audits.</w:t>
      </w:r>
    </w:p>
    <w:p>
      <w:pPr>
        <w:pStyle w:val="Heading1"/>
      </w:pPr>
      <w:r>
        <w:t>PARTIE X - RISQUES DE TRANSITION ET SOUVERAINETÉ</w:t>
      </w:r>
    </w:p>
    <w:p>
      <w:pPr>
        <w:pStyle w:val="ArticleTitleNova"/>
        <w:pBdr>
          <w:bottom w:val="single" w:sz="8" w:space="1" w:color="E6D7A5"/>
        </w:pBdr>
      </w:pPr>
      <w:r>
        <w:t>RR-91. Mandat populaire ambigu</w:t>
      </w:r>
    </w:p>
    <w:p>
      <w:r>
        <w:t>Risque que la transition soit déclenchée sans clarté démocratique. Correctif : question claire, information complète et validation indépendante.</w:t>
      </w:r>
    </w:p>
    <w:p>
      <w:pPr>
        <w:pStyle w:val="ArticleTitleNova"/>
        <w:pBdr>
          <w:bottom w:val="single" w:sz="8" w:space="1" w:color="E6D7A5"/>
        </w:pBdr>
      </w:pPr>
      <w:r>
        <w:t>RR-92. Négociation déséquilibrée avec le Canada</w:t>
      </w:r>
    </w:p>
    <w:p>
      <w:r>
        <w:t>Risque de pression politique ou économique. Correctif : équipe de négociation, scénarios et communication publique.</w:t>
      </w:r>
    </w:p>
    <w:p>
      <w:pPr>
        <w:pStyle w:val="ArticleTitleNova"/>
        <w:pBdr>
          <w:bottom w:val="single" w:sz="8" w:space="1" w:color="E6D7A5"/>
        </w:pBdr>
      </w:pPr>
      <w:r>
        <w:t>RR-93. Reconnaissance internationale retardée</w:t>
      </w:r>
    </w:p>
    <w:p>
      <w:r>
        <w:t>Risque de délai diplomatique. Correctif : stratégie préalable, partenaires ciblés et continuité juridique.</w:t>
      </w:r>
    </w:p>
    <w:p>
      <w:pPr>
        <w:pStyle w:val="ArticleTitleNova"/>
        <w:pBdr>
          <w:bottom w:val="single" w:sz="8" w:space="1" w:color="E6D7A5"/>
        </w:pBdr>
      </w:pPr>
      <w:r>
        <w:t>RR-94. Incertitude sur la citoyenneté</w:t>
      </w:r>
    </w:p>
    <w:p>
      <w:r>
        <w:t>Risque de confusion sur les statuts. Correctif : règles simples, registres et garanties transitoires.</w:t>
      </w:r>
    </w:p>
    <w:p>
      <w:pPr>
        <w:pStyle w:val="ArticleTitleNova"/>
        <w:pBdr>
          <w:bottom w:val="single" w:sz="8" w:space="1" w:color="E6D7A5"/>
        </w:pBdr>
      </w:pPr>
      <w:r>
        <w:t>RR-95. Instabilité financière de transition</w:t>
      </w:r>
    </w:p>
    <w:p>
      <w:r>
        <w:t>Risque de volatilité. Correctif : réserves, communication, plans budgétaires et audit indépendant.</w:t>
      </w:r>
    </w:p>
    <w:p>
      <w:pPr>
        <w:pStyle w:val="ArticleTitleNova"/>
        <w:pBdr>
          <w:bottom w:val="single" w:sz="8" w:space="1" w:color="E6D7A5"/>
        </w:pBdr>
      </w:pPr>
      <w:r>
        <w:t>RR-96. Continuité des contrats</w:t>
      </w:r>
    </w:p>
    <w:p>
      <w:r>
        <w:t>Risque de rupture juridique. Correctif : clauses transitoires, inventaire et priorisation des contrats essentiels.</w:t>
      </w:r>
    </w:p>
    <w:p>
      <w:pPr>
        <w:pStyle w:val="ArticleTitleNova"/>
        <w:pBdr>
          <w:bottom w:val="single" w:sz="8" w:space="1" w:color="E6D7A5"/>
        </w:pBdr>
      </w:pPr>
      <w:r>
        <w:t>RR-97. Frontières et documents non prêts</w:t>
      </w:r>
    </w:p>
    <w:p>
      <w:r>
        <w:t>Risque de désorganisation administrative. Correctif : plan d’émission, reconnaissance transitoire et coordination.</w:t>
      </w:r>
    </w:p>
    <w:p>
      <w:pPr>
        <w:pStyle w:val="ArticleTitleNova"/>
        <w:pBdr>
          <w:bottom w:val="single" w:sz="8" w:space="1" w:color="E6D7A5"/>
        </w:pBdr>
      </w:pPr>
      <w:r>
        <w:t>RR-98. Crise de confiance publique</w:t>
      </w:r>
    </w:p>
    <w:p>
      <w:r>
        <w:t>Risque de panique ou confusion. Correctif : information citoyenne régulière, vérité sur les risques et corrections.</w:t>
      </w:r>
    </w:p>
    <w:p>
      <w:pPr>
        <w:pStyle w:val="ArticleTitleNova"/>
        <w:pBdr>
          <w:bottom w:val="single" w:sz="8" w:space="1" w:color="E6D7A5"/>
        </w:pBdr>
      </w:pPr>
      <w:r>
        <w:t>RR-99. Sabotage institutionnel</w:t>
      </w:r>
    </w:p>
    <w:p>
      <w:r>
        <w:t>Risque de résistance organisée à l’application du mandat populaire. Correctif : continuité, responsabilité, recours et protection des services.</w:t>
      </w:r>
    </w:p>
    <w:p>
      <w:pPr>
        <w:pStyle w:val="ArticleTitleNova"/>
        <w:pBdr>
          <w:bottom w:val="single" w:sz="8" w:space="1" w:color="E6D7A5"/>
        </w:pBdr>
      </w:pPr>
      <w:r>
        <w:t>RR-100. Clause finale du registre</w:t>
      </w:r>
    </w:p>
    <w:p>
      <w:r>
        <w:t>Le registre des risques résiduels doit demeurer vivant. Sa fonction n’est pas de déclarer le Système Nova parfait, mais d’empêcher qu’une faille connue soit laissée sans réponse.</w:t>
      </w:r>
    </w:p>
    <w:p>
      <w:pPr>
        <w:pStyle w:val="Heading1"/>
      </w:pPr>
      <w:r>
        <w:t>Registre de suivi synthétique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1F1F1F"/>
          </w:tcPr>
          <w:p>
            <w:pPr>
              <w:spacing w:after="0" w:line="240" w:lineRule="auto"/>
            </w:pPr>
            <w:r/>
            <w:r>
              <w:rPr>
                <w:rFonts w:ascii="Arial" w:hAnsi="Arial" w:eastAsia="Arial"/>
                <w:b/>
                <w:color w:val="FFFFFF"/>
                <w:sz w:val="15"/>
              </w:rPr>
              <w:t>Risque</w:t>
            </w:r>
          </w:p>
        </w:tc>
        <w:tc>
          <w:tcPr>
            <w:tcW w:type="dxa" w:w="2570"/>
            <w:shd w:fill="1F1F1F"/>
          </w:tcPr>
          <w:p>
            <w:pPr>
              <w:spacing w:after="0" w:line="240" w:lineRule="auto"/>
            </w:pPr>
            <w:r/>
            <w:r>
              <w:rPr>
                <w:rFonts w:ascii="Arial" w:hAnsi="Arial" w:eastAsia="Arial"/>
                <w:b/>
                <w:color w:val="FFFFFF"/>
                <w:sz w:val="15"/>
              </w:rPr>
              <w:t>Niveau</w:t>
            </w:r>
          </w:p>
        </w:tc>
        <w:tc>
          <w:tcPr>
            <w:tcW w:type="dxa" w:w="2570"/>
            <w:shd w:fill="1F1F1F"/>
          </w:tcPr>
          <w:p>
            <w:pPr>
              <w:spacing w:after="0" w:line="240" w:lineRule="auto"/>
            </w:pPr>
            <w:r/>
            <w:r>
              <w:rPr>
                <w:rFonts w:ascii="Arial" w:hAnsi="Arial" w:eastAsia="Arial"/>
                <w:b/>
                <w:color w:val="FFFFFF"/>
                <w:sz w:val="15"/>
              </w:rPr>
              <w:t>Correctif principal</w:t>
            </w:r>
          </w:p>
        </w:tc>
        <w:tc>
          <w:tcPr>
            <w:tcW w:type="dxa" w:w="2570"/>
            <w:shd w:fill="1F1F1F"/>
          </w:tcPr>
          <w:p>
            <w:pPr>
              <w:spacing w:after="0" w:line="240" w:lineRule="auto"/>
            </w:pPr>
            <w:r/>
            <w:r>
              <w:rPr>
                <w:rFonts w:ascii="Arial" w:hAnsi="Arial" w:eastAsia="Arial"/>
                <w:b/>
                <w:color w:val="FFFFFF"/>
                <w:sz w:val="15"/>
              </w:rPr>
              <w:t>Fréquence</w:t>
            </w:r>
          </w:p>
        </w:tc>
      </w:tr>
      <w:tr>
        <w:tc>
          <w:tcPr>
            <w:tcW w:type="dxa" w:w="2570"/>
            <w:vAlign w:val="top"/>
          </w:tcPr>
          <w:p>
            <w:pPr>
              <w:spacing w:after="0" w:line="240" w:lineRule="auto"/>
            </w:pPr>
            <w:r/>
            <w:r>
              <w:rPr>
                <w:rFonts w:ascii="Arial" w:hAnsi="Arial" w:eastAsia="Arial"/>
                <w:b w:val="0"/>
                <w:sz w:val="14"/>
              </w:rPr>
              <w:t>Capture électorale</w:t>
            </w:r>
          </w:p>
        </w:tc>
        <w:tc>
          <w:tcPr>
            <w:tcW w:type="dxa" w:w="2570"/>
            <w:vAlign w:val="top"/>
          </w:tcPr>
          <w:p>
            <w:pPr>
              <w:spacing w:after="0" w:line="240" w:lineRule="auto"/>
            </w:pPr>
            <w:r/>
            <w:r>
              <w:rPr>
                <w:rFonts w:ascii="Arial" w:hAnsi="Arial" w:eastAsia="Arial"/>
                <w:b w:val="0"/>
                <w:sz w:val="14"/>
              </w:rPr>
              <w:t>Critique</w:t>
            </w:r>
          </w:p>
        </w:tc>
        <w:tc>
          <w:tcPr>
            <w:tcW w:type="dxa" w:w="2570"/>
            <w:vAlign w:val="top"/>
          </w:tcPr>
          <w:p>
            <w:pPr>
              <w:spacing w:after="0" w:line="240" w:lineRule="auto"/>
            </w:pPr>
            <w:r/>
            <w:r>
              <w:rPr>
                <w:rFonts w:ascii="Arial" w:hAnsi="Arial" w:eastAsia="Arial"/>
                <w:b w:val="0"/>
                <w:sz w:val="14"/>
              </w:rPr>
              <w:t>Autorité indépendante, budget protégé, audits publics</w:t>
            </w:r>
          </w:p>
        </w:tc>
        <w:tc>
          <w:tcPr>
            <w:tcW w:type="dxa" w:w="2570"/>
            <w:vAlign w:val="top"/>
          </w:tcPr>
          <w:p>
            <w:pPr>
              <w:spacing w:after="0" w:line="240" w:lineRule="auto"/>
            </w:pPr>
            <w:r/>
            <w:r>
              <w:rPr>
                <w:rFonts w:ascii="Arial" w:hAnsi="Arial" w:eastAsia="Arial"/>
                <w:b w:val="0"/>
                <w:sz w:val="14"/>
              </w:rPr>
              <w:t>Annuel et avant scrutin</w:t>
            </w:r>
          </w:p>
        </w:tc>
      </w:tr>
      <w:tr>
        <w:tc>
          <w:tcPr>
            <w:tcW w:type="dxa" w:w="2570"/>
            <w:vAlign w:val="top"/>
            <w:shd w:fill="FBF8EF"/>
          </w:tcPr>
          <w:p>
            <w:pPr>
              <w:spacing w:after="0" w:line="240" w:lineRule="auto"/>
            </w:pPr>
            <w:r/>
            <w:r>
              <w:rPr>
                <w:rFonts w:ascii="Arial" w:hAnsi="Arial" w:eastAsia="Arial"/>
                <w:b w:val="0"/>
                <w:sz w:val="14"/>
              </w:rPr>
              <w:t>Abus d’urgence</w:t>
            </w:r>
          </w:p>
        </w:tc>
        <w:tc>
          <w:tcPr>
            <w:tcW w:type="dxa" w:w="2570"/>
            <w:vAlign w:val="top"/>
            <w:shd w:fill="FBF8EF"/>
          </w:tcPr>
          <w:p>
            <w:pPr>
              <w:spacing w:after="0" w:line="240" w:lineRule="auto"/>
            </w:pPr>
            <w:r/>
            <w:r>
              <w:rPr>
                <w:rFonts w:ascii="Arial" w:hAnsi="Arial" w:eastAsia="Arial"/>
                <w:b w:val="0"/>
                <w:sz w:val="14"/>
              </w:rPr>
              <w:t>Critique</w:t>
            </w:r>
          </w:p>
        </w:tc>
        <w:tc>
          <w:tcPr>
            <w:tcW w:type="dxa" w:w="2570"/>
            <w:vAlign w:val="top"/>
            <w:shd w:fill="FBF8EF"/>
          </w:tcPr>
          <w:p>
            <w:pPr>
              <w:spacing w:after="0" w:line="240" w:lineRule="auto"/>
            </w:pPr>
            <w:r/>
            <w:r>
              <w:rPr>
                <w:rFonts w:ascii="Arial" w:hAnsi="Arial" w:eastAsia="Arial"/>
                <w:b w:val="0"/>
                <w:sz w:val="14"/>
              </w:rPr>
              <w:t>Durée limitée, contrôle parlementaire et judiciaire</w:t>
            </w:r>
          </w:p>
        </w:tc>
        <w:tc>
          <w:tcPr>
            <w:tcW w:type="dxa" w:w="2570"/>
            <w:vAlign w:val="top"/>
            <w:shd w:fill="FBF8EF"/>
          </w:tcPr>
          <w:p>
            <w:pPr>
              <w:spacing w:after="0" w:line="240" w:lineRule="auto"/>
            </w:pPr>
            <w:r/>
            <w:r>
              <w:rPr>
                <w:rFonts w:ascii="Arial" w:hAnsi="Arial" w:eastAsia="Arial"/>
                <w:b w:val="0"/>
                <w:sz w:val="14"/>
              </w:rPr>
              <w:t>À chaque activation</w:t>
            </w:r>
          </w:p>
        </w:tc>
      </w:tr>
      <w:tr>
        <w:tc>
          <w:tcPr>
            <w:tcW w:type="dxa" w:w="2570"/>
            <w:vAlign w:val="top"/>
          </w:tcPr>
          <w:p>
            <w:pPr>
              <w:spacing w:after="0" w:line="240" w:lineRule="auto"/>
            </w:pPr>
            <w:r/>
            <w:r>
              <w:rPr>
                <w:rFonts w:ascii="Arial" w:hAnsi="Arial" w:eastAsia="Arial"/>
                <w:b w:val="0"/>
                <w:sz w:val="14"/>
              </w:rPr>
              <w:t>Taxes cachées</w:t>
            </w:r>
          </w:p>
        </w:tc>
        <w:tc>
          <w:tcPr>
            <w:tcW w:type="dxa" w:w="2570"/>
            <w:vAlign w:val="top"/>
          </w:tcPr>
          <w:p>
            <w:pPr>
              <w:spacing w:after="0" w:line="240" w:lineRule="auto"/>
            </w:pPr>
            <w:r/>
            <w:r>
              <w:rPr>
                <w:rFonts w:ascii="Arial" w:hAnsi="Arial" w:eastAsia="Arial"/>
                <w:b w:val="0"/>
                <w:sz w:val="14"/>
              </w:rPr>
              <w:t>Élevé</w:t>
            </w:r>
          </w:p>
        </w:tc>
        <w:tc>
          <w:tcPr>
            <w:tcW w:type="dxa" w:w="2570"/>
            <w:vAlign w:val="top"/>
          </w:tcPr>
          <w:p>
            <w:pPr>
              <w:spacing w:after="0" w:line="240" w:lineRule="auto"/>
            </w:pPr>
            <w:r/>
            <w:r>
              <w:rPr>
                <w:rFonts w:ascii="Arial" w:hAnsi="Arial" w:eastAsia="Arial"/>
                <w:b w:val="0"/>
                <w:sz w:val="14"/>
              </w:rPr>
              <w:t>Inventaire public et budget citoyen</w:t>
            </w:r>
          </w:p>
        </w:tc>
        <w:tc>
          <w:tcPr>
            <w:tcW w:type="dxa" w:w="2570"/>
            <w:vAlign w:val="top"/>
          </w:tcPr>
          <w:p>
            <w:pPr>
              <w:spacing w:after="0" w:line="240" w:lineRule="auto"/>
            </w:pPr>
            <w:r/>
            <w:r>
              <w:rPr>
                <w:rFonts w:ascii="Arial" w:hAnsi="Arial" w:eastAsia="Arial"/>
                <w:b w:val="0"/>
                <w:sz w:val="14"/>
              </w:rPr>
              <w:t>Annuel</w:t>
            </w:r>
          </w:p>
        </w:tc>
      </w:tr>
      <w:tr>
        <w:tc>
          <w:tcPr>
            <w:tcW w:type="dxa" w:w="2570"/>
            <w:vAlign w:val="top"/>
            <w:shd w:fill="FBF8EF"/>
          </w:tcPr>
          <w:p>
            <w:pPr>
              <w:spacing w:after="0" w:line="240" w:lineRule="auto"/>
            </w:pPr>
            <w:r/>
            <w:r>
              <w:rPr>
                <w:rFonts w:ascii="Arial" w:hAnsi="Arial" w:eastAsia="Arial"/>
                <w:b w:val="0"/>
                <w:sz w:val="14"/>
              </w:rPr>
              <w:t>Directives parallèles</w:t>
            </w:r>
          </w:p>
        </w:tc>
        <w:tc>
          <w:tcPr>
            <w:tcW w:type="dxa" w:w="2570"/>
            <w:vAlign w:val="top"/>
            <w:shd w:fill="FBF8EF"/>
          </w:tcPr>
          <w:p>
            <w:pPr>
              <w:spacing w:after="0" w:line="240" w:lineRule="auto"/>
            </w:pPr>
            <w:r/>
            <w:r>
              <w:rPr>
                <w:rFonts w:ascii="Arial" w:hAnsi="Arial" w:eastAsia="Arial"/>
                <w:b w:val="0"/>
                <w:sz w:val="14"/>
              </w:rPr>
              <w:t>Élevé</w:t>
            </w:r>
          </w:p>
        </w:tc>
        <w:tc>
          <w:tcPr>
            <w:tcW w:type="dxa" w:w="2570"/>
            <w:vAlign w:val="top"/>
            <w:shd w:fill="FBF8EF"/>
          </w:tcPr>
          <w:p>
            <w:pPr>
              <w:spacing w:after="0" w:line="240" w:lineRule="auto"/>
            </w:pPr>
            <w:r/>
            <w:r>
              <w:rPr>
                <w:rFonts w:ascii="Arial" w:hAnsi="Arial" w:eastAsia="Arial"/>
                <w:b w:val="0"/>
                <w:sz w:val="14"/>
              </w:rPr>
              <w:t>Publication et contrôle des directives</w:t>
            </w:r>
          </w:p>
        </w:tc>
        <w:tc>
          <w:tcPr>
            <w:tcW w:type="dxa" w:w="2570"/>
            <w:vAlign w:val="top"/>
            <w:shd w:fill="FBF8EF"/>
          </w:tcPr>
          <w:p>
            <w:pPr>
              <w:spacing w:after="0" w:line="240" w:lineRule="auto"/>
            </w:pPr>
            <w:r/>
            <w:r>
              <w:rPr>
                <w:rFonts w:ascii="Arial" w:hAnsi="Arial" w:eastAsia="Arial"/>
                <w:b w:val="0"/>
                <w:sz w:val="14"/>
              </w:rPr>
              <w:t>Semestriel</w:t>
            </w:r>
          </w:p>
        </w:tc>
      </w:tr>
      <w:tr>
        <w:tc>
          <w:tcPr>
            <w:tcW w:type="dxa" w:w="2570"/>
            <w:vAlign w:val="top"/>
          </w:tcPr>
          <w:p>
            <w:pPr>
              <w:spacing w:after="0" w:line="240" w:lineRule="auto"/>
            </w:pPr>
            <w:r/>
            <w:r>
              <w:rPr>
                <w:rFonts w:ascii="Arial" w:hAnsi="Arial" w:eastAsia="Arial"/>
                <w:b w:val="0"/>
                <w:sz w:val="14"/>
              </w:rPr>
              <w:t>Rupture services essentiels</w:t>
            </w:r>
          </w:p>
        </w:tc>
        <w:tc>
          <w:tcPr>
            <w:tcW w:type="dxa" w:w="2570"/>
            <w:vAlign w:val="top"/>
          </w:tcPr>
          <w:p>
            <w:pPr>
              <w:spacing w:after="0" w:line="240" w:lineRule="auto"/>
            </w:pPr>
            <w:r/>
            <w:r>
              <w:rPr>
                <w:rFonts w:ascii="Arial" w:hAnsi="Arial" w:eastAsia="Arial"/>
                <w:b w:val="0"/>
                <w:sz w:val="14"/>
              </w:rPr>
              <w:t>Critique</w:t>
            </w:r>
          </w:p>
        </w:tc>
        <w:tc>
          <w:tcPr>
            <w:tcW w:type="dxa" w:w="2570"/>
            <w:vAlign w:val="top"/>
          </w:tcPr>
          <w:p>
            <w:pPr>
              <w:spacing w:after="0" w:line="240" w:lineRule="auto"/>
            </w:pPr>
            <w:r/>
            <w:r>
              <w:rPr>
                <w:rFonts w:ascii="Arial" w:hAnsi="Arial" w:eastAsia="Arial"/>
                <w:b w:val="0"/>
                <w:sz w:val="14"/>
              </w:rPr>
              <w:t>Plans de continuité testés</w:t>
            </w:r>
          </w:p>
        </w:tc>
        <w:tc>
          <w:tcPr>
            <w:tcW w:type="dxa" w:w="2570"/>
            <w:vAlign w:val="top"/>
          </w:tcPr>
          <w:p>
            <w:pPr>
              <w:spacing w:after="0" w:line="240" w:lineRule="auto"/>
            </w:pPr>
            <w:r/>
            <w:r>
              <w:rPr>
                <w:rFonts w:ascii="Arial" w:hAnsi="Arial" w:eastAsia="Arial"/>
                <w:b w:val="0"/>
                <w:sz w:val="14"/>
              </w:rPr>
              <w:t>Annuel + exercices</w:t>
            </w:r>
          </w:p>
        </w:tc>
      </w:tr>
      <w:tr>
        <w:tc>
          <w:tcPr>
            <w:tcW w:type="dxa" w:w="2570"/>
            <w:vAlign w:val="top"/>
            <w:shd w:fill="FBF8EF"/>
          </w:tcPr>
          <w:p>
            <w:pPr>
              <w:spacing w:after="0" w:line="240" w:lineRule="auto"/>
            </w:pPr>
            <w:r/>
            <w:r>
              <w:rPr>
                <w:rFonts w:ascii="Arial" w:hAnsi="Arial" w:eastAsia="Arial"/>
                <w:b w:val="0"/>
                <w:sz w:val="14"/>
              </w:rPr>
              <w:t>Capacité d’accueil surestimée</w:t>
            </w:r>
          </w:p>
        </w:tc>
        <w:tc>
          <w:tcPr>
            <w:tcW w:type="dxa" w:w="2570"/>
            <w:vAlign w:val="top"/>
            <w:shd w:fill="FBF8EF"/>
          </w:tcPr>
          <w:p>
            <w:pPr>
              <w:spacing w:after="0" w:line="240" w:lineRule="auto"/>
            </w:pPr>
            <w:r/>
            <w:r>
              <w:rPr>
                <w:rFonts w:ascii="Arial" w:hAnsi="Arial" w:eastAsia="Arial"/>
                <w:b w:val="0"/>
                <w:sz w:val="14"/>
              </w:rPr>
              <w:t>Élevé</w:t>
            </w:r>
          </w:p>
        </w:tc>
        <w:tc>
          <w:tcPr>
            <w:tcW w:type="dxa" w:w="2570"/>
            <w:vAlign w:val="top"/>
            <w:shd w:fill="FBF8EF"/>
          </w:tcPr>
          <w:p>
            <w:pPr>
              <w:spacing w:after="0" w:line="240" w:lineRule="auto"/>
            </w:pPr>
            <w:r/>
            <w:r>
              <w:rPr>
                <w:rFonts w:ascii="Arial" w:hAnsi="Arial" w:eastAsia="Arial"/>
                <w:b w:val="0"/>
                <w:sz w:val="14"/>
              </w:rPr>
              <w:t>Seuils liés à indicateurs réels</w:t>
            </w:r>
          </w:p>
        </w:tc>
        <w:tc>
          <w:tcPr>
            <w:tcW w:type="dxa" w:w="2570"/>
            <w:vAlign w:val="top"/>
            <w:shd w:fill="FBF8EF"/>
          </w:tcPr>
          <w:p>
            <w:pPr>
              <w:spacing w:after="0" w:line="240" w:lineRule="auto"/>
            </w:pPr>
            <w:r/>
            <w:r>
              <w:rPr>
                <w:rFonts w:ascii="Arial" w:hAnsi="Arial" w:eastAsia="Arial"/>
                <w:b w:val="0"/>
                <w:sz w:val="14"/>
              </w:rPr>
              <w:t>Trimestriel</w:t>
            </w:r>
          </w:p>
        </w:tc>
      </w:tr>
      <w:tr>
        <w:tc>
          <w:tcPr>
            <w:tcW w:type="dxa" w:w="2570"/>
            <w:vAlign w:val="top"/>
          </w:tcPr>
          <w:p>
            <w:pPr>
              <w:spacing w:after="0" w:line="240" w:lineRule="auto"/>
            </w:pPr>
            <w:r/>
            <w:r>
              <w:rPr>
                <w:rFonts w:ascii="Arial" w:hAnsi="Arial" w:eastAsia="Arial"/>
                <w:b w:val="0"/>
                <w:sz w:val="14"/>
              </w:rPr>
              <w:t>Surveillance numérique</w:t>
            </w:r>
          </w:p>
        </w:tc>
        <w:tc>
          <w:tcPr>
            <w:tcW w:type="dxa" w:w="2570"/>
            <w:vAlign w:val="top"/>
          </w:tcPr>
          <w:p>
            <w:pPr>
              <w:spacing w:after="0" w:line="240" w:lineRule="auto"/>
            </w:pPr>
            <w:r/>
            <w:r>
              <w:rPr>
                <w:rFonts w:ascii="Arial" w:hAnsi="Arial" w:eastAsia="Arial"/>
                <w:b w:val="0"/>
                <w:sz w:val="14"/>
              </w:rPr>
              <w:t>Critique</w:t>
            </w:r>
          </w:p>
        </w:tc>
        <w:tc>
          <w:tcPr>
            <w:tcW w:type="dxa" w:w="2570"/>
            <w:vAlign w:val="top"/>
          </w:tcPr>
          <w:p>
            <w:pPr>
              <w:spacing w:after="0" w:line="240" w:lineRule="auto"/>
            </w:pPr>
            <w:r/>
            <w:r>
              <w:rPr>
                <w:rFonts w:ascii="Arial" w:hAnsi="Arial" w:eastAsia="Arial"/>
                <w:b w:val="0"/>
                <w:sz w:val="14"/>
              </w:rPr>
              <w:t>Interdiction de masse, recours et audits</w:t>
            </w:r>
          </w:p>
        </w:tc>
        <w:tc>
          <w:tcPr>
            <w:tcW w:type="dxa" w:w="2570"/>
            <w:vAlign w:val="top"/>
          </w:tcPr>
          <w:p>
            <w:pPr>
              <w:spacing w:after="0" w:line="240" w:lineRule="auto"/>
            </w:pPr>
            <w:r/>
            <w:r>
              <w:rPr>
                <w:rFonts w:ascii="Arial" w:hAnsi="Arial" w:eastAsia="Arial"/>
                <w:b w:val="0"/>
                <w:sz w:val="14"/>
              </w:rPr>
              <w:t>Continu</w:t>
            </w:r>
          </w:p>
        </w:tc>
      </w:tr>
      <w:tr>
        <w:tc>
          <w:tcPr>
            <w:tcW w:type="dxa" w:w="2570"/>
            <w:vAlign w:val="top"/>
            <w:shd w:fill="FBF8EF"/>
          </w:tcPr>
          <w:p>
            <w:pPr>
              <w:spacing w:after="0" w:line="240" w:lineRule="auto"/>
            </w:pPr>
            <w:r/>
            <w:r>
              <w:rPr>
                <w:rFonts w:ascii="Arial" w:hAnsi="Arial" w:eastAsia="Arial"/>
                <w:b w:val="0"/>
                <w:sz w:val="14"/>
              </w:rPr>
              <w:t>Transition souveraine ambiguë</w:t>
            </w:r>
          </w:p>
        </w:tc>
        <w:tc>
          <w:tcPr>
            <w:tcW w:type="dxa" w:w="2570"/>
            <w:vAlign w:val="top"/>
            <w:shd w:fill="FBF8EF"/>
          </w:tcPr>
          <w:p>
            <w:pPr>
              <w:spacing w:after="0" w:line="240" w:lineRule="auto"/>
            </w:pPr>
            <w:r/>
            <w:r>
              <w:rPr>
                <w:rFonts w:ascii="Arial" w:hAnsi="Arial" w:eastAsia="Arial"/>
                <w:b w:val="0"/>
                <w:sz w:val="14"/>
              </w:rPr>
              <w:t>Critique</w:t>
            </w:r>
          </w:p>
        </w:tc>
        <w:tc>
          <w:tcPr>
            <w:tcW w:type="dxa" w:w="2570"/>
            <w:vAlign w:val="top"/>
            <w:shd w:fill="FBF8EF"/>
          </w:tcPr>
          <w:p>
            <w:pPr>
              <w:spacing w:after="0" w:line="240" w:lineRule="auto"/>
            </w:pPr>
            <w:r/>
            <w:r>
              <w:rPr>
                <w:rFonts w:ascii="Arial" w:hAnsi="Arial" w:eastAsia="Arial"/>
                <w:b w:val="0"/>
                <w:sz w:val="14"/>
              </w:rPr>
              <w:t>Mandat clair et information complète</w:t>
            </w:r>
          </w:p>
        </w:tc>
        <w:tc>
          <w:tcPr>
            <w:tcW w:type="dxa" w:w="2570"/>
            <w:vAlign w:val="top"/>
            <w:shd w:fill="FBF8EF"/>
          </w:tcPr>
          <w:p>
            <w:pPr>
              <w:spacing w:after="0" w:line="240" w:lineRule="auto"/>
            </w:pPr>
            <w:r/>
            <w:r>
              <w:rPr>
                <w:rFonts w:ascii="Arial" w:hAnsi="Arial" w:eastAsia="Arial"/>
                <w:b w:val="0"/>
                <w:sz w:val="14"/>
              </w:rPr>
              <w:t>Avant décision majeure</w:t>
            </w:r>
          </w:p>
        </w:tc>
      </w:tr>
    </w:tbl>
    <w:p/>
    <w:p>
      <w:pPr>
        <w:pStyle w:val="Heading1"/>
      </w:pPr>
      <w:r>
        <w:t>CLAUSE FINALE DE SURVEILLANCE ET DE CORRECTION</w:t>
      </w:r>
    </w:p>
    <w:p>
      <w:r>
        <w:t>Le présent registre doit être considéré comme un outil permanent de protection du Système Nova. Il complète la Constitution, les normes fondamentales, les lois, les règlements, les volets de transition, la table de concordance et les documents citoyens.</w:t>
      </w:r>
    </w:p>
    <w:p>
      <w:r>
        <w:t>La reconnaissance d’un risque ne constitue pas un aveu d’échec : elle constitue une preuve de responsabilité. Un système politique mature ne prétend pas être invulnérable. Il prévoit ses propres failles, les surveille et les corrige.</w:t>
      </w:r>
    </w:p>
    <w:p>
      <w:r>
        <w:t>Toute révision future du corpus Nova doit vérifier ses effets sur les risques recensés dans ce document et ajouter les risques nouveaux détectés.</w:t>
      </w:r>
    </w:p>
    <w:sectPr w:rsidR="00FC693F" w:rsidRPr="0006063C" w:rsidSect="00034616">
      <w:headerReference w:type="default" r:id="rId9"/>
      <w:footerReference w:type="default" r:id="rId10"/>
      <w:pgSz w:w="12240" w:h="15840"/>
      <w:pgMar w:top="893" w:right="979" w:bottom="893" w:left="979"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t>Projet Nova - Système Nova - Registre des risques résiduels &amp; correctifs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333333"/>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4"/>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Nova"/>
    <w:pPr>
      <w:spacing w:after="60"/>
    </w:pPr>
    <w:rPr>
      <w:rFonts w:ascii="Arial" w:hAnsi="Arial" w:eastAsia="Arial"/>
      <w:b/>
      <w:color w:val="1F1F1F"/>
      <w:sz w:val="40"/>
    </w:rPr>
  </w:style>
  <w:style w:type="paragraph" w:customStyle="1" w:styleId="SubtitleNova">
    <w:name w:val="SubtitleNova"/>
    <w:pPr>
      <w:spacing w:after="60"/>
    </w:pPr>
    <w:rPr>
      <w:rFonts w:ascii="Arial" w:hAnsi="Arial" w:eastAsia="Arial"/>
      <w:b w:val="0"/>
      <w:color w:val="555555"/>
      <w:sz w:val="24"/>
    </w:rPr>
  </w:style>
  <w:style w:type="paragraph" w:customStyle="1" w:styleId="NoticeNova">
    <w:name w:val="NoticeNova"/>
    <w:pPr>
      <w:spacing w:after="60"/>
    </w:pPr>
    <w:rPr>
      <w:rFonts w:ascii="Arial" w:hAnsi="Arial" w:eastAsia="Arial"/>
      <w:b w:val="0"/>
      <w:color w:val="666666"/>
      <w:sz w:val="17"/>
    </w:rPr>
  </w:style>
  <w:style w:type="paragraph" w:customStyle="1" w:styleId="SmallNova">
    <w:name w:val="SmallNova"/>
    <w:pPr>
      <w:spacing w:after="60"/>
    </w:pPr>
    <w:rPr>
      <w:rFonts w:ascii="Arial" w:hAnsi="Arial" w:eastAsia="Arial"/>
      <w:b w:val="0"/>
      <w:color w:val="666666"/>
      <w:sz w:val="16"/>
    </w:rPr>
  </w:style>
  <w:style w:type="paragraph" w:customStyle="1" w:styleId="ArticleTitleNova">
    <w:name w:val="ArticleTitleNova"/>
    <w:pPr>
      <w:spacing w:after="60"/>
    </w:pPr>
    <w:rPr>
      <w:rFonts w:ascii="Arial" w:hAnsi="Arial" w:eastAsia="Arial"/>
      <w:b/>
      <w:color w:val="1F1F1F"/>
      <w:sz w:val="20"/>
    </w:rPr>
  </w:style>
  <w:style w:type="paragraph" w:customStyle="1" w:styleId="ClauseNova">
    <w:name w:val="ClauseNova"/>
    <w:pPr>
      <w:spacing w:after="60"/>
    </w:pPr>
    <w:rPr>
      <w:rFonts w:ascii="Arial" w:hAnsi="Arial" w:eastAsia="Arial"/>
      <w:b/>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