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51560" cy="9786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051560" cy="978649"/>
                    </a:xfrm>
                    <a:prstGeom prst="rect"/>
                  </pic:spPr>
                </pic:pic>
              </a:graphicData>
            </a:graphic>
          </wp:inline>
        </w:drawing>
      </w:r>
    </w:p>
    <w:p>
      <w:pPr>
        <w:pStyle w:val="SubtitleNova"/>
        <w:jc w:val="center"/>
      </w:pPr>
      <w:r>
        <w:t>DOCUMENT OFFICIEL</w:t>
      </w:r>
    </w:p>
    <w:p>
      <w:pPr>
        <w:pStyle w:val="TitleNova"/>
        <w:jc w:val="center"/>
      </w:pPr>
      <w:r>
        <w:t>SYSTÈME NOVA</w:t>
      </w:r>
    </w:p>
    <w:p>
      <w:pPr>
        <w:pStyle w:val="TitleNova"/>
        <w:jc w:val="center"/>
      </w:pPr>
      <w:r>
        <w:t>TABLE DE CONCORDANCE NORMATIVE</w:t>
      </w:r>
    </w:p>
    <w:p>
      <w:pPr>
        <w:pStyle w:val="TitleNova"/>
        <w:jc w:val="center"/>
      </w:pPr>
      <w:r>
        <w:t>&amp; OUTIL DE CONTRÔLE</w:t>
      </w:r>
    </w:p>
    <w:p>
      <w:pPr>
        <w:pStyle w:val="SubtitleNova"/>
        <w:jc w:val="center"/>
      </w:pPr>
      <w:r>
        <w:t>Version révisée et consolidée - Projet Nova</w:t>
      </w:r>
    </w:p>
    <w:p>
      <w:pPr>
        <w:jc w:val="center"/>
      </w:pPr>
      <w:r>
        <w:t>Document de liaison, de vérification, de cohérence et de contrôle anti-contournement.</w:t>
      </w:r>
    </w:p>
    <w:p>
      <w:pPr>
        <w:jc w:val="center"/>
      </w:pPr>
      <w:r>
        <w:t>Constitution, normes fondamentales, lois organiques, lois administratives, lois ordinaires, règlements, transition, volets et documents citoyens.</w:t>
      </w:r>
    </w:p>
    <w:p>
      <w:pPr>
        <w:jc w:val="center"/>
      </w:pPr>
      <w:r>
        <w:t>Statut : document officiel de travail pour consolidation du corpus Nova.</w:t>
      </w:r>
    </w:p>
    <w:p>
      <w:pPr>
        <w:pBdr>
          <w:bottom w:val="single" w:sz="8" w:space="1" w:color="C8A24A"/>
        </w:pBdr>
      </w:pPr>
    </w:p>
    <w:p>
      <w:pPr>
        <w:pStyle w:val="SmallNova"/>
        <w:jc w:val="center"/>
      </w:pPr>
      <w:r>
        <w:t>Ce document ne remplace aucun texte supérieur : il sert à repérer, relier, vérifier et contrôler l’ensemble normatif du Système Nova.</w:t>
      </w:r>
    </w:p>
    <w:p>
      <w:r>
        <w:br w:type="page"/>
      </w:r>
    </w:p>
    <w:p>
      <w:pPr>
        <w:pStyle w:val="Heading1"/>
      </w:pPr>
      <w:r>
        <w:t>AVIS DE CONSOLIDATION</w:t>
      </w:r>
    </w:p>
    <w:p>
      <w:r>
        <w:t>Le présent document constitue la table de concordance normative et l’outil de contrôle du Système Nova. Il relie les documents constitutionnels, organiques, administratifs, ordinaires, réglementaires, transitionnels, politiques et citoyens afin de prévenir les contradictions, omissions, doublons et contournements.</w:t>
      </w:r>
    </w:p>
    <w:p>
      <w:r>
        <w:t>Il ne crée pas une norme supérieure autonome. Sa fonction est de vérifier la cohérence du corpus, d’identifier la source applicable, de hiérarchiser les textes, de signaler les risques et de guider les révisions futures.</w:t>
      </w:r>
    </w:p>
    <w:p>
      <w:r>
        <w:t>Toute règle, directive, règlement, pratique administrative, décision ministérielle ou mesure d’exécution qui contredit une norme supérieure du Système Nova doit être corrigée, suspendue ou annulée selon les mécanismes prévus.</w:t>
      </w:r>
    </w:p>
    <w:p>
      <w:r>
        <w:t>Ce document doit être mis à jour lorsque la Constitution, les lois, les règlements, les volets ou les documents citoyens sont modifiés.</w:t>
      </w:r>
    </w:p>
    <w:p>
      <w:pPr>
        <w:pStyle w:val="Heading1"/>
      </w:pPr>
      <w:r>
        <w:t>TABLE DE REPÉRAGE GÉNÉRALE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F1F1F"/>
          </w:tcPr>
          <w:p>
            <w:pPr>
              <w:spacing w:after="0"/>
            </w:pPr>
            <w:r/>
            <w:r>
              <w:rPr>
                <w:rFonts w:ascii="Arial" w:hAnsi="Arial" w:eastAsia="Arial"/>
                <w:b/>
                <w:color w:val="FFFFFF"/>
                <w:sz w:val="16"/>
              </w:rPr>
              <w:t>Partie</w:t>
            </w:r>
          </w:p>
        </w:tc>
        <w:tc>
          <w:tcPr>
            <w:tcW w:type="dxa" w:w="3427"/>
            <w:shd w:fill="1F1F1F"/>
          </w:tcPr>
          <w:p>
            <w:pPr>
              <w:spacing w:after="0"/>
            </w:pPr>
            <w:r/>
            <w:r>
              <w:rPr>
                <w:rFonts w:ascii="Arial" w:hAnsi="Arial" w:eastAsia="Arial"/>
                <w:b/>
                <w:color w:val="FFFFFF"/>
                <w:sz w:val="16"/>
              </w:rPr>
              <w:t>Objet</w:t>
            </w:r>
          </w:p>
        </w:tc>
        <w:tc>
          <w:tcPr>
            <w:tcW w:type="dxa" w:w="3427"/>
            <w:shd w:fill="1F1F1F"/>
          </w:tcPr>
          <w:p>
            <w:pPr>
              <w:spacing w:after="0"/>
            </w:pPr>
            <w:r/>
            <w:r>
              <w:rPr>
                <w:rFonts w:ascii="Arial" w:hAnsi="Arial" w:eastAsia="Arial"/>
                <w:b/>
                <w:color w:val="FFFFFF"/>
                <w:sz w:val="16"/>
              </w:rPr>
              <w:t>Fonction de contrôle</w:t>
            </w:r>
          </w:p>
        </w:tc>
      </w:tr>
      <w:tr>
        <w:tc>
          <w:tcPr>
            <w:tcW w:type="dxa" w:w="3427"/>
            <w:vAlign w:val="top"/>
          </w:tcPr>
          <w:p>
            <w:pPr>
              <w:spacing w:after="0"/>
            </w:pPr>
            <w:r/>
            <w:r>
              <w:rPr>
                <w:rFonts w:ascii="Arial" w:hAnsi="Arial" w:eastAsia="Arial"/>
                <w:b w:val="0"/>
                <w:sz w:val="16"/>
              </w:rPr>
              <w:t>I</w:t>
            </w:r>
          </w:p>
        </w:tc>
        <w:tc>
          <w:tcPr>
            <w:tcW w:type="dxa" w:w="3427"/>
            <w:vAlign w:val="top"/>
          </w:tcPr>
          <w:p>
            <w:pPr>
              <w:spacing w:after="0"/>
            </w:pPr>
            <w:r/>
            <w:r>
              <w:rPr>
                <w:rFonts w:ascii="Arial" w:hAnsi="Arial" w:eastAsia="Arial"/>
                <w:b w:val="0"/>
                <w:sz w:val="16"/>
              </w:rPr>
              <w:t>Hiérarchie normative</w:t>
            </w:r>
          </w:p>
        </w:tc>
        <w:tc>
          <w:tcPr>
            <w:tcW w:type="dxa" w:w="3427"/>
            <w:vAlign w:val="top"/>
          </w:tcPr>
          <w:p>
            <w:pPr>
              <w:spacing w:after="0"/>
            </w:pPr>
            <w:r/>
            <w:r>
              <w:rPr>
                <w:rFonts w:ascii="Arial" w:hAnsi="Arial" w:eastAsia="Arial"/>
                <w:b w:val="0"/>
                <w:sz w:val="16"/>
              </w:rPr>
              <w:t>Identifier la norme supérieure applicable</w:t>
            </w:r>
          </w:p>
        </w:tc>
      </w:tr>
      <w:tr>
        <w:tc>
          <w:tcPr>
            <w:tcW w:type="dxa" w:w="3427"/>
            <w:vAlign w:val="top"/>
            <w:shd w:fill="FBF8EF"/>
          </w:tcPr>
          <w:p>
            <w:pPr>
              <w:spacing w:after="0"/>
            </w:pPr>
            <w:r/>
            <w:r>
              <w:rPr>
                <w:rFonts w:ascii="Arial" w:hAnsi="Arial" w:eastAsia="Arial"/>
                <w:b w:val="0"/>
                <w:sz w:val="16"/>
              </w:rPr>
              <w:t>II</w:t>
            </w:r>
          </w:p>
        </w:tc>
        <w:tc>
          <w:tcPr>
            <w:tcW w:type="dxa" w:w="3427"/>
            <w:vAlign w:val="top"/>
            <w:shd w:fill="FBF8EF"/>
          </w:tcPr>
          <w:p>
            <w:pPr>
              <w:spacing w:after="0"/>
            </w:pPr>
            <w:r/>
            <w:r>
              <w:rPr>
                <w:rFonts w:ascii="Arial" w:hAnsi="Arial" w:eastAsia="Arial"/>
                <w:b w:val="0"/>
                <w:sz w:val="16"/>
              </w:rPr>
              <w:t>Documents constitutifs</w:t>
            </w:r>
          </w:p>
        </w:tc>
        <w:tc>
          <w:tcPr>
            <w:tcW w:type="dxa" w:w="3427"/>
            <w:vAlign w:val="top"/>
            <w:shd w:fill="FBF8EF"/>
          </w:tcPr>
          <w:p>
            <w:pPr>
              <w:spacing w:after="0"/>
            </w:pPr>
            <w:r/>
            <w:r>
              <w:rPr>
                <w:rFonts w:ascii="Arial" w:hAnsi="Arial" w:eastAsia="Arial"/>
                <w:b w:val="0"/>
                <w:sz w:val="16"/>
              </w:rPr>
              <w:t>Relier chaque document officiel à sa fonction</w:t>
            </w:r>
          </w:p>
        </w:tc>
      </w:tr>
      <w:tr>
        <w:tc>
          <w:tcPr>
            <w:tcW w:type="dxa" w:w="3427"/>
            <w:vAlign w:val="top"/>
          </w:tcPr>
          <w:p>
            <w:pPr>
              <w:spacing w:after="0"/>
            </w:pPr>
            <w:r/>
            <w:r>
              <w:rPr>
                <w:rFonts w:ascii="Arial" w:hAnsi="Arial" w:eastAsia="Arial"/>
                <w:b w:val="0"/>
                <w:sz w:val="16"/>
              </w:rPr>
              <w:t>III</w:t>
            </w:r>
          </w:p>
        </w:tc>
        <w:tc>
          <w:tcPr>
            <w:tcW w:type="dxa" w:w="3427"/>
            <w:vAlign w:val="top"/>
          </w:tcPr>
          <w:p>
            <w:pPr>
              <w:spacing w:after="0"/>
            </w:pPr>
            <w:r/>
            <w:r>
              <w:rPr>
                <w:rFonts w:ascii="Arial" w:hAnsi="Arial" w:eastAsia="Arial"/>
                <w:b w:val="0"/>
                <w:sz w:val="16"/>
              </w:rPr>
              <w:t>Concordance par domaine</w:t>
            </w:r>
          </w:p>
        </w:tc>
        <w:tc>
          <w:tcPr>
            <w:tcW w:type="dxa" w:w="3427"/>
            <w:vAlign w:val="top"/>
          </w:tcPr>
          <w:p>
            <w:pPr>
              <w:spacing w:after="0"/>
            </w:pPr>
            <w:r/>
            <w:r>
              <w:rPr>
                <w:rFonts w:ascii="Arial" w:hAnsi="Arial" w:eastAsia="Arial"/>
                <w:b w:val="0"/>
                <w:sz w:val="16"/>
              </w:rPr>
              <w:t>Vérifier les liens entre Constitution, lois, règlements et volets</w:t>
            </w:r>
          </w:p>
        </w:tc>
      </w:tr>
      <w:tr>
        <w:tc>
          <w:tcPr>
            <w:tcW w:type="dxa" w:w="3427"/>
            <w:vAlign w:val="top"/>
            <w:shd w:fill="FBF8EF"/>
          </w:tcPr>
          <w:p>
            <w:pPr>
              <w:spacing w:after="0"/>
            </w:pPr>
            <w:r/>
            <w:r>
              <w:rPr>
                <w:rFonts w:ascii="Arial" w:hAnsi="Arial" w:eastAsia="Arial"/>
                <w:b w:val="0"/>
                <w:sz w:val="16"/>
              </w:rPr>
              <w:t>IV</w:t>
            </w:r>
          </w:p>
        </w:tc>
        <w:tc>
          <w:tcPr>
            <w:tcW w:type="dxa" w:w="3427"/>
            <w:vAlign w:val="top"/>
            <w:shd w:fill="FBF8EF"/>
          </w:tcPr>
          <w:p>
            <w:pPr>
              <w:spacing w:after="0"/>
            </w:pPr>
            <w:r/>
            <w:r>
              <w:rPr>
                <w:rFonts w:ascii="Arial" w:hAnsi="Arial" w:eastAsia="Arial"/>
                <w:b w:val="0"/>
                <w:sz w:val="16"/>
              </w:rPr>
              <w:t>Articles de contrôle</w:t>
            </w:r>
          </w:p>
        </w:tc>
        <w:tc>
          <w:tcPr>
            <w:tcW w:type="dxa" w:w="3427"/>
            <w:vAlign w:val="top"/>
            <w:shd w:fill="FBF8EF"/>
          </w:tcPr>
          <w:p>
            <w:pPr>
              <w:spacing w:after="0"/>
            </w:pPr>
            <w:r/>
            <w:r>
              <w:rPr>
                <w:rFonts w:ascii="Arial" w:hAnsi="Arial" w:eastAsia="Arial"/>
                <w:b w:val="0"/>
                <w:sz w:val="16"/>
              </w:rPr>
              <w:t>Fixer les règles de cohérence, révision et anti-contournement</w:t>
            </w:r>
          </w:p>
        </w:tc>
      </w:tr>
      <w:tr>
        <w:tc>
          <w:tcPr>
            <w:tcW w:type="dxa" w:w="3427"/>
            <w:vAlign w:val="top"/>
          </w:tcPr>
          <w:p>
            <w:pPr>
              <w:spacing w:after="0"/>
            </w:pPr>
            <w:r/>
            <w:r>
              <w:rPr>
                <w:rFonts w:ascii="Arial" w:hAnsi="Arial" w:eastAsia="Arial"/>
                <w:b w:val="0"/>
                <w:sz w:val="16"/>
              </w:rPr>
              <w:t>V</w:t>
            </w:r>
          </w:p>
        </w:tc>
        <w:tc>
          <w:tcPr>
            <w:tcW w:type="dxa" w:w="3427"/>
            <w:vAlign w:val="top"/>
          </w:tcPr>
          <w:p>
            <w:pPr>
              <w:spacing w:after="0"/>
            </w:pPr>
            <w:r/>
            <w:r>
              <w:rPr>
                <w:rFonts w:ascii="Arial" w:hAnsi="Arial" w:eastAsia="Arial"/>
                <w:b w:val="0"/>
                <w:sz w:val="16"/>
              </w:rPr>
              <w:t>Matrices de vérification</w:t>
            </w:r>
          </w:p>
        </w:tc>
        <w:tc>
          <w:tcPr>
            <w:tcW w:type="dxa" w:w="3427"/>
            <w:vAlign w:val="top"/>
          </w:tcPr>
          <w:p>
            <w:pPr>
              <w:spacing w:after="0"/>
            </w:pPr>
            <w:r/>
            <w:r>
              <w:rPr>
                <w:rFonts w:ascii="Arial" w:hAnsi="Arial" w:eastAsia="Arial"/>
                <w:b w:val="0"/>
                <w:sz w:val="16"/>
              </w:rPr>
              <w:t>Contrôler les obligations, risques, responsables et correctifs</w:t>
            </w:r>
          </w:p>
        </w:tc>
      </w:tr>
      <w:tr>
        <w:tc>
          <w:tcPr>
            <w:tcW w:type="dxa" w:w="3427"/>
            <w:vAlign w:val="top"/>
            <w:shd w:fill="FBF8EF"/>
          </w:tcPr>
          <w:p>
            <w:pPr>
              <w:spacing w:after="0"/>
            </w:pPr>
            <w:r/>
            <w:r>
              <w:rPr>
                <w:rFonts w:ascii="Arial" w:hAnsi="Arial" w:eastAsia="Arial"/>
                <w:b w:val="0"/>
                <w:sz w:val="16"/>
              </w:rPr>
              <w:t>VI</w:t>
            </w:r>
          </w:p>
        </w:tc>
        <w:tc>
          <w:tcPr>
            <w:tcW w:type="dxa" w:w="3427"/>
            <w:vAlign w:val="top"/>
            <w:shd w:fill="FBF8EF"/>
          </w:tcPr>
          <w:p>
            <w:pPr>
              <w:spacing w:after="0"/>
            </w:pPr>
            <w:r/>
            <w:r>
              <w:rPr>
                <w:rFonts w:ascii="Arial" w:hAnsi="Arial" w:eastAsia="Arial"/>
                <w:b w:val="0"/>
                <w:sz w:val="16"/>
              </w:rPr>
              <w:t>Clause finale</w:t>
            </w:r>
          </w:p>
        </w:tc>
        <w:tc>
          <w:tcPr>
            <w:tcW w:type="dxa" w:w="3427"/>
            <w:vAlign w:val="top"/>
            <w:shd w:fill="FBF8EF"/>
          </w:tcPr>
          <w:p>
            <w:pPr>
              <w:spacing w:after="0"/>
            </w:pPr>
            <w:r/>
            <w:r>
              <w:rPr>
                <w:rFonts w:ascii="Arial" w:hAnsi="Arial" w:eastAsia="Arial"/>
                <w:b w:val="0"/>
                <w:sz w:val="16"/>
              </w:rPr>
              <w:t>Assurer la mise à jour continue du corpus</w:t>
            </w:r>
          </w:p>
        </w:tc>
      </w:tr>
    </w:tbl>
    <w:p/>
    <w:p>
      <w:pPr>
        <w:pStyle w:val="Heading1"/>
      </w:pPr>
      <w:r>
        <w:t>MATRICE DES DOCUMENTS OFFICIELS DÉJÀ CONSOLIDÉS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1F1F1F"/>
          </w:tcPr>
          <w:p>
            <w:pPr>
              <w:spacing w:after="0"/>
            </w:pPr>
            <w:r/>
            <w:r>
              <w:rPr>
                <w:rFonts w:ascii="Arial" w:hAnsi="Arial" w:eastAsia="Arial"/>
                <w:b/>
                <w:color w:val="FFFFFF"/>
                <w:sz w:val="16"/>
              </w:rPr>
              <w:t>No</w:t>
            </w:r>
          </w:p>
        </w:tc>
        <w:tc>
          <w:tcPr>
            <w:tcW w:type="dxa" w:w="2570"/>
            <w:shd w:fill="1F1F1F"/>
          </w:tcPr>
          <w:p>
            <w:pPr>
              <w:spacing w:after="0"/>
            </w:pPr>
            <w:r/>
            <w:r>
              <w:rPr>
                <w:rFonts w:ascii="Arial" w:hAnsi="Arial" w:eastAsia="Arial"/>
                <w:b/>
                <w:color w:val="FFFFFF"/>
                <w:sz w:val="16"/>
              </w:rPr>
              <w:t>Document</w:t>
            </w:r>
          </w:p>
        </w:tc>
        <w:tc>
          <w:tcPr>
            <w:tcW w:type="dxa" w:w="2570"/>
            <w:shd w:fill="1F1F1F"/>
          </w:tcPr>
          <w:p>
            <w:pPr>
              <w:spacing w:after="0"/>
            </w:pPr>
            <w:r/>
            <w:r>
              <w:rPr>
                <w:rFonts w:ascii="Arial" w:hAnsi="Arial" w:eastAsia="Arial"/>
                <w:b/>
                <w:color w:val="FFFFFF"/>
                <w:sz w:val="16"/>
              </w:rPr>
              <w:t>Rôle dans le Système Nova</w:t>
            </w:r>
          </w:p>
        </w:tc>
        <w:tc>
          <w:tcPr>
            <w:tcW w:type="dxa" w:w="2570"/>
            <w:shd w:fill="1F1F1F"/>
          </w:tcPr>
          <w:p>
            <w:pPr>
              <w:spacing w:after="0"/>
            </w:pPr>
            <w:r/>
            <w:r>
              <w:rPr>
                <w:rFonts w:ascii="Arial" w:hAnsi="Arial" w:eastAsia="Arial"/>
                <w:b/>
                <w:color w:val="FFFFFF"/>
                <w:sz w:val="16"/>
              </w:rPr>
              <w:t>Statut</w:t>
            </w:r>
          </w:p>
        </w:tc>
      </w:tr>
      <w:tr>
        <w:tc>
          <w:tcPr>
            <w:tcW w:type="dxa" w:w="2570"/>
            <w:vAlign w:val="top"/>
          </w:tcPr>
          <w:p>
            <w:pPr>
              <w:spacing w:after="0"/>
            </w:pPr>
            <w:r/>
            <w:r>
              <w:rPr>
                <w:rFonts w:ascii="Arial" w:hAnsi="Arial" w:eastAsia="Arial"/>
                <w:b w:val="0"/>
                <w:sz w:val="16"/>
              </w:rPr>
              <w:t>1</w:t>
            </w:r>
          </w:p>
        </w:tc>
        <w:tc>
          <w:tcPr>
            <w:tcW w:type="dxa" w:w="2570"/>
            <w:vAlign w:val="top"/>
          </w:tcPr>
          <w:p>
            <w:pPr>
              <w:spacing w:after="0"/>
            </w:pPr>
            <w:r/>
            <w:r>
              <w:rPr>
                <w:rFonts w:ascii="Arial" w:hAnsi="Arial" w:eastAsia="Arial"/>
                <w:b w:val="0"/>
                <w:sz w:val="16"/>
              </w:rPr>
              <w:t>Constitution &amp; normes fondamentales</w:t>
            </w:r>
          </w:p>
        </w:tc>
        <w:tc>
          <w:tcPr>
            <w:tcW w:type="dxa" w:w="2570"/>
            <w:vAlign w:val="top"/>
          </w:tcPr>
          <w:p>
            <w:pPr>
              <w:spacing w:after="0"/>
            </w:pPr>
            <w:r/>
            <w:r>
              <w:rPr>
                <w:rFonts w:ascii="Arial" w:hAnsi="Arial" w:eastAsia="Arial"/>
                <w:b w:val="0"/>
                <w:sz w:val="16"/>
              </w:rPr>
              <w:t>Norme supérieure, droits, institutions, limites du pouvoir</w:t>
            </w:r>
          </w:p>
        </w:tc>
        <w:tc>
          <w:tcPr>
            <w:tcW w:type="dxa" w:w="2570"/>
            <w:vAlign w:val="top"/>
          </w:tcPr>
          <w:p>
            <w:pPr>
              <w:spacing w:after="0"/>
            </w:pPr>
            <w:r/>
            <w:r>
              <w:rPr>
                <w:rFonts w:ascii="Arial" w:hAnsi="Arial" w:eastAsia="Arial"/>
                <w:b w:val="0"/>
                <w:sz w:val="16"/>
              </w:rPr>
              <w:t>Fait</w:t>
            </w:r>
          </w:p>
        </w:tc>
      </w:tr>
      <w:tr>
        <w:tc>
          <w:tcPr>
            <w:tcW w:type="dxa" w:w="2570"/>
            <w:vAlign w:val="top"/>
            <w:shd w:fill="FBF8EF"/>
          </w:tcPr>
          <w:p>
            <w:pPr>
              <w:spacing w:after="0"/>
            </w:pPr>
            <w:r/>
            <w:r>
              <w:rPr>
                <w:rFonts w:ascii="Arial" w:hAnsi="Arial" w:eastAsia="Arial"/>
                <w:b w:val="0"/>
                <w:sz w:val="16"/>
              </w:rPr>
              <w:t>2</w:t>
            </w:r>
          </w:p>
        </w:tc>
        <w:tc>
          <w:tcPr>
            <w:tcW w:type="dxa" w:w="2570"/>
            <w:vAlign w:val="top"/>
            <w:shd w:fill="FBF8EF"/>
          </w:tcPr>
          <w:p>
            <w:pPr>
              <w:spacing w:after="0"/>
            </w:pPr>
            <w:r/>
            <w:r>
              <w:rPr>
                <w:rFonts w:ascii="Arial" w:hAnsi="Arial" w:eastAsia="Arial"/>
                <w:b w:val="0"/>
                <w:sz w:val="16"/>
              </w:rPr>
              <w:t>Lois organiques &amp; architecture institutionnelle</w:t>
            </w:r>
          </w:p>
        </w:tc>
        <w:tc>
          <w:tcPr>
            <w:tcW w:type="dxa" w:w="2570"/>
            <w:vAlign w:val="top"/>
            <w:shd w:fill="FBF8EF"/>
          </w:tcPr>
          <w:p>
            <w:pPr>
              <w:spacing w:after="0"/>
            </w:pPr>
            <w:r/>
            <w:r>
              <w:rPr>
                <w:rFonts w:ascii="Arial" w:hAnsi="Arial" w:eastAsia="Arial"/>
                <w:b w:val="0"/>
                <w:sz w:val="16"/>
              </w:rPr>
              <w:t>Organisation des pouvoirs, autorités indépendantes, institutions</w:t>
            </w:r>
          </w:p>
        </w:tc>
        <w:tc>
          <w:tcPr>
            <w:tcW w:type="dxa" w:w="2570"/>
            <w:vAlign w:val="top"/>
            <w:shd w:fill="FBF8EF"/>
          </w:tcPr>
          <w:p>
            <w:pPr>
              <w:spacing w:after="0"/>
            </w:pPr>
            <w:r/>
            <w:r>
              <w:rPr>
                <w:rFonts w:ascii="Arial" w:hAnsi="Arial" w:eastAsia="Arial"/>
                <w:b w:val="0"/>
                <w:sz w:val="16"/>
              </w:rPr>
              <w:t>Fait</w:t>
            </w:r>
          </w:p>
        </w:tc>
      </w:tr>
      <w:tr>
        <w:tc>
          <w:tcPr>
            <w:tcW w:type="dxa" w:w="2570"/>
            <w:vAlign w:val="top"/>
          </w:tcPr>
          <w:p>
            <w:pPr>
              <w:spacing w:after="0"/>
            </w:pPr>
            <w:r/>
            <w:r>
              <w:rPr>
                <w:rFonts w:ascii="Arial" w:hAnsi="Arial" w:eastAsia="Arial"/>
                <w:b w:val="0"/>
                <w:sz w:val="16"/>
              </w:rPr>
              <w:t>3</w:t>
            </w:r>
          </w:p>
        </w:tc>
        <w:tc>
          <w:tcPr>
            <w:tcW w:type="dxa" w:w="2570"/>
            <w:vAlign w:val="top"/>
          </w:tcPr>
          <w:p>
            <w:pPr>
              <w:spacing w:after="0"/>
            </w:pPr>
            <w:r/>
            <w:r>
              <w:rPr>
                <w:rFonts w:ascii="Arial" w:hAnsi="Arial" w:eastAsia="Arial"/>
                <w:b w:val="0"/>
                <w:sz w:val="16"/>
              </w:rPr>
              <w:t>Lois administratives &amp; fonctionnement de l’État</w:t>
            </w:r>
          </w:p>
        </w:tc>
        <w:tc>
          <w:tcPr>
            <w:tcW w:type="dxa" w:w="2570"/>
            <w:vAlign w:val="top"/>
          </w:tcPr>
          <w:p>
            <w:pPr>
              <w:spacing w:after="0"/>
            </w:pPr>
            <w:r/>
            <w:r>
              <w:rPr>
                <w:rFonts w:ascii="Arial" w:hAnsi="Arial" w:eastAsia="Arial"/>
                <w:b w:val="0"/>
                <w:sz w:val="16"/>
              </w:rPr>
              <w:t>Administration publique, contrats, transparence, services</w:t>
            </w:r>
          </w:p>
        </w:tc>
        <w:tc>
          <w:tcPr>
            <w:tcW w:type="dxa" w:w="2570"/>
            <w:vAlign w:val="top"/>
          </w:tcPr>
          <w:p>
            <w:pPr>
              <w:spacing w:after="0"/>
            </w:pPr>
            <w:r/>
            <w:r>
              <w:rPr>
                <w:rFonts w:ascii="Arial" w:hAnsi="Arial" w:eastAsia="Arial"/>
                <w:b w:val="0"/>
                <w:sz w:val="16"/>
              </w:rPr>
              <w:t>Fait</w:t>
            </w:r>
          </w:p>
        </w:tc>
      </w:tr>
      <w:tr>
        <w:tc>
          <w:tcPr>
            <w:tcW w:type="dxa" w:w="2570"/>
            <w:vAlign w:val="top"/>
            <w:shd w:fill="FBF8EF"/>
          </w:tcPr>
          <w:p>
            <w:pPr>
              <w:spacing w:after="0"/>
            </w:pPr>
            <w:r/>
            <w:r>
              <w:rPr>
                <w:rFonts w:ascii="Arial" w:hAnsi="Arial" w:eastAsia="Arial"/>
                <w:b w:val="0"/>
                <w:sz w:val="16"/>
              </w:rPr>
              <w:t>4</w:t>
            </w:r>
          </w:p>
        </w:tc>
        <w:tc>
          <w:tcPr>
            <w:tcW w:type="dxa" w:w="2570"/>
            <w:vAlign w:val="top"/>
            <w:shd w:fill="FBF8EF"/>
          </w:tcPr>
          <w:p>
            <w:pPr>
              <w:spacing w:after="0"/>
            </w:pPr>
            <w:r/>
            <w:r>
              <w:rPr>
                <w:rFonts w:ascii="Arial" w:hAnsi="Arial" w:eastAsia="Arial"/>
                <w:b w:val="0"/>
                <w:sz w:val="16"/>
              </w:rPr>
              <w:t>Lois ordinaires &amp; droit public opérationnel</w:t>
            </w:r>
          </w:p>
        </w:tc>
        <w:tc>
          <w:tcPr>
            <w:tcW w:type="dxa" w:w="2570"/>
            <w:vAlign w:val="top"/>
            <w:shd w:fill="FBF8EF"/>
          </w:tcPr>
          <w:p>
            <w:pPr>
              <w:spacing w:after="0"/>
            </w:pPr>
            <w:r/>
            <w:r>
              <w:rPr>
                <w:rFonts w:ascii="Arial" w:hAnsi="Arial" w:eastAsia="Arial"/>
                <w:b w:val="0"/>
                <w:sz w:val="16"/>
              </w:rPr>
              <w:t>Règles de politique publique et application citoyenne</w:t>
            </w:r>
          </w:p>
        </w:tc>
        <w:tc>
          <w:tcPr>
            <w:tcW w:type="dxa" w:w="2570"/>
            <w:vAlign w:val="top"/>
            <w:shd w:fill="FBF8EF"/>
          </w:tcPr>
          <w:p>
            <w:pPr>
              <w:spacing w:after="0"/>
            </w:pPr>
            <w:r/>
            <w:r>
              <w:rPr>
                <w:rFonts w:ascii="Arial" w:hAnsi="Arial" w:eastAsia="Arial"/>
                <w:b w:val="0"/>
                <w:sz w:val="16"/>
              </w:rPr>
              <w:t>Fait</w:t>
            </w:r>
          </w:p>
        </w:tc>
      </w:tr>
      <w:tr>
        <w:tc>
          <w:tcPr>
            <w:tcW w:type="dxa" w:w="2570"/>
            <w:vAlign w:val="top"/>
          </w:tcPr>
          <w:p>
            <w:pPr>
              <w:spacing w:after="0"/>
            </w:pPr>
            <w:r/>
            <w:r>
              <w:rPr>
                <w:rFonts w:ascii="Arial" w:hAnsi="Arial" w:eastAsia="Arial"/>
                <w:b w:val="0"/>
                <w:sz w:val="16"/>
              </w:rPr>
              <w:t>5</w:t>
            </w:r>
          </w:p>
        </w:tc>
        <w:tc>
          <w:tcPr>
            <w:tcW w:type="dxa" w:w="2570"/>
            <w:vAlign w:val="top"/>
          </w:tcPr>
          <w:p>
            <w:pPr>
              <w:spacing w:after="0"/>
            </w:pPr>
            <w:r/>
            <w:r>
              <w:rPr>
                <w:rFonts w:ascii="Arial" w:hAnsi="Arial" w:eastAsia="Arial"/>
                <w:b w:val="0"/>
                <w:sz w:val="16"/>
              </w:rPr>
              <w:t>Règlements &amp; application normative</w:t>
            </w:r>
          </w:p>
        </w:tc>
        <w:tc>
          <w:tcPr>
            <w:tcW w:type="dxa" w:w="2570"/>
            <w:vAlign w:val="top"/>
          </w:tcPr>
          <w:p>
            <w:pPr>
              <w:spacing w:after="0"/>
            </w:pPr>
            <w:r/>
            <w:r>
              <w:rPr>
                <w:rFonts w:ascii="Arial" w:hAnsi="Arial" w:eastAsia="Arial"/>
                <w:b w:val="0"/>
                <w:sz w:val="16"/>
              </w:rPr>
              <w:t>Détails d’exécution et procédures</w:t>
            </w:r>
          </w:p>
        </w:tc>
        <w:tc>
          <w:tcPr>
            <w:tcW w:type="dxa" w:w="2570"/>
            <w:vAlign w:val="top"/>
          </w:tcPr>
          <w:p>
            <w:pPr>
              <w:spacing w:after="0"/>
            </w:pPr>
            <w:r/>
            <w:r>
              <w:rPr>
                <w:rFonts w:ascii="Arial" w:hAnsi="Arial" w:eastAsia="Arial"/>
                <w:b w:val="0"/>
                <w:sz w:val="16"/>
              </w:rPr>
              <w:t>Fait</w:t>
            </w:r>
          </w:p>
        </w:tc>
      </w:tr>
      <w:tr>
        <w:tc>
          <w:tcPr>
            <w:tcW w:type="dxa" w:w="2570"/>
            <w:vAlign w:val="top"/>
            <w:shd w:fill="FBF8EF"/>
          </w:tcPr>
          <w:p>
            <w:pPr>
              <w:spacing w:after="0"/>
            </w:pPr>
            <w:r/>
            <w:r>
              <w:rPr>
                <w:rFonts w:ascii="Arial" w:hAnsi="Arial" w:eastAsia="Arial"/>
                <w:b w:val="0"/>
                <w:sz w:val="16"/>
              </w:rPr>
              <w:t>6</w:t>
            </w:r>
          </w:p>
        </w:tc>
        <w:tc>
          <w:tcPr>
            <w:tcW w:type="dxa" w:w="2570"/>
            <w:vAlign w:val="top"/>
            <w:shd w:fill="FBF8EF"/>
          </w:tcPr>
          <w:p>
            <w:pPr>
              <w:spacing w:after="0"/>
            </w:pPr>
            <w:r/>
            <w:r>
              <w:rPr>
                <w:rFonts w:ascii="Arial" w:hAnsi="Arial" w:eastAsia="Arial"/>
                <w:b w:val="0"/>
                <w:sz w:val="16"/>
              </w:rPr>
              <w:t>Outil de transition constitutionnelle</w:t>
            </w:r>
          </w:p>
        </w:tc>
        <w:tc>
          <w:tcPr>
            <w:tcW w:type="dxa" w:w="2570"/>
            <w:vAlign w:val="top"/>
            <w:shd w:fill="FBF8EF"/>
          </w:tcPr>
          <w:p>
            <w:pPr>
              <w:spacing w:after="0"/>
            </w:pPr>
            <w:r/>
            <w:r>
              <w:rPr>
                <w:rFonts w:ascii="Arial" w:hAnsi="Arial" w:eastAsia="Arial"/>
                <w:b w:val="0"/>
                <w:sz w:val="16"/>
              </w:rPr>
              <w:t>Passage entre l’ordre actuel et le cadre Nova</w:t>
            </w:r>
          </w:p>
        </w:tc>
        <w:tc>
          <w:tcPr>
            <w:tcW w:type="dxa" w:w="2570"/>
            <w:vAlign w:val="top"/>
            <w:shd w:fill="FBF8EF"/>
          </w:tcPr>
          <w:p>
            <w:pPr>
              <w:spacing w:after="0"/>
            </w:pPr>
            <w:r/>
            <w:r>
              <w:rPr>
                <w:rFonts w:ascii="Arial" w:hAnsi="Arial" w:eastAsia="Arial"/>
                <w:b w:val="0"/>
                <w:sz w:val="16"/>
              </w:rPr>
              <w:t>Fait</w:t>
            </w:r>
          </w:p>
        </w:tc>
      </w:tr>
      <w:tr>
        <w:tc>
          <w:tcPr>
            <w:tcW w:type="dxa" w:w="2570"/>
            <w:vAlign w:val="top"/>
          </w:tcPr>
          <w:p>
            <w:pPr>
              <w:spacing w:after="0"/>
            </w:pPr>
            <w:r/>
            <w:r>
              <w:rPr>
                <w:rFonts w:ascii="Arial" w:hAnsi="Arial" w:eastAsia="Arial"/>
                <w:b w:val="0"/>
                <w:sz w:val="16"/>
              </w:rPr>
              <w:t>7</w:t>
            </w:r>
          </w:p>
        </w:tc>
        <w:tc>
          <w:tcPr>
            <w:tcW w:type="dxa" w:w="2570"/>
            <w:vAlign w:val="top"/>
          </w:tcPr>
          <w:p>
            <w:pPr>
              <w:spacing w:after="0"/>
            </w:pPr>
            <w:r/>
            <w:r>
              <w:rPr>
                <w:rFonts w:ascii="Arial" w:hAnsi="Arial" w:eastAsia="Arial"/>
                <w:b w:val="0"/>
                <w:sz w:val="16"/>
              </w:rPr>
              <w:t>Volet 1 - Québec dans le Canada</w:t>
            </w:r>
          </w:p>
        </w:tc>
        <w:tc>
          <w:tcPr>
            <w:tcW w:type="dxa" w:w="2570"/>
            <w:vAlign w:val="top"/>
          </w:tcPr>
          <w:p>
            <w:pPr>
              <w:spacing w:after="0"/>
            </w:pPr>
            <w:r/>
            <w:r>
              <w:rPr>
                <w:rFonts w:ascii="Arial" w:hAnsi="Arial" w:eastAsia="Arial"/>
                <w:b w:val="0"/>
                <w:sz w:val="16"/>
              </w:rPr>
              <w:t>Diagnostic et limites du cadre actuel</w:t>
            </w:r>
          </w:p>
        </w:tc>
        <w:tc>
          <w:tcPr>
            <w:tcW w:type="dxa" w:w="2570"/>
            <w:vAlign w:val="top"/>
          </w:tcPr>
          <w:p>
            <w:pPr>
              <w:spacing w:after="0"/>
            </w:pPr>
            <w:r/>
            <w:r>
              <w:rPr>
                <w:rFonts w:ascii="Arial" w:hAnsi="Arial" w:eastAsia="Arial"/>
                <w:b w:val="0"/>
                <w:sz w:val="16"/>
              </w:rPr>
              <w:t>Fait</w:t>
            </w:r>
          </w:p>
        </w:tc>
      </w:tr>
      <w:tr>
        <w:tc>
          <w:tcPr>
            <w:tcW w:type="dxa" w:w="2570"/>
            <w:vAlign w:val="top"/>
            <w:shd w:fill="FBF8EF"/>
          </w:tcPr>
          <w:p>
            <w:pPr>
              <w:spacing w:after="0"/>
            </w:pPr>
            <w:r/>
            <w:r>
              <w:rPr>
                <w:rFonts w:ascii="Arial" w:hAnsi="Arial" w:eastAsia="Arial"/>
                <w:b w:val="0"/>
                <w:sz w:val="16"/>
              </w:rPr>
              <w:t>8</w:t>
            </w:r>
          </w:p>
        </w:tc>
        <w:tc>
          <w:tcPr>
            <w:tcW w:type="dxa" w:w="2570"/>
            <w:vAlign w:val="top"/>
            <w:shd w:fill="FBF8EF"/>
          </w:tcPr>
          <w:p>
            <w:pPr>
              <w:spacing w:after="0"/>
            </w:pPr>
            <w:r/>
            <w:r>
              <w:rPr>
                <w:rFonts w:ascii="Arial" w:hAnsi="Arial" w:eastAsia="Arial"/>
                <w:b w:val="0"/>
                <w:sz w:val="16"/>
              </w:rPr>
              <w:t>Volet 2 - Québec en transition constitutionnelle</w:t>
            </w:r>
          </w:p>
        </w:tc>
        <w:tc>
          <w:tcPr>
            <w:tcW w:type="dxa" w:w="2570"/>
            <w:vAlign w:val="top"/>
            <w:shd w:fill="FBF8EF"/>
          </w:tcPr>
          <w:p>
            <w:pPr>
              <w:spacing w:after="0"/>
            </w:pPr>
            <w:r/>
            <w:r>
              <w:rPr>
                <w:rFonts w:ascii="Arial" w:hAnsi="Arial" w:eastAsia="Arial"/>
                <w:b w:val="0"/>
                <w:sz w:val="16"/>
              </w:rPr>
              <w:t>Phase transitoire, continuité, garanties</w:t>
            </w:r>
          </w:p>
        </w:tc>
        <w:tc>
          <w:tcPr>
            <w:tcW w:type="dxa" w:w="2570"/>
            <w:vAlign w:val="top"/>
            <w:shd w:fill="FBF8EF"/>
          </w:tcPr>
          <w:p>
            <w:pPr>
              <w:spacing w:after="0"/>
            </w:pPr>
            <w:r/>
            <w:r>
              <w:rPr>
                <w:rFonts w:ascii="Arial" w:hAnsi="Arial" w:eastAsia="Arial"/>
                <w:b w:val="0"/>
                <w:sz w:val="16"/>
              </w:rPr>
              <w:t>Fait</w:t>
            </w:r>
          </w:p>
        </w:tc>
      </w:tr>
      <w:tr>
        <w:tc>
          <w:tcPr>
            <w:tcW w:type="dxa" w:w="2570"/>
            <w:vAlign w:val="top"/>
          </w:tcPr>
          <w:p>
            <w:pPr>
              <w:spacing w:after="0"/>
            </w:pPr>
            <w:r/>
            <w:r>
              <w:rPr>
                <w:rFonts w:ascii="Arial" w:hAnsi="Arial" w:eastAsia="Arial"/>
                <w:b w:val="0"/>
                <w:sz w:val="16"/>
              </w:rPr>
              <w:t>9</w:t>
            </w:r>
          </w:p>
        </w:tc>
        <w:tc>
          <w:tcPr>
            <w:tcW w:type="dxa" w:w="2570"/>
            <w:vAlign w:val="top"/>
          </w:tcPr>
          <w:p>
            <w:pPr>
              <w:spacing w:after="0"/>
            </w:pPr>
            <w:r/>
            <w:r>
              <w:rPr>
                <w:rFonts w:ascii="Arial" w:hAnsi="Arial" w:eastAsia="Arial"/>
                <w:b w:val="0"/>
                <w:sz w:val="16"/>
              </w:rPr>
              <w:t>Volet 3 - Québec pays souverain</w:t>
            </w:r>
          </w:p>
        </w:tc>
        <w:tc>
          <w:tcPr>
            <w:tcW w:type="dxa" w:w="2570"/>
            <w:vAlign w:val="top"/>
          </w:tcPr>
          <w:p>
            <w:pPr>
              <w:spacing w:after="0"/>
            </w:pPr>
            <w:r/>
            <w:r>
              <w:rPr>
                <w:rFonts w:ascii="Arial" w:hAnsi="Arial" w:eastAsia="Arial"/>
                <w:b w:val="0"/>
                <w:sz w:val="16"/>
              </w:rPr>
              <w:t>État final souverain consolidé</w:t>
            </w:r>
          </w:p>
        </w:tc>
        <w:tc>
          <w:tcPr>
            <w:tcW w:type="dxa" w:w="2570"/>
            <w:vAlign w:val="top"/>
          </w:tcPr>
          <w:p>
            <w:pPr>
              <w:spacing w:after="0"/>
            </w:pPr>
            <w:r/>
            <w:r>
              <w:rPr>
                <w:rFonts w:ascii="Arial" w:hAnsi="Arial" w:eastAsia="Arial"/>
                <w:b w:val="0"/>
                <w:sz w:val="16"/>
              </w:rPr>
              <w:t>Fait</w:t>
            </w:r>
          </w:p>
        </w:tc>
      </w:tr>
      <w:tr>
        <w:tc>
          <w:tcPr>
            <w:tcW w:type="dxa" w:w="2570"/>
            <w:vAlign w:val="top"/>
            <w:shd w:fill="FBF8EF"/>
          </w:tcPr>
          <w:p>
            <w:pPr>
              <w:spacing w:after="0"/>
            </w:pPr>
            <w:r/>
            <w:r>
              <w:rPr>
                <w:rFonts w:ascii="Arial" w:hAnsi="Arial" w:eastAsia="Arial"/>
                <w:b w:val="0"/>
                <w:sz w:val="16"/>
              </w:rPr>
              <w:t>10</w:t>
            </w:r>
          </w:p>
        </w:tc>
        <w:tc>
          <w:tcPr>
            <w:tcW w:type="dxa" w:w="2570"/>
            <w:vAlign w:val="top"/>
            <w:shd w:fill="FBF8EF"/>
          </w:tcPr>
          <w:p>
            <w:pPr>
              <w:spacing w:after="0"/>
            </w:pPr>
            <w:r/>
            <w:r>
              <w:rPr>
                <w:rFonts w:ascii="Arial" w:hAnsi="Arial" w:eastAsia="Arial"/>
                <w:b w:val="0"/>
                <w:sz w:val="16"/>
              </w:rPr>
              <w:t>Dossier État &amp; corpus institutionnel maître</w:t>
            </w:r>
          </w:p>
        </w:tc>
        <w:tc>
          <w:tcPr>
            <w:tcW w:type="dxa" w:w="2570"/>
            <w:vAlign w:val="top"/>
            <w:shd w:fill="FBF8EF"/>
          </w:tcPr>
          <w:p>
            <w:pPr>
              <w:spacing w:after="0"/>
            </w:pPr>
            <w:r/>
            <w:r>
              <w:rPr>
                <w:rFonts w:ascii="Arial" w:hAnsi="Arial" w:eastAsia="Arial"/>
                <w:b w:val="0"/>
                <w:sz w:val="16"/>
              </w:rPr>
              <w:t>Architecture globale du corpus</w:t>
            </w:r>
          </w:p>
        </w:tc>
        <w:tc>
          <w:tcPr>
            <w:tcW w:type="dxa" w:w="2570"/>
            <w:vAlign w:val="top"/>
            <w:shd w:fill="FBF8EF"/>
          </w:tcPr>
          <w:p>
            <w:pPr>
              <w:spacing w:after="0"/>
            </w:pPr>
            <w:r/>
            <w:r>
              <w:rPr>
                <w:rFonts w:ascii="Arial" w:hAnsi="Arial" w:eastAsia="Arial"/>
                <w:b w:val="0"/>
                <w:sz w:val="16"/>
              </w:rPr>
              <w:t>Fait</w:t>
            </w:r>
          </w:p>
        </w:tc>
      </w:tr>
      <w:tr>
        <w:tc>
          <w:tcPr>
            <w:tcW w:type="dxa" w:w="2570"/>
            <w:vAlign w:val="top"/>
          </w:tcPr>
          <w:p>
            <w:pPr>
              <w:spacing w:after="0"/>
            </w:pPr>
            <w:r/>
            <w:r>
              <w:rPr>
                <w:rFonts w:ascii="Arial" w:hAnsi="Arial" w:eastAsia="Arial"/>
                <w:b w:val="0"/>
                <w:sz w:val="16"/>
              </w:rPr>
              <w:t>11</w:t>
            </w:r>
          </w:p>
        </w:tc>
        <w:tc>
          <w:tcPr>
            <w:tcW w:type="dxa" w:w="2570"/>
            <w:vAlign w:val="top"/>
          </w:tcPr>
          <w:p>
            <w:pPr>
              <w:spacing w:after="0"/>
            </w:pPr>
            <w:r/>
            <w:r>
              <w:rPr>
                <w:rFonts w:ascii="Arial" w:hAnsi="Arial" w:eastAsia="Arial"/>
                <w:b w:val="0"/>
                <w:sz w:val="16"/>
              </w:rPr>
              <w:t>Table de concordance normative &amp; outil de contrôle</w:t>
            </w:r>
          </w:p>
        </w:tc>
        <w:tc>
          <w:tcPr>
            <w:tcW w:type="dxa" w:w="2570"/>
            <w:vAlign w:val="top"/>
          </w:tcPr>
          <w:p>
            <w:pPr>
              <w:spacing w:after="0"/>
            </w:pPr>
            <w:r/>
            <w:r>
              <w:rPr>
                <w:rFonts w:ascii="Arial" w:hAnsi="Arial" w:eastAsia="Arial"/>
                <w:b w:val="0"/>
                <w:sz w:val="16"/>
              </w:rPr>
              <w:t>Liaison, cohérence, contrôle anti-contournement</w:t>
            </w:r>
          </w:p>
        </w:tc>
        <w:tc>
          <w:tcPr>
            <w:tcW w:type="dxa" w:w="2570"/>
            <w:vAlign w:val="top"/>
          </w:tcPr>
          <w:p>
            <w:pPr>
              <w:spacing w:after="0"/>
            </w:pPr>
            <w:r/>
            <w:r>
              <w:rPr>
                <w:rFonts w:ascii="Arial" w:hAnsi="Arial" w:eastAsia="Arial"/>
                <w:b w:val="0"/>
                <w:sz w:val="16"/>
              </w:rPr>
              <w:t>Présent document</w:t>
            </w:r>
          </w:p>
        </w:tc>
      </w:tr>
    </w:tbl>
    <w:p/>
    <w:p>
      <w:pPr>
        <w:pStyle w:val="Heading1"/>
      </w:pPr>
      <w:r>
        <w:t>DOCUMENTS RESTANTS APRÈS CE DOCUMENT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F1F1F"/>
          </w:tcPr>
          <w:p>
            <w:pPr>
              <w:spacing w:after="0"/>
            </w:pPr>
            <w:r/>
            <w:r>
              <w:rPr>
                <w:rFonts w:ascii="Arial" w:hAnsi="Arial" w:eastAsia="Arial"/>
                <w:b/>
                <w:color w:val="FFFFFF"/>
                <w:sz w:val="16"/>
              </w:rPr>
              <w:t>No</w:t>
            </w:r>
          </w:p>
        </w:tc>
        <w:tc>
          <w:tcPr>
            <w:tcW w:type="dxa" w:w="3427"/>
            <w:shd w:fill="1F1F1F"/>
          </w:tcPr>
          <w:p>
            <w:pPr>
              <w:spacing w:after="0"/>
            </w:pPr>
            <w:r/>
            <w:r>
              <w:rPr>
                <w:rFonts w:ascii="Arial" w:hAnsi="Arial" w:eastAsia="Arial"/>
                <w:b/>
                <w:color w:val="FFFFFF"/>
                <w:sz w:val="16"/>
              </w:rPr>
              <w:t>Document restant</w:t>
            </w:r>
          </w:p>
        </w:tc>
        <w:tc>
          <w:tcPr>
            <w:tcW w:type="dxa" w:w="3427"/>
            <w:shd w:fill="1F1F1F"/>
          </w:tcPr>
          <w:p>
            <w:pPr>
              <w:spacing w:after="0"/>
            </w:pPr>
            <w:r/>
            <w:r>
              <w:rPr>
                <w:rFonts w:ascii="Arial" w:hAnsi="Arial" w:eastAsia="Arial"/>
                <w:b/>
                <w:color w:val="FFFFFF"/>
                <w:sz w:val="16"/>
              </w:rPr>
              <w:t>Fonction</w:t>
            </w:r>
          </w:p>
        </w:tc>
      </w:tr>
      <w:tr>
        <w:tc>
          <w:tcPr>
            <w:tcW w:type="dxa" w:w="3427"/>
            <w:vAlign w:val="top"/>
          </w:tcPr>
          <w:p>
            <w:pPr>
              <w:spacing w:after="0"/>
            </w:pPr>
            <w:r/>
            <w:r>
              <w:rPr>
                <w:rFonts w:ascii="Arial" w:hAnsi="Arial" w:eastAsia="Arial"/>
                <w:b w:val="0"/>
                <w:sz w:val="16"/>
              </w:rPr>
              <w:t>1</w:t>
            </w:r>
          </w:p>
        </w:tc>
        <w:tc>
          <w:tcPr>
            <w:tcW w:type="dxa" w:w="3427"/>
            <w:vAlign w:val="top"/>
          </w:tcPr>
          <w:p>
            <w:pPr>
              <w:spacing w:after="0"/>
            </w:pPr>
            <w:r/>
            <w:r>
              <w:rPr>
                <w:rFonts w:ascii="Arial" w:hAnsi="Arial" w:eastAsia="Arial"/>
                <w:b w:val="0"/>
                <w:sz w:val="16"/>
              </w:rPr>
              <w:t>Registre complet des risques résiduels &amp; correctifs</w:t>
            </w:r>
          </w:p>
        </w:tc>
        <w:tc>
          <w:tcPr>
            <w:tcW w:type="dxa" w:w="3427"/>
            <w:vAlign w:val="top"/>
          </w:tcPr>
          <w:p>
            <w:pPr>
              <w:spacing w:after="0"/>
            </w:pPr>
            <w:r/>
            <w:r>
              <w:rPr>
                <w:rFonts w:ascii="Arial" w:hAnsi="Arial" w:eastAsia="Arial"/>
                <w:b w:val="0"/>
                <w:sz w:val="16"/>
              </w:rPr>
              <w:t>Repérer les failles restantes et prévoir les protections</w:t>
            </w:r>
          </w:p>
        </w:tc>
      </w:tr>
      <w:tr>
        <w:tc>
          <w:tcPr>
            <w:tcW w:type="dxa" w:w="3427"/>
            <w:vAlign w:val="top"/>
            <w:shd w:fill="FBF8EF"/>
          </w:tcPr>
          <w:p>
            <w:pPr>
              <w:spacing w:after="0"/>
            </w:pPr>
            <w:r/>
            <w:r>
              <w:rPr>
                <w:rFonts w:ascii="Arial" w:hAnsi="Arial" w:eastAsia="Arial"/>
                <w:b w:val="0"/>
                <w:sz w:val="16"/>
              </w:rPr>
              <w:t>2</w:t>
            </w:r>
          </w:p>
        </w:tc>
        <w:tc>
          <w:tcPr>
            <w:tcW w:type="dxa" w:w="3427"/>
            <w:vAlign w:val="top"/>
            <w:shd w:fill="FBF8EF"/>
          </w:tcPr>
          <w:p>
            <w:pPr>
              <w:spacing w:after="0"/>
            </w:pPr>
            <w:r/>
            <w:r>
              <w:rPr>
                <w:rFonts w:ascii="Arial" w:hAnsi="Arial" w:eastAsia="Arial"/>
                <w:b w:val="0"/>
                <w:sz w:val="16"/>
              </w:rPr>
              <w:t>Audit de défense constitutionnelle</w:t>
            </w:r>
          </w:p>
        </w:tc>
        <w:tc>
          <w:tcPr>
            <w:tcW w:type="dxa" w:w="3427"/>
            <w:vAlign w:val="top"/>
            <w:shd w:fill="FBF8EF"/>
          </w:tcPr>
          <w:p>
            <w:pPr>
              <w:spacing w:after="0"/>
            </w:pPr>
            <w:r/>
            <w:r>
              <w:rPr>
                <w:rFonts w:ascii="Arial" w:hAnsi="Arial" w:eastAsia="Arial"/>
                <w:b w:val="0"/>
                <w:sz w:val="16"/>
              </w:rPr>
              <w:t>Tester le système contre les abus, contournements et captures</w:t>
            </w:r>
          </w:p>
        </w:tc>
      </w:tr>
      <w:tr>
        <w:tc>
          <w:tcPr>
            <w:tcW w:type="dxa" w:w="3427"/>
            <w:vAlign w:val="top"/>
          </w:tcPr>
          <w:p>
            <w:pPr>
              <w:spacing w:after="0"/>
            </w:pPr>
            <w:r/>
            <w:r>
              <w:rPr>
                <w:rFonts w:ascii="Arial" w:hAnsi="Arial" w:eastAsia="Arial"/>
                <w:b w:val="0"/>
                <w:sz w:val="16"/>
              </w:rPr>
              <w:t>3</w:t>
            </w:r>
          </w:p>
        </w:tc>
        <w:tc>
          <w:tcPr>
            <w:tcW w:type="dxa" w:w="3427"/>
            <w:vAlign w:val="top"/>
          </w:tcPr>
          <w:p>
            <w:pPr>
              <w:spacing w:after="0"/>
            </w:pPr>
            <w:r/>
            <w:r>
              <w:rPr>
                <w:rFonts w:ascii="Arial" w:hAnsi="Arial" w:eastAsia="Arial"/>
                <w:b w:val="0"/>
                <w:sz w:val="16"/>
              </w:rPr>
              <w:t>Version publique simplifiée - citoyens</w:t>
            </w:r>
          </w:p>
        </w:tc>
        <w:tc>
          <w:tcPr>
            <w:tcW w:type="dxa" w:w="3427"/>
            <w:vAlign w:val="top"/>
          </w:tcPr>
          <w:p>
            <w:pPr>
              <w:spacing w:after="0"/>
            </w:pPr>
            <w:r/>
            <w:r>
              <w:rPr>
                <w:rFonts w:ascii="Arial" w:hAnsi="Arial" w:eastAsia="Arial"/>
                <w:b w:val="0"/>
                <w:sz w:val="16"/>
              </w:rPr>
              <w:t>Rendre le système compréhensible au public</w:t>
            </w:r>
          </w:p>
        </w:tc>
      </w:tr>
      <w:tr>
        <w:tc>
          <w:tcPr>
            <w:tcW w:type="dxa" w:w="3427"/>
            <w:vAlign w:val="top"/>
            <w:shd w:fill="FBF8EF"/>
          </w:tcPr>
          <w:p>
            <w:pPr>
              <w:spacing w:after="0"/>
            </w:pPr>
            <w:r/>
            <w:r>
              <w:rPr>
                <w:rFonts w:ascii="Arial" w:hAnsi="Arial" w:eastAsia="Arial"/>
                <w:b w:val="0"/>
                <w:sz w:val="16"/>
              </w:rPr>
              <w:t>4</w:t>
            </w:r>
          </w:p>
        </w:tc>
        <w:tc>
          <w:tcPr>
            <w:tcW w:type="dxa" w:w="3427"/>
            <w:vAlign w:val="top"/>
            <w:shd w:fill="FBF8EF"/>
          </w:tcPr>
          <w:p>
            <w:pPr>
              <w:spacing w:after="0"/>
            </w:pPr>
            <w:r/>
            <w:r>
              <w:rPr>
                <w:rFonts w:ascii="Arial" w:hAnsi="Arial" w:eastAsia="Arial"/>
                <w:b w:val="0"/>
                <w:sz w:val="16"/>
              </w:rPr>
              <w:t>Code de conduite &amp; gouvernance interne Nova</w:t>
            </w:r>
          </w:p>
        </w:tc>
        <w:tc>
          <w:tcPr>
            <w:tcW w:type="dxa" w:w="3427"/>
            <w:vAlign w:val="top"/>
            <w:shd w:fill="FBF8EF"/>
          </w:tcPr>
          <w:p>
            <w:pPr>
              <w:spacing w:after="0"/>
            </w:pPr>
            <w:r/>
            <w:r>
              <w:rPr>
                <w:rFonts w:ascii="Arial" w:hAnsi="Arial" w:eastAsia="Arial"/>
                <w:b w:val="0"/>
                <w:sz w:val="16"/>
              </w:rPr>
              <w:t>Encadrer membres, candidats, élus et responsables</w:t>
            </w:r>
          </w:p>
        </w:tc>
      </w:tr>
    </w:tbl>
    <w:p/>
    <w:p>
      <w:pPr>
        <w:pStyle w:val="Heading1"/>
      </w:pPr>
      <w:r>
        <w:t>HIÉRARCHIE NORMATIVE DE CONTRÔLE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F1F1F"/>
          </w:tcPr>
          <w:p>
            <w:pPr>
              <w:spacing w:after="0"/>
            </w:pPr>
            <w:r/>
            <w:r>
              <w:rPr>
                <w:rFonts w:ascii="Arial" w:hAnsi="Arial" w:eastAsia="Arial"/>
                <w:b/>
                <w:color w:val="FFFFFF"/>
                <w:sz w:val="16"/>
              </w:rPr>
              <w:t>Rang</w:t>
            </w:r>
          </w:p>
        </w:tc>
        <w:tc>
          <w:tcPr>
            <w:tcW w:type="dxa" w:w="3427"/>
            <w:shd w:fill="1F1F1F"/>
          </w:tcPr>
          <w:p>
            <w:pPr>
              <w:spacing w:after="0"/>
            </w:pPr>
            <w:r/>
            <w:r>
              <w:rPr>
                <w:rFonts w:ascii="Arial" w:hAnsi="Arial" w:eastAsia="Arial"/>
                <w:b/>
                <w:color w:val="FFFFFF"/>
                <w:sz w:val="16"/>
              </w:rPr>
              <w:t>Texte ou source</w:t>
            </w:r>
          </w:p>
        </w:tc>
        <w:tc>
          <w:tcPr>
            <w:tcW w:type="dxa" w:w="3427"/>
            <w:shd w:fill="1F1F1F"/>
          </w:tcPr>
          <w:p>
            <w:pPr>
              <w:spacing w:after="0"/>
            </w:pPr>
            <w:r/>
            <w:r>
              <w:rPr>
                <w:rFonts w:ascii="Arial" w:hAnsi="Arial" w:eastAsia="Arial"/>
                <w:b/>
                <w:color w:val="FFFFFF"/>
                <w:sz w:val="16"/>
              </w:rPr>
              <w:t>Effet</w:t>
            </w:r>
          </w:p>
        </w:tc>
      </w:tr>
      <w:tr>
        <w:tc>
          <w:tcPr>
            <w:tcW w:type="dxa" w:w="3427"/>
            <w:vAlign w:val="top"/>
          </w:tcPr>
          <w:p>
            <w:pPr>
              <w:spacing w:after="0"/>
            </w:pPr>
            <w:r/>
            <w:r>
              <w:rPr>
                <w:rFonts w:ascii="Arial" w:hAnsi="Arial" w:eastAsia="Arial"/>
                <w:b w:val="0"/>
                <w:sz w:val="16"/>
              </w:rPr>
              <w:t>1</w:t>
            </w:r>
          </w:p>
        </w:tc>
        <w:tc>
          <w:tcPr>
            <w:tcW w:type="dxa" w:w="3427"/>
            <w:vAlign w:val="top"/>
          </w:tcPr>
          <w:p>
            <w:pPr>
              <w:spacing w:after="0"/>
            </w:pPr>
            <w:r/>
            <w:r>
              <w:rPr>
                <w:rFonts w:ascii="Arial" w:hAnsi="Arial" w:eastAsia="Arial"/>
                <w:b w:val="0"/>
                <w:sz w:val="16"/>
              </w:rPr>
              <w:t>Souveraineté populaire</w:t>
            </w:r>
          </w:p>
        </w:tc>
        <w:tc>
          <w:tcPr>
            <w:tcW w:type="dxa" w:w="3427"/>
            <w:vAlign w:val="top"/>
          </w:tcPr>
          <w:p>
            <w:pPr>
              <w:spacing w:after="0"/>
            </w:pPr>
            <w:r/>
            <w:r>
              <w:rPr>
                <w:rFonts w:ascii="Arial" w:hAnsi="Arial" w:eastAsia="Arial"/>
                <w:b w:val="0"/>
                <w:sz w:val="16"/>
              </w:rPr>
              <w:t>Source démocratique ultime du mandat et des décisions fondamentales</w:t>
            </w:r>
          </w:p>
        </w:tc>
      </w:tr>
      <w:tr>
        <w:tc>
          <w:tcPr>
            <w:tcW w:type="dxa" w:w="3427"/>
            <w:vAlign w:val="top"/>
            <w:shd w:fill="FBF8EF"/>
          </w:tcPr>
          <w:p>
            <w:pPr>
              <w:spacing w:after="0"/>
            </w:pPr>
            <w:r/>
            <w:r>
              <w:rPr>
                <w:rFonts w:ascii="Arial" w:hAnsi="Arial" w:eastAsia="Arial"/>
                <w:b w:val="0"/>
                <w:sz w:val="16"/>
              </w:rPr>
              <w:t>2</w:t>
            </w:r>
          </w:p>
        </w:tc>
        <w:tc>
          <w:tcPr>
            <w:tcW w:type="dxa" w:w="3427"/>
            <w:vAlign w:val="top"/>
            <w:shd w:fill="FBF8EF"/>
          </w:tcPr>
          <w:p>
            <w:pPr>
              <w:spacing w:after="0"/>
            </w:pPr>
            <w:r/>
            <w:r>
              <w:rPr>
                <w:rFonts w:ascii="Arial" w:hAnsi="Arial" w:eastAsia="Arial"/>
                <w:b w:val="0"/>
                <w:sz w:val="16"/>
              </w:rPr>
              <w:t>Constitution du Québec - Système Nova</w:t>
            </w:r>
          </w:p>
        </w:tc>
        <w:tc>
          <w:tcPr>
            <w:tcW w:type="dxa" w:w="3427"/>
            <w:vAlign w:val="top"/>
            <w:shd w:fill="FBF8EF"/>
          </w:tcPr>
          <w:p>
            <w:pPr>
              <w:spacing w:after="0"/>
            </w:pPr>
            <w:r/>
            <w:r>
              <w:rPr>
                <w:rFonts w:ascii="Arial" w:hAnsi="Arial" w:eastAsia="Arial"/>
                <w:b w:val="0"/>
                <w:sz w:val="16"/>
              </w:rPr>
              <w:t>Norme supérieure applicable aux institutions, lois et règlements</w:t>
            </w:r>
          </w:p>
        </w:tc>
      </w:tr>
      <w:tr>
        <w:tc>
          <w:tcPr>
            <w:tcW w:type="dxa" w:w="3427"/>
            <w:vAlign w:val="top"/>
          </w:tcPr>
          <w:p>
            <w:pPr>
              <w:spacing w:after="0"/>
            </w:pPr>
            <w:r/>
            <w:r>
              <w:rPr>
                <w:rFonts w:ascii="Arial" w:hAnsi="Arial" w:eastAsia="Arial"/>
                <w:b w:val="0"/>
                <w:sz w:val="16"/>
              </w:rPr>
              <w:t>3</w:t>
            </w:r>
          </w:p>
        </w:tc>
        <w:tc>
          <w:tcPr>
            <w:tcW w:type="dxa" w:w="3427"/>
            <w:vAlign w:val="top"/>
          </w:tcPr>
          <w:p>
            <w:pPr>
              <w:spacing w:after="0"/>
            </w:pPr>
            <w:r/>
            <w:r>
              <w:rPr>
                <w:rFonts w:ascii="Arial" w:hAnsi="Arial" w:eastAsia="Arial"/>
                <w:b w:val="0"/>
                <w:sz w:val="16"/>
              </w:rPr>
              <w:t>Normes fondamentales</w:t>
            </w:r>
          </w:p>
        </w:tc>
        <w:tc>
          <w:tcPr>
            <w:tcW w:type="dxa" w:w="3427"/>
            <w:vAlign w:val="top"/>
          </w:tcPr>
          <w:p>
            <w:pPr>
              <w:spacing w:after="0"/>
            </w:pPr>
            <w:r/>
            <w:r>
              <w:rPr>
                <w:rFonts w:ascii="Arial" w:hAnsi="Arial" w:eastAsia="Arial"/>
                <w:b w:val="0"/>
                <w:sz w:val="16"/>
              </w:rPr>
              <w:t>Principes intangibles : vote, transparence, intégrité, français, liberté, anti-contournement</w:t>
            </w:r>
          </w:p>
        </w:tc>
      </w:tr>
      <w:tr>
        <w:tc>
          <w:tcPr>
            <w:tcW w:type="dxa" w:w="3427"/>
            <w:vAlign w:val="top"/>
            <w:shd w:fill="FBF8EF"/>
          </w:tcPr>
          <w:p>
            <w:pPr>
              <w:spacing w:after="0"/>
            </w:pPr>
            <w:r/>
            <w:r>
              <w:rPr>
                <w:rFonts w:ascii="Arial" w:hAnsi="Arial" w:eastAsia="Arial"/>
                <w:b w:val="0"/>
                <w:sz w:val="16"/>
              </w:rPr>
              <w:t>4</w:t>
            </w:r>
          </w:p>
        </w:tc>
        <w:tc>
          <w:tcPr>
            <w:tcW w:type="dxa" w:w="3427"/>
            <w:vAlign w:val="top"/>
            <w:shd w:fill="FBF8EF"/>
          </w:tcPr>
          <w:p>
            <w:pPr>
              <w:spacing w:after="0"/>
            </w:pPr>
            <w:r/>
            <w:r>
              <w:rPr>
                <w:rFonts w:ascii="Arial" w:hAnsi="Arial" w:eastAsia="Arial"/>
                <w:b w:val="0"/>
                <w:sz w:val="16"/>
              </w:rPr>
              <w:t>Lois organiques</w:t>
            </w:r>
          </w:p>
        </w:tc>
        <w:tc>
          <w:tcPr>
            <w:tcW w:type="dxa" w:w="3427"/>
            <w:vAlign w:val="top"/>
            <w:shd w:fill="FBF8EF"/>
          </w:tcPr>
          <w:p>
            <w:pPr>
              <w:spacing w:after="0"/>
            </w:pPr>
            <w:r/>
            <w:r>
              <w:rPr>
                <w:rFonts w:ascii="Arial" w:hAnsi="Arial" w:eastAsia="Arial"/>
                <w:b w:val="0"/>
                <w:sz w:val="16"/>
              </w:rPr>
              <w:t>Organisation des pouvoirs et garanties institutionnelles</w:t>
            </w:r>
          </w:p>
        </w:tc>
      </w:tr>
      <w:tr>
        <w:tc>
          <w:tcPr>
            <w:tcW w:type="dxa" w:w="3427"/>
            <w:vAlign w:val="top"/>
          </w:tcPr>
          <w:p>
            <w:pPr>
              <w:spacing w:after="0"/>
            </w:pPr>
            <w:r/>
            <w:r>
              <w:rPr>
                <w:rFonts w:ascii="Arial" w:hAnsi="Arial" w:eastAsia="Arial"/>
                <w:b w:val="0"/>
                <w:sz w:val="16"/>
              </w:rPr>
              <w:t>5</w:t>
            </w:r>
          </w:p>
        </w:tc>
        <w:tc>
          <w:tcPr>
            <w:tcW w:type="dxa" w:w="3427"/>
            <w:vAlign w:val="top"/>
          </w:tcPr>
          <w:p>
            <w:pPr>
              <w:spacing w:after="0"/>
            </w:pPr>
            <w:r/>
            <w:r>
              <w:rPr>
                <w:rFonts w:ascii="Arial" w:hAnsi="Arial" w:eastAsia="Arial"/>
                <w:b w:val="0"/>
                <w:sz w:val="16"/>
              </w:rPr>
              <w:t>Lois ordinaires</w:t>
            </w:r>
          </w:p>
        </w:tc>
        <w:tc>
          <w:tcPr>
            <w:tcW w:type="dxa" w:w="3427"/>
            <w:vAlign w:val="top"/>
          </w:tcPr>
          <w:p>
            <w:pPr>
              <w:spacing w:after="0"/>
            </w:pPr>
            <w:r/>
            <w:r>
              <w:rPr>
                <w:rFonts w:ascii="Arial" w:hAnsi="Arial" w:eastAsia="Arial"/>
                <w:b w:val="0"/>
                <w:sz w:val="16"/>
              </w:rPr>
              <w:t>Règles générales de politique publique et droits opérationnels</w:t>
            </w:r>
          </w:p>
        </w:tc>
      </w:tr>
      <w:tr>
        <w:tc>
          <w:tcPr>
            <w:tcW w:type="dxa" w:w="3427"/>
            <w:vAlign w:val="top"/>
            <w:shd w:fill="FBF8EF"/>
          </w:tcPr>
          <w:p>
            <w:pPr>
              <w:spacing w:after="0"/>
            </w:pPr>
            <w:r/>
            <w:r>
              <w:rPr>
                <w:rFonts w:ascii="Arial" w:hAnsi="Arial" w:eastAsia="Arial"/>
                <w:b w:val="0"/>
                <w:sz w:val="16"/>
              </w:rPr>
              <w:t>6</w:t>
            </w:r>
          </w:p>
        </w:tc>
        <w:tc>
          <w:tcPr>
            <w:tcW w:type="dxa" w:w="3427"/>
            <w:vAlign w:val="top"/>
            <w:shd w:fill="FBF8EF"/>
          </w:tcPr>
          <w:p>
            <w:pPr>
              <w:spacing w:after="0"/>
            </w:pPr>
            <w:r/>
            <w:r>
              <w:rPr>
                <w:rFonts w:ascii="Arial" w:hAnsi="Arial" w:eastAsia="Arial"/>
                <w:b w:val="0"/>
                <w:sz w:val="16"/>
              </w:rPr>
              <w:t>Lois administratives</w:t>
            </w:r>
          </w:p>
        </w:tc>
        <w:tc>
          <w:tcPr>
            <w:tcW w:type="dxa" w:w="3427"/>
            <w:vAlign w:val="top"/>
            <w:shd w:fill="FBF8EF"/>
          </w:tcPr>
          <w:p>
            <w:pPr>
              <w:spacing w:after="0"/>
            </w:pPr>
            <w:r/>
            <w:r>
              <w:rPr>
                <w:rFonts w:ascii="Arial" w:hAnsi="Arial" w:eastAsia="Arial"/>
                <w:b w:val="0"/>
                <w:sz w:val="16"/>
              </w:rPr>
              <w:t>Fonctionnement concret de l’État et des services publics</w:t>
            </w:r>
          </w:p>
        </w:tc>
      </w:tr>
      <w:tr>
        <w:tc>
          <w:tcPr>
            <w:tcW w:type="dxa" w:w="3427"/>
            <w:vAlign w:val="top"/>
          </w:tcPr>
          <w:p>
            <w:pPr>
              <w:spacing w:after="0"/>
            </w:pPr>
            <w:r/>
            <w:r>
              <w:rPr>
                <w:rFonts w:ascii="Arial" w:hAnsi="Arial" w:eastAsia="Arial"/>
                <w:b w:val="0"/>
                <w:sz w:val="16"/>
              </w:rPr>
              <w:t>7</w:t>
            </w:r>
          </w:p>
        </w:tc>
        <w:tc>
          <w:tcPr>
            <w:tcW w:type="dxa" w:w="3427"/>
            <w:vAlign w:val="top"/>
          </w:tcPr>
          <w:p>
            <w:pPr>
              <w:spacing w:after="0"/>
            </w:pPr>
            <w:r/>
            <w:r>
              <w:rPr>
                <w:rFonts w:ascii="Arial" w:hAnsi="Arial" w:eastAsia="Arial"/>
                <w:b w:val="0"/>
                <w:sz w:val="16"/>
              </w:rPr>
              <w:t>Règlements</w:t>
            </w:r>
          </w:p>
        </w:tc>
        <w:tc>
          <w:tcPr>
            <w:tcW w:type="dxa" w:w="3427"/>
            <w:vAlign w:val="top"/>
          </w:tcPr>
          <w:p>
            <w:pPr>
              <w:spacing w:after="0"/>
            </w:pPr>
            <w:r/>
            <w:r>
              <w:rPr>
                <w:rFonts w:ascii="Arial" w:hAnsi="Arial" w:eastAsia="Arial"/>
                <w:b w:val="0"/>
                <w:sz w:val="16"/>
              </w:rPr>
              <w:t>Application technique subordonnée aux lois</w:t>
            </w:r>
          </w:p>
        </w:tc>
      </w:tr>
      <w:tr>
        <w:tc>
          <w:tcPr>
            <w:tcW w:type="dxa" w:w="3427"/>
            <w:vAlign w:val="top"/>
            <w:shd w:fill="FBF8EF"/>
          </w:tcPr>
          <w:p>
            <w:pPr>
              <w:spacing w:after="0"/>
            </w:pPr>
            <w:r/>
            <w:r>
              <w:rPr>
                <w:rFonts w:ascii="Arial" w:hAnsi="Arial" w:eastAsia="Arial"/>
                <w:b w:val="0"/>
                <w:sz w:val="16"/>
              </w:rPr>
              <w:t>8</w:t>
            </w:r>
          </w:p>
        </w:tc>
        <w:tc>
          <w:tcPr>
            <w:tcW w:type="dxa" w:w="3427"/>
            <w:vAlign w:val="top"/>
            <w:shd w:fill="FBF8EF"/>
          </w:tcPr>
          <w:p>
            <w:pPr>
              <w:spacing w:after="0"/>
            </w:pPr>
            <w:r/>
            <w:r>
              <w:rPr>
                <w:rFonts w:ascii="Arial" w:hAnsi="Arial" w:eastAsia="Arial"/>
                <w:b w:val="0"/>
                <w:sz w:val="16"/>
              </w:rPr>
              <w:t>Directives et formulaires</w:t>
            </w:r>
          </w:p>
        </w:tc>
        <w:tc>
          <w:tcPr>
            <w:tcW w:type="dxa" w:w="3427"/>
            <w:vAlign w:val="top"/>
            <w:shd w:fill="FBF8EF"/>
          </w:tcPr>
          <w:p>
            <w:pPr>
              <w:spacing w:after="0"/>
            </w:pPr>
            <w:r/>
            <w:r>
              <w:rPr>
                <w:rFonts w:ascii="Arial" w:hAnsi="Arial" w:eastAsia="Arial"/>
                <w:b w:val="0"/>
                <w:sz w:val="16"/>
              </w:rPr>
              <w:t>Instructions internes sans pouvoir de contredire une norme supérieure</w:t>
            </w:r>
          </w:p>
        </w:tc>
      </w:tr>
      <w:tr>
        <w:tc>
          <w:tcPr>
            <w:tcW w:type="dxa" w:w="3427"/>
            <w:vAlign w:val="top"/>
          </w:tcPr>
          <w:p>
            <w:pPr>
              <w:spacing w:after="0"/>
            </w:pPr>
            <w:r/>
            <w:r>
              <w:rPr>
                <w:rFonts w:ascii="Arial" w:hAnsi="Arial" w:eastAsia="Arial"/>
                <w:b w:val="0"/>
                <w:sz w:val="16"/>
              </w:rPr>
              <w:t>9</w:t>
            </w:r>
          </w:p>
        </w:tc>
        <w:tc>
          <w:tcPr>
            <w:tcW w:type="dxa" w:w="3427"/>
            <w:vAlign w:val="top"/>
          </w:tcPr>
          <w:p>
            <w:pPr>
              <w:spacing w:after="0"/>
            </w:pPr>
            <w:r/>
            <w:r>
              <w:rPr>
                <w:rFonts w:ascii="Arial" w:hAnsi="Arial" w:eastAsia="Arial"/>
                <w:b w:val="0"/>
                <w:sz w:val="16"/>
              </w:rPr>
              <w:t>Pratiques administratives</w:t>
            </w:r>
          </w:p>
        </w:tc>
        <w:tc>
          <w:tcPr>
            <w:tcW w:type="dxa" w:w="3427"/>
            <w:vAlign w:val="top"/>
          </w:tcPr>
          <w:p>
            <w:pPr>
              <w:spacing w:after="0"/>
            </w:pPr>
            <w:r/>
            <w:r>
              <w:rPr>
                <w:rFonts w:ascii="Arial" w:hAnsi="Arial" w:eastAsia="Arial"/>
                <w:b w:val="0"/>
                <w:sz w:val="16"/>
              </w:rPr>
              <w:t>Usage ou procédure devant rester compatible avec tout le corpus</w:t>
            </w:r>
          </w:p>
        </w:tc>
      </w:tr>
    </w:tbl>
    <w:p/>
    <w:p>
      <w:pPr>
        <w:pStyle w:val="Heading1"/>
      </w:pPr>
      <w:r>
        <w:t>CONCORDANCE PAR GRANDS DOMAINES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1F1F1F"/>
          </w:tcPr>
          <w:p>
            <w:pPr>
              <w:spacing w:after="0"/>
            </w:pPr>
            <w:r/>
            <w:r>
              <w:rPr>
                <w:rFonts w:ascii="Arial" w:hAnsi="Arial" w:eastAsia="Arial"/>
                <w:b/>
                <w:color w:val="FFFFFF"/>
                <w:sz w:val="16"/>
              </w:rPr>
              <w:t>Domaine</w:t>
            </w:r>
          </w:p>
        </w:tc>
        <w:tc>
          <w:tcPr>
            <w:tcW w:type="dxa" w:w="2570"/>
            <w:shd w:fill="1F1F1F"/>
          </w:tcPr>
          <w:p>
            <w:pPr>
              <w:spacing w:after="0"/>
            </w:pPr>
            <w:r/>
            <w:r>
              <w:rPr>
                <w:rFonts w:ascii="Arial" w:hAnsi="Arial" w:eastAsia="Arial"/>
                <w:b/>
                <w:color w:val="FFFFFF"/>
                <w:sz w:val="16"/>
              </w:rPr>
              <w:t>Source principale</w:t>
            </w:r>
          </w:p>
        </w:tc>
        <w:tc>
          <w:tcPr>
            <w:tcW w:type="dxa" w:w="2570"/>
            <w:shd w:fill="1F1F1F"/>
          </w:tcPr>
          <w:p>
            <w:pPr>
              <w:spacing w:after="0"/>
            </w:pPr>
            <w:r/>
            <w:r>
              <w:rPr>
                <w:rFonts w:ascii="Arial" w:hAnsi="Arial" w:eastAsia="Arial"/>
                <w:b/>
                <w:color w:val="FFFFFF"/>
                <w:sz w:val="16"/>
              </w:rPr>
              <w:t>Sources de contrôle</w:t>
            </w:r>
          </w:p>
        </w:tc>
        <w:tc>
          <w:tcPr>
            <w:tcW w:type="dxa" w:w="2570"/>
            <w:shd w:fill="1F1F1F"/>
          </w:tcPr>
          <w:p>
            <w:pPr>
              <w:spacing w:after="0"/>
            </w:pPr>
            <w:r/>
            <w:r>
              <w:rPr>
                <w:rFonts w:ascii="Arial" w:hAnsi="Arial" w:eastAsia="Arial"/>
                <w:b/>
                <w:color w:val="FFFFFF"/>
                <w:sz w:val="16"/>
              </w:rPr>
              <w:t>Risque surveillé</w:t>
            </w:r>
          </w:p>
        </w:tc>
      </w:tr>
      <w:tr>
        <w:tc>
          <w:tcPr>
            <w:tcW w:type="dxa" w:w="2570"/>
            <w:vAlign w:val="top"/>
          </w:tcPr>
          <w:p>
            <w:pPr>
              <w:spacing w:after="0"/>
            </w:pPr>
            <w:r/>
            <w:r>
              <w:rPr>
                <w:rFonts w:ascii="Arial" w:hAnsi="Arial" w:eastAsia="Arial"/>
                <w:b w:val="0"/>
                <w:sz w:val="16"/>
              </w:rPr>
              <w:t>Vote et démocratie</w:t>
            </w:r>
          </w:p>
        </w:tc>
        <w:tc>
          <w:tcPr>
            <w:tcW w:type="dxa" w:w="2570"/>
            <w:vAlign w:val="top"/>
          </w:tcPr>
          <w:p>
            <w:pPr>
              <w:spacing w:after="0"/>
            </w:pPr>
            <w:r/>
            <w:r>
              <w:rPr>
                <w:rFonts w:ascii="Arial" w:hAnsi="Arial" w:eastAsia="Arial"/>
                <w:b w:val="0"/>
                <w:sz w:val="16"/>
              </w:rPr>
              <w:t>Constitution, normes fondamentales, lois organiques</w:t>
            </w:r>
          </w:p>
        </w:tc>
        <w:tc>
          <w:tcPr>
            <w:tcW w:type="dxa" w:w="2570"/>
            <w:vAlign w:val="top"/>
          </w:tcPr>
          <w:p>
            <w:pPr>
              <w:spacing w:after="0"/>
            </w:pPr>
            <w:r/>
            <w:r>
              <w:rPr>
                <w:rFonts w:ascii="Arial" w:hAnsi="Arial" w:eastAsia="Arial"/>
                <w:b w:val="0"/>
                <w:sz w:val="16"/>
              </w:rPr>
              <w:t>Autorité électorale, référendums, initiatives, révocation</w:t>
            </w:r>
          </w:p>
        </w:tc>
        <w:tc>
          <w:tcPr>
            <w:tcW w:type="dxa" w:w="2570"/>
            <w:vAlign w:val="top"/>
          </w:tcPr>
          <w:p>
            <w:pPr>
              <w:spacing w:after="0"/>
            </w:pPr>
            <w:r/>
            <w:r>
              <w:rPr>
                <w:rFonts w:ascii="Arial" w:hAnsi="Arial" w:eastAsia="Arial"/>
                <w:b w:val="0"/>
                <w:sz w:val="16"/>
              </w:rPr>
              <w:t>Contrôle du vote par le gouvernement</w:t>
            </w:r>
          </w:p>
        </w:tc>
      </w:tr>
      <w:tr>
        <w:tc>
          <w:tcPr>
            <w:tcW w:type="dxa" w:w="2570"/>
            <w:vAlign w:val="top"/>
            <w:shd w:fill="FBF8EF"/>
          </w:tcPr>
          <w:p>
            <w:pPr>
              <w:spacing w:after="0"/>
            </w:pPr>
            <w:r/>
            <w:r>
              <w:rPr>
                <w:rFonts w:ascii="Arial" w:hAnsi="Arial" w:eastAsia="Arial"/>
                <w:b w:val="0"/>
                <w:sz w:val="16"/>
              </w:rPr>
              <w:t>Transparence</w:t>
            </w:r>
          </w:p>
        </w:tc>
        <w:tc>
          <w:tcPr>
            <w:tcW w:type="dxa" w:w="2570"/>
            <w:vAlign w:val="top"/>
            <w:shd w:fill="FBF8EF"/>
          </w:tcPr>
          <w:p>
            <w:pPr>
              <w:spacing w:after="0"/>
            </w:pPr>
            <w:r/>
            <w:r>
              <w:rPr>
                <w:rFonts w:ascii="Arial" w:hAnsi="Arial" w:eastAsia="Arial"/>
                <w:b w:val="0"/>
                <w:sz w:val="16"/>
              </w:rPr>
              <w:t>Normes fondamentales, lois administratives</w:t>
            </w:r>
          </w:p>
        </w:tc>
        <w:tc>
          <w:tcPr>
            <w:tcW w:type="dxa" w:w="2570"/>
            <w:vAlign w:val="top"/>
            <w:shd w:fill="FBF8EF"/>
          </w:tcPr>
          <w:p>
            <w:pPr>
              <w:spacing w:after="0"/>
            </w:pPr>
            <w:r/>
            <w:r>
              <w:rPr>
                <w:rFonts w:ascii="Arial" w:hAnsi="Arial" w:eastAsia="Arial"/>
                <w:b w:val="0"/>
                <w:sz w:val="16"/>
              </w:rPr>
              <w:t>Accès à l’information, registres, audits</w:t>
            </w:r>
          </w:p>
        </w:tc>
        <w:tc>
          <w:tcPr>
            <w:tcW w:type="dxa" w:w="2570"/>
            <w:vAlign w:val="top"/>
            <w:shd w:fill="FBF8EF"/>
          </w:tcPr>
          <w:p>
            <w:pPr>
              <w:spacing w:after="0"/>
            </w:pPr>
            <w:r/>
            <w:r>
              <w:rPr>
                <w:rFonts w:ascii="Arial" w:hAnsi="Arial" w:eastAsia="Arial"/>
                <w:b w:val="0"/>
                <w:sz w:val="16"/>
              </w:rPr>
              <w:t>Opacité, caviardage abusif, décisions cachées</w:t>
            </w:r>
          </w:p>
        </w:tc>
      </w:tr>
      <w:tr>
        <w:tc>
          <w:tcPr>
            <w:tcW w:type="dxa" w:w="2570"/>
            <w:vAlign w:val="top"/>
          </w:tcPr>
          <w:p>
            <w:pPr>
              <w:spacing w:after="0"/>
            </w:pPr>
            <w:r/>
            <w:r>
              <w:rPr>
                <w:rFonts w:ascii="Arial" w:hAnsi="Arial" w:eastAsia="Arial"/>
                <w:b w:val="0"/>
                <w:sz w:val="16"/>
              </w:rPr>
              <w:t>Finances publiques</w:t>
            </w:r>
          </w:p>
        </w:tc>
        <w:tc>
          <w:tcPr>
            <w:tcW w:type="dxa" w:w="2570"/>
            <w:vAlign w:val="top"/>
          </w:tcPr>
          <w:p>
            <w:pPr>
              <w:spacing w:after="0"/>
            </w:pPr>
            <w:r/>
            <w:r>
              <w:rPr>
                <w:rFonts w:ascii="Arial" w:hAnsi="Arial" w:eastAsia="Arial"/>
                <w:b w:val="0"/>
                <w:sz w:val="16"/>
              </w:rPr>
              <w:t>Constitution, lois ordinaires, lois administratives</w:t>
            </w:r>
          </w:p>
        </w:tc>
        <w:tc>
          <w:tcPr>
            <w:tcW w:type="dxa" w:w="2570"/>
            <w:vAlign w:val="top"/>
          </w:tcPr>
          <w:p>
            <w:pPr>
              <w:spacing w:after="0"/>
            </w:pPr>
            <w:r/>
            <w:r>
              <w:rPr>
                <w:rFonts w:ascii="Arial" w:hAnsi="Arial" w:eastAsia="Arial"/>
                <w:b w:val="0"/>
                <w:sz w:val="16"/>
              </w:rPr>
              <w:t>Budget citoyen, dette, dépenses, contrats</w:t>
            </w:r>
          </w:p>
        </w:tc>
        <w:tc>
          <w:tcPr>
            <w:tcW w:type="dxa" w:w="2570"/>
            <w:vAlign w:val="top"/>
          </w:tcPr>
          <w:p>
            <w:pPr>
              <w:spacing w:after="0"/>
            </w:pPr>
            <w:r/>
            <w:r>
              <w:rPr>
                <w:rFonts w:ascii="Arial" w:hAnsi="Arial" w:eastAsia="Arial"/>
                <w:b w:val="0"/>
                <w:sz w:val="16"/>
              </w:rPr>
              <w:t>Taxes cachées, dépenses hors mandat, gaspillage</w:t>
            </w:r>
          </w:p>
        </w:tc>
      </w:tr>
      <w:tr>
        <w:tc>
          <w:tcPr>
            <w:tcW w:type="dxa" w:w="2570"/>
            <w:vAlign w:val="top"/>
            <w:shd w:fill="FBF8EF"/>
          </w:tcPr>
          <w:p>
            <w:pPr>
              <w:spacing w:after="0"/>
            </w:pPr>
            <w:r/>
            <w:r>
              <w:rPr>
                <w:rFonts w:ascii="Arial" w:hAnsi="Arial" w:eastAsia="Arial"/>
                <w:b w:val="0"/>
                <w:sz w:val="16"/>
              </w:rPr>
              <w:t>Services essentiels</w:t>
            </w:r>
          </w:p>
        </w:tc>
        <w:tc>
          <w:tcPr>
            <w:tcW w:type="dxa" w:w="2570"/>
            <w:vAlign w:val="top"/>
            <w:shd w:fill="FBF8EF"/>
          </w:tcPr>
          <w:p>
            <w:pPr>
              <w:spacing w:after="0"/>
            </w:pPr>
            <w:r/>
            <w:r>
              <w:rPr>
                <w:rFonts w:ascii="Arial" w:hAnsi="Arial" w:eastAsia="Arial"/>
                <w:b w:val="0"/>
                <w:sz w:val="16"/>
              </w:rPr>
              <w:t>Constitution, lois ordinaires, règlements</w:t>
            </w:r>
          </w:p>
        </w:tc>
        <w:tc>
          <w:tcPr>
            <w:tcW w:type="dxa" w:w="2570"/>
            <w:vAlign w:val="top"/>
            <w:shd w:fill="FBF8EF"/>
          </w:tcPr>
          <w:p>
            <w:pPr>
              <w:spacing w:after="0"/>
            </w:pPr>
            <w:r/>
            <w:r>
              <w:rPr>
                <w:rFonts w:ascii="Arial" w:hAnsi="Arial" w:eastAsia="Arial"/>
                <w:b w:val="0"/>
                <w:sz w:val="16"/>
              </w:rPr>
              <w:t>Plans de continuité, indicateurs, délais</w:t>
            </w:r>
          </w:p>
        </w:tc>
        <w:tc>
          <w:tcPr>
            <w:tcW w:type="dxa" w:w="2570"/>
            <w:vAlign w:val="top"/>
            <w:shd w:fill="FBF8EF"/>
          </w:tcPr>
          <w:p>
            <w:pPr>
              <w:spacing w:after="0"/>
            </w:pPr>
            <w:r/>
            <w:r>
              <w:rPr>
                <w:rFonts w:ascii="Arial" w:hAnsi="Arial" w:eastAsia="Arial"/>
                <w:b w:val="0"/>
                <w:sz w:val="16"/>
              </w:rPr>
              <w:t>Rupture de service ou absence de responsable</w:t>
            </w:r>
          </w:p>
        </w:tc>
      </w:tr>
      <w:tr>
        <w:tc>
          <w:tcPr>
            <w:tcW w:type="dxa" w:w="2570"/>
            <w:vAlign w:val="top"/>
          </w:tcPr>
          <w:p>
            <w:pPr>
              <w:spacing w:after="0"/>
            </w:pPr>
            <w:r/>
            <w:r>
              <w:rPr>
                <w:rFonts w:ascii="Arial" w:hAnsi="Arial" w:eastAsia="Arial"/>
                <w:b w:val="0"/>
                <w:sz w:val="16"/>
              </w:rPr>
              <w:t>Immigration</w:t>
            </w:r>
          </w:p>
        </w:tc>
        <w:tc>
          <w:tcPr>
            <w:tcW w:type="dxa" w:w="2570"/>
            <w:vAlign w:val="top"/>
          </w:tcPr>
          <w:p>
            <w:pPr>
              <w:spacing w:after="0"/>
            </w:pPr>
            <w:r/>
            <w:r>
              <w:rPr>
                <w:rFonts w:ascii="Arial" w:hAnsi="Arial" w:eastAsia="Arial"/>
                <w:b w:val="0"/>
                <w:sz w:val="16"/>
              </w:rPr>
              <w:t>Lois ordinaires, Volet 1, Volet 2, Volet 3</w:t>
            </w:r>
          </w:p>
        </w:tc>
        <w:tc>
          <w:tcPr>
            <w:tcW w:type="dxa" w:w="2570"/>
            <w:vAlign w:val="top"/>
          </w:tcPr>
          <w:p>
            <w:pPr>
              <w:spacing w:after="0"/>
            </w:pPr>
            <w:r/>
            <w:r>
              <w:rPr>
                <w:rFonts w:ascii="Arial" w:hAnsi="Arial" w:eastAsia="Arial"/>
                <w:b w:val="0"/>
                <w:sz w:val="16"/>
              </w:rPr>
              <w:t>Capacité d’accueil, francisation, citoyenneté</w:t>
            </w:r>
          </w:p>
        </w:tc>
        <w:tc>
          <w:tcPr>
            <w:tcW w:type="dxa" w:w="2570"/>
            <w:vAlign w:val="top"/>
          </w:tcPr>
          <w:p>
            <w:pPr>
              <w:spacing w:after="0"/>
            </w:pPr>
            <w:r/>
            <w:r>
              <w:rPr>
                <w:rFonts w:ascii="Arial" w:hAnsi="Arial" w:eastAsia="Arial"/>
                <w:b w:val="0"/>
                <w:sz w:val="16"/>
              </w:rPr>
              <w:t>Seuils non liés aux capacités réelles</w:t>
            </w:r>
          </w:p>
        </w:tc>
      </w:tr>
      <w:tr>
        <w:tc>
          <w:tcPr>
            <w:tcW w:type="dxa" w:w="2570"/>
            <w:vAlign w:val="top"/>
            <w:shd w:fill="FBF8EF"/>
          </w:tcPr>
          <w:p>
            <w:pPr>
              <w:spacing w:after="0"/>
            </w:pPr>
            <w:r/>
            <w:r>
              <w:rPr>
                <w:rFonts w:ascii="Arial" w:hAnsi="Arial" w:eastAsia="Arial"/>
                <w:b w:val="0"/>
                <w:sz w:val="16"/>
              </w:rPr>
              <w:t>Français</w:t>
            </w:r>
          </w:p>
        </w:tc>
        <w:tc>
          <w:tcPr>
            <w:tcW w:type="dxa" w:w="2570"/>
            <w:vAlign w:val="top"/>
            <w:shd w:fill="FBF8EF"/>
          </w:tcPr>
          <w:p>
            <w:pPr>
              <w:spacing w:after="0"/>
            </w:pPr>
            <w:r/>
            <w:r>
              <w:rPr>
                <w:rFonts w:ascii="Arial" w:hAnsi="Arial" w:eastAsia="Arial"/>
                <w:b w:val="0"/>
                <w:sz w:val="16"/>
              </w:rPr>
              <w:t>Constitution, normes fondamentales, lois ordinaires</w:t>
            </w:r>
          </w:p>
        </w:tc>
        <w:tc>
          <w:tcPr>
            <w:tcW w:type="dxa" w:w="2570"/>
            <w:vAlign w:val="top"/>
            <w:shd w:fill="FBF8EF"/>
          </w:tcPr>
          <w:p>
            <w:pPr>
              <w:spacing w:after="0"/>
            </w:pPr>
            <w:r/>
            <w:r>
              <w:rPr>
                <w:rFonts w:ascii="Arial" w:hAnsi="Arial" w:eastAsia="Arial"/>
                <w:b w:val="0"/>
                <w:sz w:val="16"/>
              </w:rPr>
              <w:t>Éducation, travail, administration, intégration</w:t>
            </w:r>
          </w:p>
        </w:tc>
        <w:tc>
          <w:tcPr>
            <w:tcW w:type="dxa" w:w="2570"/>
            <w:vAlign w:val="top"/>
            <w:shd w:fill="FBF8EF"/>
          </w:tcPr>
          <w:p>
            <w:pPr>
              <w:spacing w:after="0"/>
            </w:pPr>
            <w:r/>
            <w:r>
              <w:rPr>
                <w:rFonts w:ascii="Arial" w:hAnsi="Arial" w:eastAsia="Arial"/>
                <w:b w:val="0"/>
                <w:sz w:val="16"/>
              </w:rPr>
              <w:t>Affaiblissement linguistique institutionnel</w:t>
            </w:r>
          </w:p>
        </w:tc>
      </w:tr>
      <w:tr>
        <w:tc>
          <w:tcPr>
            <w:tcW w:type="dxa" w:w="2570"/>
            <w:vAlign w:val="top"/>
          </w:tcPr>
          <w:p>
            <w:pPr>
              <w:spacing w:after="0"/>
            </w:pPr>
            <w:r/>
            <w:r>
              <w:rPr>
                <w:rFonts w:ascii="Arial" w:hAnsi="Arial" w:eastAsia="Arial"/>
                <w:b w:val="0"/>
                <w:sz w:val="16"/>
              </w:rPr>
              <w:t>Numérique et données</w:t>
            </w:r>
          </w:p>
        </w:tc>
        <w:tc>
          <w:tcPr>
            <w:tcW w:type="dxa" w:w="2570"/>
            <w:vAlign w:val="top"/>
          </w:tcPr>
          <w:p>
            <w:pPr>
              <w:spacing w:after="0"/>
            </w:pPr>
            <w:r/>
            <w:r>
              <w:rPr>
                <w:rFonts w:ascii="Arial" w:hAnsi="Arial" w:eastAsia="Arial"/>
                <w:b w:val="0"/>
                <w:sz w:val="16"/>
              </w:rPr>
              <w:t>Normes fondamentales, lois ordinaires, règlements</w:t>
            </w:r>
          </w:p>
        </w:tc>
        <w:tc>
          <w:tcPr>
            <w:tcW w:type="dxa" w:w="2570"/>
            <w:vAlign w:val="top"/>
          </w:tcPr>
          <w:p>
            <w:pPr>
              <w:spacing w:after="0"/>
            </w:pPr>
            <w:r/>
            <w:r>
              <w:rPr>
                <w:rFonts w:ascii="Arial" w:hAnsi="Arial" w:eastAsia="Arial"/>
                <w:b w:val="0"/>
                <w:sz w:val="16"/>
              </w:rPr>
              <w:t>Vie privée, IA, identité numérique, cybersécurité</w:t>
            </w:r>
          </w:p>
        </w:tc>
        <w:tc>
          <w:tcPr>
            <w:tcW w:type="dxa" w:w="2570"/>
            <w:vAlign w:val="top"/>
          </w:tcPr>
          <w:p>
            <w:pPr>
              <w:spacing w:after="0"/>
            </w:pPr>
            <w:r/>
            <w:r>
              <w:rPr>
                <w:rFonts w:ascii="Arial" w:hAnsi="Arial" w:eastAsia="Arial"/>
                <w:b w:val="0"/>
                <w:sz w:val="16"/>
              </w:rPr>
              <w:t>Surveillance, fuite de données, algorithmes opaques</w:t>
            </w:r>
          </w:p>
        </w:tc>
      </w:tr>
      <w:tr>
        <w:tc>
          <w:tcPr>
            <w:tcW w:type="dxa" w:w="2570"/>
            <w:vAlign w:val="top"/>
            <w:shd w:fill="FBF8EF"/>
          </w:tcPr>
          <w:p>
            <w:pPr>
              <w:spacing w:after="0"/>
            </w:pPr>
            <w:r/>
            <w:r>
              <w:rPr>
                <w:rFonts w:ascii="Arial" w:hAnsi="Arial" w:eastAsia="Arial"/>
                <w:b w:val="0"/>
                <w:sz w:val="16"/>
              </w:rPr>
              <w:t>Souveraineté</w:t>
            </w:r>
          </w:p>
        </w:tc>
        <w:tc>
          <w:tcPr>
            <w:tcW w:type="dxa" w:w="2570"/>
            <w:vAlign w:val="top"/>
            <w:shd w:fill="FBF8EF"/>
          </w:tcPr>
          <w:p>
            <w:pPr>
              <w:spacing w:after="0"/>
            </w:pPr>
            <w:r/>
            <w:r>
              <w:rPr>
                <w:rFonts w:ascii="Arial" w:hAnsi="Arial" w:eastAsia="Arial"/>
                <w:b w:val="0"/>
                <w:sz w:val="16"/>
              </w:rPr>
              <w:t>Constitution, outil de transition, Volets 2 et 3</w:t>
            </w:r>
          </w:p>
        </w:tc>
        <w:tc>
          <w:tcPr>
            <w:tcW w:type="dxa" w:w="2570"/>
            <w:vAlign w:val="top"/>
            <w:shd w:fill="FBF8EF"/>
          </w:tcPr>
          <w:p>
            <w:pPr>
              <w:spacing w:after="0"/>
            </w:pPr>
            <w:r/>
            <w:r>
              <w:rPr>
                <w:rFonts w:ascii="Arial" w:hAnsi="Arial" w:eastAsia="Arial"/>
                <w:b w:val="0"/>
                <w:sz w:val="16"/>
              </w:rPr>
              <w:t>Référendum, reconnaissance, continuité</w:t>
            </w:r>
          </w:p>
        </w:tc>
        <w:tc>
          <w:tcPr>
            <w:tcW w:type="dxa" w:w="2570"/>
            <w:vAlign w:val="top"/>
            <w:shd w:fill="FBF8EF"/>
          </w:tcPr>
          <w:p>
            <w:pPr>
              <w:spacing w:after="0"/>
            </w:pPr>
            <w:r/>
            <w:r>
              <w:rPr>
                <w:rFonts w:ascii="Arial" w:hAnsi="Arial" w:eastAsia="Arial"/>
                <w:b w:val="0"/>
                <w:sz w:val="16"/>
              </w:rPr>
              <w:t>Improvisation ou recul caché</w:t>
            </w:r>
          </w:p>
        </w:tc>
      </w:tr>
      <w:tr>
        <w:tc>
          <w:tcPr>
            <w:tcW w:type="dxa" w:w="2570"/>
            <w:vAlign w:val="top"/>
          </w:tcPr>
          <w:p>
            <w:pPr>
              <w:spacing w:after="0"/>
            </w:pPr>
            <w:r/>
            <w:r>
              <w:rPr>
                <w:rFonts w:ascii="Arial" w:hAnsi="Arial" w:eastAsia="Arial"/>
                <w:b w:val="0"/>
                <w:sz w:val="16"/>
              </w:rPr>
              <w:t>Gouvernance interne</w:t>
            </w:r>
          </w:p>
        </w:tc>
        <w:tc>
          <w:tcPr>
            <w:tcW w:type="dxa" w:w="2570"/>
            <w:vAlign w:val="top"/>
          </w:tcPr>
          <w:p>
            <w:pPr>
              <w:spacing w:after="0"/>
            </w:pPr>
            <w:r/>
            <w:r>
              <w:rPr>
                <w:rFonts w:ascii="Arial" w:hAnsi="Arial" w:eastAsia="Arial"/>
                <w:b w:val="0"/>
                <w:sz w:val="16"/>
              </w:rPr>
              <w:t>Code de conduite, programme, normes fondamentales</w:t>
            </w:r>
          </w:p>
        </w:tc>
        <w:tc>
          <w:tcPr>
            <w:tcW w:type="dxa" w:w="2570"/>
            <w:vAlign w:val="top"/>
          </w:tcPr>
          <w:p>
            <w:pPr>
              <w:spacing w:after="0"/>
            </w:pPr>
            <w:r/>
            <w:r>
              <w:rPr>
                <w:rFonts w:ascii="Arial" w:hAnsi="Arial" w:eastAsia="Arial"/>
                <w:b w:val="0"/>
                <w:sz w:val="16"/>
              </w:rPr>
              <w:t>Candidats, élus, financement, discipline</w:t>
            </w:r>
          </w:p>
        </w:tc>
        <w:tc>
          <w:tcPr>
            <w:tcW w:type="dxa" w:w="2570"/>
            <w:vAlign w:val="top"/>
          </w:tcPr>
          <w:p>
            <w:pPr>
              <w:spacing w:after="0"/>
            </w:pPr>
            <w:r/>
            <w:r>
              <w:rPr>
                <w:rFonts w:ascii="Arial" w:hAnsi="Arial" w:eastAsia="Arial"/>
                <w:b w:val="0"/>
                <w:sz w:val="16"/>
              </w:rPr>
              <w:t>Culte du chef, capture, conflits d’intérêts</w:t>
            </w:r>
          </w:p>
        </w:tc>
      </w:tr>
    </w:tbl>
    <w:p/>
    <w:p>
      <w:pPr>
        <w:pStyle w:val="Heading1"/>
      </w:pPr>
      <w:r>
        <w:t>ARTICLES DE CONCORDANCE ET DE CONTRÔLE</w:t>
      </w:r>
    </w:p>
    <w:p>
      <w:pPr>
        <w:pStyle w:val="ArticleTitleNova"/>
        <w:pBdr>
          <w:bottom w:val="single" w:sz="8" w:space="1" w:color="E6D7A5"/>
        </w:pBdr>
      </w:pPr>
      <w:r>
        <w:t>TC-1. Objet du présent document</w:t>
      </w:r>
    </w:p>
    <w:p>
      <w:r>
        <w:t>La table de concordance normative sert à relier les textes du Système Nova afin d’assurer leur cohérence, leur lisibilité, leur hiérarchie et leur contrôle continu.</w:t>
      </w:r>
    </w:p>
    <w:p>
      <w:pPr>
        <w:pStyle w:val="ArticleTitleNova"/>
        <w:pBdr>
          <w:bottom w:val="single" w:sz="8" w:space="1" w:color="E6D7A5"/>
        </w:pBdr>
      </w:pPr>
      <w:r>
        <w:t>TC-2. Fonction non substitutive</w:t>
      </w:r>
    </w:p>
    <w:p>
      <w:r>
        <w:t>Le présent document ne remplace pas la Constitution, les lois, les règlements ou les documents de transition. Il les relie et les vérifie.</w:t>
      </w:r>
    </w:p>
    <w:p>
      <w:pPr>
        <w:pStyle w:val="ArticleTitleNova"/>
        <w:pBdr>
          <w:bottom w:val="single" w:sz="8" w:space="1" w:color="E6D7A5"/>
        </w:pBdr>
      </w:pPr>
      <w:r>
        <w:t>TC-3. Principe de hiérarchie</w:t>
      </w:r>
    </w:p>
    <w:p>
      <w:r>
        <w:t>Toute norme inférieure doit être interprétée selon la norme supérieure applicable. En cas de contradiction, la norme supérieure prévaut.</w:t>
      </w:r>
    </w:p>
    <w:p>
      <w:pPr>
        <w:pStyle w:val="ArticleTitleNova"/>
        <w:pBdr>
          <w:bottom w:val="single" w:sz="8" w:space="1" w:color="E6D7A5"/>
        </w:pBdr>
      </w:pPr>
      <w:r>
        <w:t>TC-4. Souveraineté populaire</w:t>
      </w:r>
    </w:p>
    <w:p>
      <w:r>
        <w:t>La souveraineté populaire demeure la source démocratique du mandat. Aucune table, procédure ou directive ne peut neutraliser un vote valide du peuple.</w:t>
      </w:r>
    </w:p>
    <w:p>
      <w:pPr>
        <w:pStyle w:val="ArticleTitleNova"/>
        <w:pBdr>
          <w:bottom w:val="single" w:sz="8" w:space="1" w:color="E6D7A5"/>
        </w:pBdr>
      </w:pPr>
      <w:r>
        <w:t>TC-5. Constitution comme centre</w:t>
      </w:r>
    </w:p>
    <w:p>
      <w:r>
        <w:t>La Constitution constitue le centre juridique du système. Toute loi, règlement ou pratique administrative doit être compatible avec elle.</w:t>
      </w:r>
    </w:p>
    <w:p>
      <w:pPr>
        <w:pStyle w:val="ArticleTitleNova"/>
        <w:pBdr>
          <w:bottom w:val="single" w:sz="8" w:space="1" w:color="E6D7A5"/>
        </w:pBdr>
      </w:pPr>
      <w:r>
        <w:t>TC-6. Normes fondamentales</w:t>
      </w:r>
    </w:p>
    <w:p>
      <w:r>
        <w:t>Les normes fondamentales servent de garde-fous permanents contre la corruption, l’opacité, la concentration du pouvoir et le contournement du vote.</w:t>
      </w:r>
    </w:p>
    <w:p>
      <w:pPr>
        <w:pStyle w:val="ArticleTitleNova"/>
        <w:pBdr>
          <w:bottom w:val="single" w:sz="8" w:space="1" w:color="E6D7A5"/>
        </w:pBdr>
      </w:pPr>
      <w:r>
        <w:t>TC-7. Lois organiques</w:t>
      </w:r>
    </w:p>
    <w:p>
      <w:r>
        <w:t>Les lois organiques organisent les institutions. Elles doivent protéger les contre-pouvoirs et éviter la capture des autorités indépendantes.</w:t>
      </w:r>
    </w:p>
    <w:p>
      <w:pPr>
        <w:pStyle w:val="ArticleTitleNova"/>
        <w:pBdr>
          <w:bottom w:val="single" w:sz="8" w:space="1" w:color="E6D7A5"/>
        </w:pBdr>
      </w:pPr>
      <w:r>
        <w:t>TC-8. Lois administratives</w:t>
      </w:r>
    </w:p>
    <w:p>
      <w:r>
        <w:t>Les lois administratives règlent l’exécution de l’État. Elles ne peuvent pas créer un pouvoir administratif autonome contre le peuple.</w:t>
      </w:r>
    </w:p>
    <w:p>
      <w:pPr>
        <w:pStyle w:val="ArticleTitleNova"/>
        <w:pBdr>
          <w:bottom w:val="single" w:sz="8" w:space="1" w:color="E6D7A5"/>
        </w:pBdr>
      </w:pPr>
      <w:r>
        <w:t>TC-9. Lois ordinaires</w:t>
      </w:r>
    </w:p>
    <w:p>
      <w:r>
        <w:t>Les lois ordinaires traduisent les politiques publiques. Elles doivent respecter la Constitution, les normes fondamentales et les lois organiques.</w:t>
      </w:r>
    </w:p>
    <w:p>
      <w:pPr>
        <w:pStyle w:val="ArticleTitleNova"/>
        <w:pBdr>
          <w:bottom w:val="single" w:sz="8" w:space="1" w:color="E6D7A5"/>
        </w:pBdr>
      </w:pPr>
      <w:r>
        <w:t>TC-10. Règlements</w:t>
      </w:r>
    </w:p>
    <w:p>
      <w:r>
        <w:t>Les règlements doivent préciser l’application des lois sans en changer l’esprit, l’objet ou les protections.</w:t>
      </w:r>
    </w:p>
    <w:p>
      <w:pPr>
        <w:pStyle w:val="ArticleTitleNova"/>
        <w:pBdr>
          <w:bottom w:val="single" w:sz="8" w:space="1" w:color="E6D7A5"/>
        </w:pBdr>
      </w:pPr>
      <w:r>
        <w:t>TC-11. Directives internes</w:t>
      </w:r>
    </w:p>
    <w:p>
      <w:r>
        <w:t>Une directive interne ne peut jamais restreindre un droit, imposer une obligation importante ou contourner une loi.</w:t>
      </w:r>
    </w:p>
    <w:p>
      <w:pPr>
        <w:pStyle w:val="ArticleTitleNova"/>
        <w:pBdr>
          <w:bottom w:val="single" w:sz="8" w:space="1" w:color="E6D7A5"/>
        </w:pBdr>
      </w:pPr>
      <w:r>
        <w:t>TC-12. Formulaires administratifs</w:t>
      </w:r>
    </w:p>
    <w:p>
      <w:r>
        <w:t>Un formulaire ne peut pas créer une condition non prévue par la loi ou refuser un service par exigence excessive.</w:t>
      </w:r>
    </w:p>
    <w:p>
      <w:pPr>
        <w:pStyle w:val="ArticleTitleNova"/>
        <w:pBdr>
          <w:bottom w:val="single" w:sz="8" w:space="1" w:color="E6D7A5"/>
        </w:pBdr>
      </w:pPr>
      <w:r>
        <w:t>TC-13. Vote indépendant</w:t>
      </w:r>
    </w:p>
    <w:p>
      <w:r>
        <w:t>Toute matière touchant le vote, les référendums, les initiatives citoyennes ou la révocation doit être rattachée à l’autorité électorale indépendante.</w:t>
      </w:r>
    </w:p>
    <w:p>
      <w:pPr>
        <w:pStyle w:val="ArticleTitleNova"/>
        <w:pBdr>
          <w:bottom w:val="single" w:sz="8" w:space="1" w:color="E6D7A5"/>
        </w:pBdr>
      </w:pPr>
      <w:r>
        <w:t>TC-14. Acceptation sociale</w:t>
      </w:r>
    </w:p>
    <w:p>
      <w:r>
        <w:t>L’acceptation sociale ne peut pas remplacer un vote lorsque le corpus exige une décision populaire ou référendaire.</w:t>
      </w:r>
    </w:p>
    <w:p>
      <w:pPr>
        <w:pStyle w:val="ArticleTitleNova"/>
        <w:pBdr>
          <w:bottom w:val="single" w:sz="8" w:space="1" w:color="E6D7A5"/>
        </w:pBdr>
      </w:pPr>
      <w:r>
        <w:t>TC-15. Référendum</w:t>
      </w:r>
    </w:p>
    <w:p>
      <w:r>
        <w:t>Toute matière constitutionnelle ou souverainiste fondamentale doit être rattachée aux règles référendaires de clarté, information et vérification.</w:t>
      </w:r>
    </w:p>
    <w:p>
      <w:pPr>
        <w:pStyle w:val="ArticleTitleNova"/>
        <w:pBdr>
          <w:bottom w:val="single" w:sz="8" w:space="1" w:color="E6D7A5"/>
        </w:pBdr>
      </w:pPr>
      <w:r>
        <w:t>TC-16. Transparence par défaut</w:t>
      </w:r>
    </w:p>
    <w:p>
      <w:r>
        <w:t>Toute règle de secret doit être justifiée. La publication proactive demeure la règle pour les dépenses, contrats, indicateurs et décisions majeures.</w:t>
      </w:r>
    </w:p>
    <w:p>
      <w:pPr>
        <w:pStyle w:val="ArticleTitleNova"/>
        <w:pBdr>
          <w:bottom w:val="single" w:sz="8" w:space="1" w:color="E6D7A5"/>
        </w:pBdr>
      </w:pPr>
      <w:r>
        <w:t>TC-17. Audit national</w:t>
      </w:r>
    </w:p>
    <w:p>
      <w:r>
        <w:t>Les obligations d’audit doivent être liées aux finances, contrats, programmes, systèmes numériques, nominations et services essentiels.</w:t>
      </w:r>
    </w:p>
    <w:p>
      <w:pPr>
        <w:pStyle w:val="ArticleTitleNova"/>
        <w:pBdr>
          <w:bottom w:val="single" w:sz="8" w:space="1" w:color="E6D7A5"/>
        </w:pBdr>
      </w:pPr>
      <w:r>
        <w:t>TC-18. Contrats publics</w:t>
      </w:r>
    </w:p>
    <w:p>
      <w:r>
        <w:t>Les règles sur les contrats publics doivent être reliées aux obligations de concurrence, intégrité, publication, sanctions et récupération.</w:t>
      </w:r>
    </w:p>
    <w:p>
      <w:pPr>
        <w:pStyle w:val="ArticleTitleNova"/>
        <w:pBdr>
          <w:bottom w:val="single" w:sz="8" w:space="1" w:color="E6D7A5"/>
        </w:pBdr>
      </w:pPr>
      <w:r>
        <w:t>TC-19. Conflits d’intérêts</w:t>
      </w:r>
    </w:p>
    <w:p>
      <w:r>
        <w:t>Toute norme sur les nominations, dépenses, contrats ou lobbyisme doit inclure une vérification des conflits d’intérêts réels ou apparents.</w:t>
      </w:r>
    </w:p>
    <w:p>
      <w:pPr>
        <w:pStyle w:val="ArticleTitleNova"/>
        <w:pBdr>
          <w:bottom w:val="single" w:sz="8" w:space="1" w:color="E6D7A5"/>
        </w:pBdr>
      </w:pPr>
      <w:r>
        <w:t>TC-20. Financement politique</w:t>
      </w:r>
    </w:p>
    <w:p>
      <w:r>
        <w:t>Le financement politique doit être relié à la transparence, aux plafonds, à l’interdiction des prête-noms et à la protection contre l’influence cachée.</w:t>
      </w:r>
    </w:p>
    <w:p>
      <w:pPr>
        <w:pStyle w:val="ArticleTitleNova"/>
        <w:pBdr>
          <w:bottom w:val="single" w:sz="8" w:space="1" w:color="E6D7A5"/>
        </w:pBdr>
      </w:pPr>
      <w:r>
        <w:t>TC-21. Dépenses des élus</w:t>
      </w:r>
    </w:p>
    <w:p>
      <w:r>
        <w:t>Les dépenses des élus doivent être reliées aux règles de publication, sobriété, justification et interdiction des privilèges abusifs.</w:t>
      </w:r>
    </w:p>
    <w:p>
      <w:pPr>
        <w:pStyle w:val="ArticleTitleNova"/>
        <w:pBdr>
          <w:bottom w:val="single" w:sz="8" w:space="1" w:color="E6D7A5"/>
        </w:pBdr>
      </w:pPr>
      <w:r>
        <w:t>TC-22. Avions privés</w:t>
      </w:r>
    </w:p>
    <w:p>
      <w:r>
        <w:t>L’utilisation d’avions privés aux frais du public doit rester exceptionnelle, démontrée, publiée, vérifiable et contrôlée.</w:t>
      </w:r>
    </w:p>
    <w:p>
      <w:pPr>
        <w:pStyle w:val="ArticleTitleNova"/>
        <w:pBdr>
          <w:bottom w:val="single" w:sz="8" w:space="1" w:color="E6D7A5"/>
        </w:pBdr>
      </w:pPr>
      <w:r>
        <w:t>TC-23. Budget citoyen</w:t>
      </w:r>
    </w:p>
    <w:p>
      <w:r>
        <w:t>Toute réforme financière majeure doit être reliée à un budget citoyen permettant au public de comprendre les coûts et priorités.</w:t>
      </w:r>
    </w:p>
    <w:p>
      <w:pPr>
        <w:pStyle w:val="ArticleTitleNova"/>
        <w:pBdr>
          <w:bottom w:val="single" w:sz="8" w:space="1" w:color="E6D7A5"/>
        </w:pBdr>
      </w:pPr>
      <w:r>
        <w:t>TC-24. Taxes cachées</w:t>
      </w:r>
    </w:p>
    <w:p>
      <w:r>
        <w:t>Les frais, tarifs, permis, contributions et charges obligatoires doivent être classés afin d’éviter la fiscalité déguisée.</w:t>
      </w:r>
    </w:p>
    <w:p>
      <w:pPr>
        <w:pStyle w:val="ArticleTitleNova"/>
        <w:pBdr>
          <w:bottom w:val="single" w:sz="8" w:space="1" w:color="E6D7A5"/>
        </w:pBdr>
      </w:pPr>
      <w:r>
        <w:t>TC-25. Dette publique</w:t>
      </w:r>
    </w:p>
    <w:p>
      <w:r>
        <w:t>Le contrôle de la dette doit être relié aux engagements financiers, actifs, passifs, coûts de transition et obligations futures.</w:t>
      </w:r>
    </w:p>
    <w:p>
      <w:pPr>
        <w:pStyle w:val="ArticleTitleNova"/>
        <w:pBdr>
          <w:bottom w:val="single" w:sz="8" w:space="1" w:color="E6D7A5"/>
        </w:pBdr>
      </w:pPr>
      <w:r>
        <w:t>TC-26. Argent public</w:t>
      </w:r>
    </w:p>
    <w:p>
      <w:r>
        <w:t>L’argent public doit être rattaché à l’intérêt du Québec, avec exceptions extérieures limitées, justifiées, transparentes et humanitaires lorsque nécessaire.</w:t>
      </w:r>
    </w:p>
    <w:p>
      <w:pPr>
        <w:pStyle w:val="ArticleTitleNova"/>
        <w:pBdr>
          <w:bottom w:val="single" w:sz="8" w:space="1" w:color="E6D7A5"/>
        </w:pBdr>
      </w:pPr>
      <w:r>
        <w:t>TC-27. Économie réelle</w:t>
      </w:r>
    </w:p>
    <w:p>
      <w:r>
        <w:t>Les normes économiques doivent favoriser production, PME, travail, régions, innovation, concurrence loyale et réduction des obstacles inutiles.</w:t>
      </w:r>
    </w:p>
    <w:p>
      <w:pPr>
        <w:pStyle w:val="ArticleTitleNova"/>
        <w:pBdr>
          <w:bottom w:val="single" w:sz="8" w:space="1" w:color="E6D7A5"/>
        </w:pBdr>
      </w:pPr>
      <w:r>
        <w:t>TC-28. Gestion de l’offre gouvernementale</w:t>
      </w:r>
    </w:p>
    <w:p>
      <w:r>
        <w:t>Toute réforme de gestion de l’offre gouvernementale doit être graduelle, transparente et liée à la capacité du marché à équilibrer l’offre et la demande.</w:t>
      </w:r>
    </w:p>
    <w:p>
      <w:pPr>
        <w:pStyle w:val="ArticleTitleNova"/>
        <w:pBdr>
          <w:bottom w:val="single" w:sz="8" w:space="1" w:color="E6D7A5"/>
        </w:pBdr>
      </w:pPr>
      <w:r>
        <w:t>TC-29. Contre-tarifs</w:t>
      </w:r>
    </w:p>
    <w:p>
      <w:r>
        <w:t>Les contre-tarifs automatiques doivent être refusés sauf analyse rigoureuse démontrant un avantage supérieur aux coûts imposés au peuple.</w:t>
      </w:r>
    </w:p>
    <w:p>
      <w:pPr>
        <w:pStyle w:val="ArticleTitleNova"/>
        <w:pBdr>
          <w:bottom w:val="single" w:sz="8" w:space="1" w:color="E6D7A5"/>
        </w:pBdr>
      </w:pPr>
      <w:r>
        <w:t>TC-30. Services essentiels</w:t>
      </w:r>
    </w:p>
    <w:p>
      <w:r>
        <w:t>Les services essentiels doivent être reliés à des indicateurs, plans de continuité, responsables identifiables et mécanismes de correction.</w:t>
      </w:r>
    </w:p>
    <w:p>
      <w:pPr>
        <w:pStyle w:val="ArticleTitleNova"/>
        <w:pBdr>
          <w:bottom w:val="single" w:sz="8" w:space="1" w:color="E6D7A5"/>
        </w:pBdr>
      </w:pPr>
      <w:r>
        <w:t>TC-31. Santé</w:t>
      </w:r>
    </w:p>
    <w:p>
      <w:r>
        <w:t>Les règles de santé doivent être reliées aux délais, accès, régions, première ligne, services humains, personnel et retour volontaire des retraités.</w:t>
      </w:r>
    </w:p>
    <w:p>
      <w:pPr>
        <w:pStyle w:val="ArticleTitleNova"/>
        <w:pBdr>
          <w:bottom w:val="single" w:sz="8" w:space="1" w:color="E6D7A5"/>
        </w:pBdr>
      </w:pPr>
      <w:r>
        <w:t>TC-32. Éducation</w:t>
      </w:r>
    </w:p>
    <w:p>
      <w:r>
        <w:t>Les règles d’éducation doivent être reliées au français, savoirs essentiels, formation professionnelle, civisme, culture générale et liberté de conscience.</w:t>
      </w:r>
    </w:p>
    <w:p>
      <w:pPr>
        <w:pStyle w:val="ArticleTitleNova"/>
        <w:pBdr>
          <w:bottom w:val="single" w:sz="8" w:space="1" w:color="E6D7A5"/>
        </w:pBdr>
      </w:pPr>
      <w:r>
        <w:t>TC-33. Français</w:t>
      </w:r>
    </w:p>
    <w:p>
      <w:r>
        <w:t>Toute norme linguistique doit protéger le français comme langue commune, nationale, publique, institutionnelle, d’intégration et de travail.</w:t>
      </w:r>
    </w:p>
    <w:p>
      <w:pPr>
        <w:pStyle w:val="ArticleTitleNova"/>
        <w:pBdr>
          <w:bottom w:val="single" w:sz="8" w:space="1" w:color="E6D7A5"/>
        </w:pBdr>
      </w:pPr>
      <w:r>
        <w:t>TC-34. Immigration</w:t>
      </w:r>
    </w:p>
    <w:p>
      <w:r>
        <w:t>Les seuils et politiques d’immigration doivent être reliés à la capacité d’accueil réelle, au logement, à la santé, à l’éducation et à la francisation.</w:t>
      </w:r>
    </w:p>
    <w:p>
      <w:pPr>
        <w:pStyle w:val="ArticleTitleNova"/>
        <w:pBdr>
          <w:bottom w:val="single" w:sz="8" w:space="1" w:color="E6D7A5"/>
        </w:pBdr>
      </w:pPr>
      <w:r>
        <w:t>TC-35. Fin du recrutement massif</w:t>
      </w:r>
    </w:p>
    <w:p>
      <w:r>
        <w:t>Les programmes de recrutement massif doivent être reliés à une analyse de besoin réel, capacité d’intégration et alternatives locales.</w:t>
      </w:r>
    </w:p>
    <w:p>
      <w:pPr>
        <w:pStyle w:val="ArticleTitleNova"/>
        <w:pBdr>
          <w:bottom w:val="single" w:sz="8" w:space="1" w:color="E6D7A5"/>
        </w:pBdr>
      </w:pPr>
      <w:r>
        <w:t>TC-36. Citoyenneté québécoise</w:t>
      </w:r>
    </w:p>
    <w:p>
      <w:r>
        <w:t>La citoyenneté québécoise doit être reliée à la Constitution, au Volet 3, aux registres civiques, aux droits et devoirs.</w:t>
      </w:r>
    </w:p>
    <w:p>
      <w:pPr>
        <w:pStyle w:val="ArticleTitleNova"/>
        <w:pBdr>
          <w:bottom w:val="single" w:sz="8" w:space="1" w:color="E6D7A5"/>
        </w:pBdr>
      </w:pPr>
      <w:r>
        <w:t>TC-37. Justice</w:t>
      </w:r>
    </w:p>
    <w:p>
      <w:r>
        <w:t>Les normes de justice doivent être reliées à l’accès, aux délais, aux victimes, au langage clair et aux garanties contre l’arbitraire.</w:t>
      </w:r>
    </w:p>
    <w:p>
      <w:pPr>
        <w:pStyle w:val="ArticleTitleNova"/>
        <w:pBdr>
          <w:bottom w:val="single" w:sz="8" w:space="1" w:color="E6D7A5"/>
        </w:pBdr>
      </w:pPr>
      <w:r>
        <w:t>TC-38. Sécurité publique</w:t>
      </w:r>
    </w:p>
    <w:p>
      <w:r>
        <w:t>La sécurité doit être reliée à l’ordre social, à la proportionnalité, à la responsabilité policière et au refus de l’État policier.</w:t>
      </w:r>
    </w:p>
    <w:p>
      <w:pPr>
        <w:pStyle w:val="ArticleTitleNova"/>
        <w:pBdr>
          <w:bottom w:val="single" w:sz="8" w:space="1" w:color="E6D7A5"/>
        </w:pBdr>
      </w:pPr>
      <w:r>
        <w:t>TC-39. Cybersécurité</w:t>
      </w:r>
    </w:p>
    <w:p>
      <w:r>
        <w:t>Les normes de cybersécurité doivent être reliées aux infrastructures critiques, données publiques, élections, paiements et continuité de l’État.</w:t>
      </w:r>
    </w:p>
    <w:p>
      <w:pPr>
        <w:pStyle w:val="ArticleTitleNova"/>
        <w:pBdr>
          <w:bottom w:val="single" w:sz="8" w:space="1" w:color="E6D7A5"/>
        </w:pBdr>
      </w:pPr>
      <w:r>
        <w:t>TC-40. Logement</w:t>
      </w:r>
    </w:p>
    <w:p>
      <w:r>
        <w:t>Les règles de logement doivent être reliées à l’offre, aux permis, à la capacité d’accueil, aux municipalités et aux protections contre les abus.</w:t>
      </w:r>
    </w:p>
    <w:p>
      <w:pPr>
        <w:pStyle w:val="ArticleTitleNova"/>
        <w:pBdr>
          <w:bottom w:val="single" w:sz="8" w:space="1" w:color="E6D7A5"/>
        </w:pBdr>
      </w:pPr>
      <w:r>
        <w:t>TC-41. Municipalités</w:t>
      </w:r>
    </w:p>
    <w:p>
      <w:r>
        <w:t>Les normes municipales doivent être compatibles avec la transparence, les délais, l’aménagement, les services et la responsabilité financière.</w:t>
      </w:r>
    </w:p>
    <w:p>
      <w:pPr>
        <w:pStyle w:val="ArticleTitleNova"/>
        <w:pBdr>
          <w:bottom w:val="single" w:sz="8" w:space="1" w:color="E6D7A5"/>
        </w:pBdr>
      </w:pPr>
      <w:r>
        <w:t>TC-42. Infrastructures</w:t>
      </w:r>
    </w:p>
    <w:p>
      <w:r>
        <w:t>Les normes d’infrastructure doivent être reliées à l’entretien, la sécurité, les coûts, la priorité aux besoins et l’autonomie stratégique.</w:t>
      </w:r>
    </w:p>
    <w:p>
      <w:pPr>
        <w:pStyle w:val="ArticleTitleNova"/>
        <w:pBdr>
          <w:bottom w:val="single" w:sz="8" w:space="1" w:color="E6D7A5"/>
        </w:pBdr>
      </w:pPr>
      <w:r>
        <w:t>TC-43. Énergie</w:t>
      </w:r>
    </w:p>
    <w:p>
      <w:r>
        <w:t>Les normes énergétiques doivent être reliées à la fiabilité, l’abordabilité, l’autonomie, la capacité future et la protection des actifs stratégiques.</w:t>
      </w:r>
    </w:p>
    <w:p>
      <w:pPr>
        <w:pStyle w:val="ArticleTitleNova"/>
        <w:pBdr>
          <w:bottom w:val="single" w:sz="8" w:space="1" w:color="E6D7A5"/>
        </w:pBdr>
      </w:pPr>
      <w:r>
        <w:t>TC-44. Environnement responsable</w:t>
      </w:r>
    </w:p>
    <w:p>
      <w:r>
        <w:t>Les normes environnementales doivent être reliées aux faits, aux résultats, aux analyses d’impact et à la responsabilité des pollueurs.</w:t>
      </w:r>
    </w:p>
    <w:p>
      <w:pPr>
        <w:pStyle w:val="ArticleTitleNova"/>
        <w:pBdr>
          <w:bottom w:val="single" w:sz="8" w:space="1" w:color="E6D7A5"/>
        </w:pBdr>
      </w:pPr>
      <w:r>
        <w:t>TC-45. Numérique</w:t>
      </w:r>
    </w:p>
    <w:p>
      <w:r>
        <w:t>Les normes numériques doivent être reliées à la souveraineté des données, la vie privée, l’interopérabilité, la sécurité et l’accès humain.</w:t>
      </w:r>
    </w:p>
    <w:p>
      <w:pPr>
        <w:pStyle w:val="ArticleTitleNova"/>
        <w:pBdr>
          <w:bottom w:val="single" w:sz="8" w:space="1" w:color="E6D7A5"/>
        </w:pBdr>
      </w:pPr>
      <w:r>
        <w:t>TC-46. Intelligence artificielle</w:t>
      </w:r>
    </w:p>
    <w:p>
      <w:r>
        <w:t>Les décisions assistées par IA doivent être reliées à l’explication, au recours humain, à l’audit des biais et à la responsabilité humaine.</w:t>
      </w:r>
    </w:p>
    <w:p>
      <w:pPr>
        <w:pStyle w:val="ArticleTitleNova"/>
        <w:pBdr>
          <w:bottom w:val="single" w:sz="8" w:space="1" w:color="E6D7A5"/>
        </w:pBdr>
      </w:pPr>
      <w:r>
        <w:t>TC-47. Identité numérique</w:t>
      </w:r>
    </w:p>
    <w:p>
      <w:r>
        <w:t>L’identité numérique doit rester limitée, encadrée, non obligatoire universellement et compatible avec un accès non numérique aux services essentiels.</w:t>
      </w:r>
    </w:p>
    <w:p>
      <w:pPr>
        <w:pStyle w:val="ArticleTitleNova"/>
        <w:pBdr>
          <w:bottom w:val="single" w:sz="8" w:space="1" w:color="E6D7A5"/>
        </w:pBdr>
      </w:pPr>
      <w:r>
        <w:t>TC-48. Surveillance</w:t>
      </w:r>
    </w:p>
    <w:p>
      <w:r>
        <w:t>Toute mesure de surveillance doit être reliée à une autorisation légale, une finalité précise, une proportionnalité et des contrôles indépendants.</w:t>
      </w:r>
    </w:p>
    <w:p>
      <w:pPr>
        <w:pStyle w:val="ArticleTitleNova"/>
        <w:pBdr>
          <w:bottom w:val="single" w:sz="8" w:space="1" w:color="E6D7A5"/>
        </w:pBdr>
      </w:pPr>
      <w:r>
        <w:t>TC-49. Médias et information</w:t>
      </w:r>
    </w:p>
    <w:p>
      <w:r>
        <w:t>Les normes d’information publique doivent protéger la liberté des médias, la transparence des fonds publics et l’absence de contrôle éditorial.</w:t>
      </w:r>
    </w:p>
    <w:p>
      <w:pPr>
        <w:pStyle w:val="ArticleTitleNova"/>
        <w:pBdr>
          <w:bottom w:val="single" w:sz="8" w:space="1" w:color="E6D7A5"/>
        </w:pBdr>
      </w:pPr>
      <w:r>
        <w:t>TC-50. Désinformation</w:t>
      </w:r>
    </w:p>
    <w:p>
      <w:r>
        <w:t>La lutte contre la désinformation organisée ne doit pas créer un ministère de la vérité ou censurer la critique légitime.</w:t>
      </w:r>
    </w:p>
    <w:p>
      <w:pPr>
        <w:pStyle w:val="ArticleTitleNova"/>
        <w:pBdr>
          <w:bottom w:val="single" w:sz="8" w:space="1" w:color="E6D7A5"/>
        </w:pBdr>
      </w:pPr>
      <w:r>
        <w:t>TC-51. Décisions basées sur les faits</w:t>
      </w:r>
    </w:p>
    <w:p>
      <w:r>
        <w:t>Toute politique majeure doit être reliée à des données vérifiables, analyses d’impact, tests et indicateurs de résultat.</w:t>
      </w:r>
    </w:p>
    <w:p>
      <w:pPr>
        <w:pStyle w:val="ArticleTitleNova"/>
        <w:pBdr>
          <w:bottom w:val="single" w:sz="8" w:space="1" w:color="E6D7A5"/>
        </w:pBdr>
      </w:pPr>
      <w:r>
        <w:t>TC-52. Relations internationales</w:t>
      </w:r>
    </w:p>
    <w:p>
      <w:r>
        <w:t>Les relations internationales doivent être reliées à l’intérêt du Québec, à la prudence, à la francophonie et à la diplomatie économique.</w:t>
      </w:r>
    </w:p>
    <w:p>
      <w:pPr>
        <w:pStyle w:val="ArticleTitleNova"/>
        <w:pBdr>
          <w:bottom w:val="single" w:sz="8" w:space="1" w:color="E6D7A5"/>
        </w:pBdr>
      </w:pPr>
      <w:r>
        <w:t>TC-53. Aide extérieure</w:t>
      </w:r>
    </w:p>
    <w:p>
      <w:r>
        <w:t>L’aide extérieure doit être limitée, justifiée, publiée et compatible avec la priorité donnée aux besoins du Québec.</w:t>
      </w:r>
    </w:p>
    <w:p>
      <w:pPr>
        <w:pStyle w:val="ArticleTitleNova"/>
        <w:pBdr>
          <w:bottom w:val="single" w:sz="8" w:space="1" w:color="E6D7A5"/>
        </w:pBdr>
      </w:pPr>
      <w:r>
        <w:t>TC-54. Autochtones</w:t>
      </w:r>
    </w:p>
    <w:p>
      <w:r>
        <w:t>Les relations avec les peuples autochtones doivent être reliées au respect, au dialogue, aux droits, aux services et aux partenariats économiques.</w:t>
      </w:r>
    </w:p>
    <w:p>
      <w:pPr>
        <w:pStyle w:val="ArticleTitleNova"/>
        <w:pBdr>
          <w:bottom w:val="single" w:sz="8" w:space="1" w:color="E6D7A5"/>
        </w:pBdr>
      </w:pPr>
      <w:r>
        <w:t>TC-55. Projet Nova et Parti Nova</w:t>
      </w:r>
    </w:p>
    <w:p>
      <w:r>
        <w:t>La distinction entre Projet Nova et futur Parti Nova doit être maintenue afin d’éviter la capture du corpus par l’outil électoral.</w:t>
      </w:r>
    </w:p>
    <w:p>
      <w:pPr>
        <w:pStyle w:val="ArticleTitleNova"/>
        <w:pBdr>
          <w:bottom w:val="single" w:sz="8" w:space="1" w:color="E6D7A5"/>
        </w:pBdr>
      </w:pPr>
      <w:r>
        <w:t>TC-56. Code de conduite</w:t>
      </w:r>
    </w:p>
    <w:p>
      <w:r>
        <w:t>Le code de conduite doit être relié aux candidats, élus, membres, responsables, finances, plaintes et sanctions.</w:t>
      </w:r>
    </w:p>
    <w:p>
      <w:pPr>
        <w:pStyle w:val="ArticleTitleNova"/>
        <w:pBdr>
          <w:bottom w:val="single" w:sz="8" w:space="1" w:color="E6D7A5"/>
        </w:pBdr>
      </w:pPr>
      <w:r>
        <w:t>TC-57. Refus du culte du chef</w:t>
      </w:r>
    </w:p>
    <w:p>
      <w:r>
        <w:t>Toute structure interne doit limiter les pouvoirs du chef et protéger le projet contre l’appropriation personnelle.</w:t>
      </w:r>
    </w:p>
    <w:p>
      <w:pPr>
        <w:pStyle w:val="ArticleTitleNova"/>
        <w:pBdr>
          <w:bottom w:val="single" w:sz="8" w:space="1" w:color="E6D7A5"/>
        </w:pBdr>
      </w:pPr>
      <w:r>
        <w:t>TC-58. Candidats</w:t>
      </w:r>
    </w:p>
    <w:p>
      <w:r>
        <w:t>Les candidats doivent être reliés aux critères de compétence, intégrité, formation, conflits d’intérêts et engagement écrit.</w:t>
      </w:r>
    </w:p>
    <w:p>
      <w:pPr>
        <w:pStyle w:val="ArticleTitleNova"/>
        <w:pBdr>
          <w:bottom w:val="single" w:sz="8" w:space="1" w:color="E6D7A5"/>
        </w:pBdr>
      </w:pPr>
      <w:r>
        <w:t>TC-59. Élus</w:t>
      </w:r>
    </w:p>
    <w:p>
      <w:r>
        <w:t>Les élus doivent être reliés aux rapports publics, dépenses, présence, reddition de comptes et respect du mandat.</w:t>
      </w:r>
    </w:p>
    <w:p>
      <w:pPr>
        <w:pStyle w:val="ArticleTitleNova"/>
        <w:pBdr>
          <w:bottom w:val="single" w:sz="8" w:space="1" w:color="E6D7A5"/>
        </w:pBdr>
      </w:pPr>
      <w:r>
        <w:t>TC-60. Révision continue</w:t>
      </w:r>
    </w:p>
    <w:p>
      <w:r>
        <w:t>Le présent outil doit être mis à jour après chaque modification majeure du corpus afin de maintenir la cohérence du système.</w:t>
      </w:r>
    </w:p>
    <w:p>
      <w:pPr>
        <w:pStyle w:val="ArticleTitleNova"/>
        <w:pBdr>
          <w:bottom w:val="single" w:sz="8" w:space="1" w:color="E6D7A5"/>
        </w:pBdr>
      </w:pPr>
      <w:r>
        <w:t>TC-61. Contradiction détectée</w:t>
      </w:r>
    </w:p>
    <w:p>
      <w:r>
        <w:t>Lorsqu’une contradiction est détectée, elle doit être classée selon sa gravité, son domaine, sa source, son effet et son correctif obligatoire.</w:t>
      </w:r>
    </w:p>
    <w:p>
      <w:pPr>
        <w:pStyle w:val="ArticleTitleNova"/>
        <w:pBdr>
          <w:bottom w:val="single" w:sz="8" w:space="1" w:color="E6D7A5"/>
        </w:pBdr>
      </w:pPr>
      <w:r>
        <w:t>TC-62. Omission détectée</w:t>
      </w:r>
    </w:p>
    <w:p>
      <w:r>
        <w:t>Lorsqu’une omission est détectée, le corpus doit indiquer si la réponse relève d’une loi, d’un règlement, d’un document citoyen ou d’un correctif futur.</w:t>
      </w:r>
    </w:p>
    <w:p>
      <w:pPr>
        <w:pStyle w:val="ArticleTitleNova"/>
        <w:pBdr>
          <w:bottom w:val="single" w:sz="8" w:space="1" w:color="E6D7A5"/>
        </w:pBdr>
      </w:pPr>
      <w:r>
        <w:t>TC-63. Doublon normatif</w:t>
      </w:r>
    </w:p>
    <w:p>
      <w:r>
        <w:t>Lorsqu’un doublon est détecté, il doit être harmonisé afin d’éviter deux règles différentes pour le même objet.</w:t>
      </w:r>
    </w:p>
    <w:p>
      <w:pPr>
        <w:pStyle w:val="ArticleTitleNova"/>
        <w:pBdr>
          <w:bottom w:val="single" w:sz="8" w:space="1" w:color="E6D7A5"/>
        </w:pBdr>
      </w:pPr>
      <w:r>
        <w:t>TC-64. Vocabulaire uniforme</w:t>
      </w:r>
    </w:p>
    <w:p>
      <w:r>
        <w:t>Les notions centrales doivent conserver un vocabulaire uniforme : peuple, citoyen, État, autorité indépendante, référendum, service essentiel, norme supérieure.</w:t>
      </w:r>
    </w:p>
    <w:p>
      <w:pPr>
        <w:pStyle w:val="ArticleTitleNova"/>
        <w:pBdr>
          <w:bottom w:val="single" w:sz="8" w:space="1" w:color="E6D7A5"/>
        </w:pBdr>
      </w:pPr>
      <w:r>
        <w:t>TC-65. Table des définitions</w:t>
      </w:r>
    </w:p>
    <w:p>
      <w:r>
        <w:t>Toute notion susceptible d’être interprétée abusivement doit être reliée à une définition ou à une clause d’interprétation.</w:t>
      </w:r>
    </w:p>
    <w:p>
      <w:pPr>
        <w:pStyle w:val="ArticleTitleNova"/>
        <w:pBdr>
          <w:bottom w:val="single" w:sz="8" w:space="1" w:color="E6D7A5"/>
        </w:pBdr>
      </w:pPr>
      <w:r>
        <w:t>TC-66. Contrôle anti-contournement</w:t>
      </w:r>
    </w:p>
    <w:p>
      <w:r>
        <w:t>Une mesure conforme en apparence mais destinée à contourner une norme supérieure doit être considérée contraire au Système Nova.</w:t>
      </w:r>
    </w:p>
    <w:p>
      <w:pPr>
        <w:pStyle w:val="ArticleTitleNova"/>
        <w:pBdr>
          <w:bottom w:val="single" w:sz="8" w:space="1" w:color="E6D7A5"/>
        </w:pBdr>
      </w:pPr>
      <w:r>
        <w:t>TC-67. Contrôle des délais</w:t>
      </w:r>
    </w:p>
    <w:p>
      <w:r>
        <w:t>Tout droit ou service dépendant d’une réponse administrative doit être relié à un délai raisonnable, une justification et un recours.</w:t>
      </w:r>
    </w:p>
    <w:p>
      <w:pPr>
        <w:pStyle w:val="ArticleTitleNova"/>
        <w:pBdr>
          <w:bottom w:val="single" w:sz="8" w:space="1" w:color="E6D7A5"/>
        </w:pBdr>
      </w:pPr>
      <w:r>
        <w:t>TC-68. Contrôle des exceptions</w:t>
      </w:r>
    </w:p>
    <w:p>
      <w:r>
        <w:t>Toute exception à une règle doit être écrite, limitée, motivée, proportionnée et contrôlable.</w:t>
      </w:r>
    </w:p>
    <w:p>
      <w:pPr>
        <w:pStyle w:val="ArticleTitleNova"/>
        <w:pBdr>
          <w:bottom w:val="single" w:sz="8" w:space="1" w:color="E6D7A5"/>
        </w:pBdr>
      </w:pPr>
      <w:r>
        <w:t>TC-69. Contrôle des urgences</w:t>
      </w:r>
    </w:p>
    <w:p>
      <w:r>
        <w:t>L’urgence ne doit pas devenir un mode permanent de gouvernement. Les pouvoirs exceptionnels doivent être temporaires et surveillés.</w:t>
      </w:r>
    </w:p>
    <w:p>
      <w:pPr>
        <w:pStyle w:val="ArticleTitleNova"/>
        <w:pBdr>
          <w:bottom w:val="single" w:sz="8" w:space="1" w:color="E6D7A5"/>
        </w:pBdr>
      </w:pPr>
      <w:r>
        <w:t>TC-70. Contrôle de la centralisation</w:t>
      </w:r>
    </w:p>
    <w:p>
      <w:r>
        <w:t>Toute centralisation nouvelle doit être justifiée par un besoin réel et accompagnée de contre-pouvoirs.</w:t>
      </w:r>
    </w:p>
    <w:p>
      <w:pPr>
        <w:pStyle w:val="ArticleTitleNova"/>
        <w:pBdr>
          <w:bottom w:val="single" w:sz="8" w:space="1" w:color="E6D7A5"/>
        </w:pBdr>
      </w:pPr>
      <w:r>
        <w:t>TC-71. Contrôle des autorités indépendantes</w:t>
      </w:r>
    </w:p>
    <w:p>
      <w:r>
        <w:t>Les autorités indépendantes doivent être protégées contre l’ingérence mais rester transparentes et responsables devant le cadre légal.</w:t>
      </w:r>
    </w:p>
    <w:p>
      <w:pPr>
        <w:pStyle w:val="ArticleTitleNova"/>
        <w:pBdr>
          <w:bottom w:val="single" w:sz="8" w:space="1" w:color="E6D7A5"/>
        </w:pBdr>
      </w:pPr>
      <w:r>
        <w:t>TC-72. Contrôle des nominations</w:t>
      </w:r>
    </w:p>
    <w:p>
      <w:r>
        <w:t>Les nominations stratégiques doivent être reliées à la compétence, l’indépendance, la transparence et l’absence de conflit d’intérêts.</w:t>
      </w:r>
    </w:p>
    <w:p>
      <w:pPr>
        <w:pStyle w:val="ArticleTitleNova"/>
        <w:pBdr>
          <w:bottom w:val="single" w:sz="8" w:space="1" w:color="E6D7A5"/>
        </w:pBdr>
      </w:pPr>
      <w:r>
        <w:t>TC-73. Contrôle des indicateurs</w:t>
      </w:r>
    </w:p>
    <w:p>
      <w:r>
        <w:t>Les indicateurs doivent mesurer des résultats réels et ne pas être choisis pour masquer l’échec d’un programme.</w:t>
      </w:r>
    </w:p>
    <w:p>
      <w:pPr>
        <w:pStyle w:val="ArticleTitleNova"/>
        <w:pBdr>
          <w:bottom w:val="single" w:sz="8" w:space="1" w:color="E6D7A5"/>
        </w:pBdr>
      </w:pPr>
      <w:r>
        <w:t>TC-74. Contrôle des rapports</w:t>
      </w:r>
    </w:p>
    <w:p>
      <w:r>
        <w:t>Les rapports publics doivent être datés, accessibles, comparables et accompagnés des limites méthodologiques importantes.</w:t>
      </w:r>
    </w:p>
    <w:p>
      <w:pPr>
        <w:pStyle w:val="ArticleTitleNova"/>
        <w:pBdr>
          <w:bottom w:val="single" w:sz="8" w:space="1" w:color="E6D7A5"/>
        </w:pBdr>
      </w:pPr>
      <w:r>
        <w:t>TC-75. Contrôle des données</w:t>
      </w:r>
    </w:p>
    <w:p>
      <w:r>
        <w:t>Les données utilisées pour justifier une décision doivent être vérifiables, documentées et protégées contre la manipulation.</w:t>
      </w:r>
    </w:p>
    <w:p>
      <w:pPr>
        <w:pStyle w:val="ArticleTitleNova"/>
        <w:pBdr>
          <w:bottom w:val="single" w:sz="8" w:space="1" w:color="E6D7A5"/>
        </w:pBdr>
      </w:pPr>
      <w:r>
        <w:t>TC-76. Contrôle des consultations</w:t>
      </w:r>
    </w:p>
    <w:p>
      <w:r>
        <w:t>Une consultation ne remplace pas un vote lorsque le corpus exige un référendum ou une décision populaire formelle.</w:t>
      </w:r>
    </w:p>
    <w:p>
      <w:pPr>
        <w:pStyle w:val="ArticleTitleNova"/>
        <w:pBdr>
          <w:bottom w:val="single" w:sz="8" w:space="1" w:color="E6D7A5"/>
        </w:pBdr>
      </w:pPr>
      <w:r>
        <w:t>TC-77. Contrôle des programmes</w:t>
      </w:r>
    </w:p>
    <w:p>
      <w:r>
        <w:t>Tout programme public doit avoir un objet, un coût, une durée, un indicateur, un responsable et un mécanisme de révision.</w:t>
      </w:r>
    </w:p>
    <w:p>
      <w:pPr>
        <w:pStyle w:val="ArticleTitleNova"/>
        <w:pBdr>
          <w:bottom w:val="single" w:sz="8" w:space="1" w:color="E6D7A5"/>
        </w:pBdr>
      </w:pPr>
      <w:r>
        <w:t>TC-78. Contrôle des subventions</w:t>
      </w:r>
    </w:p>
    <w:p>
      <w:r>
        <w:t>Toute subvention doit être reliée à un objectif public, une justification, une publication et une évaluation.</w:t>
      </w:r>
    </w:p>
    <w:p>
      <w:pPr>
        <w:pStyle w:val="ArticleTitleNova"/>
        <w:pBdr>
          <w:bottom w:val="single" w:sz="8" w:space="1" w:color="E6D7A5"/>
        </w:pBdr>
      </w:pPr>
      <w:r>
        <w:t>TC-79. Contrôle des dépenses extérieures</w:t>
      </w:r>
    </w:p>
    <w:p>
      <w:r>
        <w:t>Toute dépense hors Québec doit être reliée à une exception justifiée et non à une habitude diplomatique non contrôlée.</w:t>
      </w:r>
    </w:p>
    <w:p>
      <w:pPr>
        <w:pStyle w:val="ArticleTitleNova"/>
        <w:pBdr>
          <w:bottom w:val="single" w:sz="8" w:space="1" w:color="E6D7A5"/>
        </w:pBdr>
      </w:pPr>
      <w:r>
        <w:t>TC-80. Contrôle des communications</w:t>
      </w:r>
    </w:p>
    <w:p>
      <w:r>
        <w:t>La communication gouvernementale doit informer le public et non servir de publicité partisane déguisée.</w:t>
      </w:r>
    </w:p>
    <w:p>
      <w:pPr>
        <w:pStyle w:val="ArticleTitleNova"/>
        <w:pBdr>
          <w:bottom w:val="single" w:sz="8" w:space="1" w:color="E6D7A5"/>
        </w:pBdr>
      </w:pPr>
      <w:r>
        <w:t>TC-81. Contrôle de la transition</w:t>
      </w:r>
    </w:p>
    <w:p>
      <w:r>
        <w:t>La transition constitutionnelle doit rester graduelle, documentée, démocratique et compatible avec la continuité des services essentiels.</w:t>
      </w:r>
    </w:p>
    <w:p>
      <w:pPr>
        <w:pStyle w:val="ArticleTitleNova"/>
        <w:pBdr>
          <w:bottom w:val="single" w:sz="8" w:space="1" w:color="E6D7A5"/>
        </w:pBdr>
      </w:pPr>
      <w:r>
        <w:t>TC-82. Contrôle du mandat populaire</w:t>
      </w:r>
    </w:p>
    <w:p>
      <w:r>
        <w:t>Aucune étape irréversible de souveraineté ne doit être engagée sans mandat populaire clair lorsque celui-ci est requis.</w:t>
      </w:r>
    </w:p>
    <w:p>
      <w:pPr>
        <w:pStyle w:val="ArticleTitleNova"/>
        <w:pBdr>
          <w:bottom w:val="single" w:sz="8" w:space="1" w:color="E6D7A5"/>
        </w:pBdr>
      </w:pPr>
      <w:r>
        <w:t>TC-83. Contrôle des scénarios</w:t>
      </w:r>
    </w:p>
    <w:p>
      <w:r>
        <w:t>Les scénarios de transition doivent inclure avantages, risques, coûts, délais, correctifs et effets sur les citoyens.</w:t>
      </w:r>
    </w:p>
    <w:p>
      <w:pPr>
        <w:pStyle w:val="ArticleTitleNova"/>
        <w:pBdr>
          <w:bottom w:val="single" w:sz="8" w:space="1" w:color="E6D7A5"/>
        </w:pBdr>
      </w:pPr>
      <w:r>
        <w:t>TC-84. Contrôle des communications référendaires</w:t>
      </w:r>
    </w:p>
    <w:p>
      <w:r>
        <w:t>L’information référendaire doit être claire, équilibrée, vérifiable et accessible en langage citoyen.</w:t>
      </w:r>
    </w:p>
    <w:p>
      <w:pPr>
        <w:pStyle w:val="ArticleTitleNova"/>
        <w:pBdr>
          <w:bottom w:val="single" w:sz="8" w:space="1" w:color="E6D7A5"/>
        </w:pBdr>
      </w:pPr>
      <w:r>
        <w:t>TC-85. Contrôle des documents citoyens</w:t>
      </w:r>
    </w:p>
    <w:p>
      <w:r>
        <w:t>Les versions simplifiées doivent être fidèles aux textes techniques et ne pas cacher les limites ou risques.</w:t>
      </w:r>
    </w:p>
    <w:p>
      <w:pPr>
        <w:pStyle w:val="ArticleTitleNova"/>
        <w:pBdr>
          <w:bottom w:val="single" w:sz="8" w:space="1" w:color="E6D7A5"/>
        </w:pBdr>
      </w:pPr>
      <w:r>
        <w:t>TC-86. Contrôle juridique</w:t>
      </w:r>
    </w:p>
    <w:p>
      <w:r>
        <w:t>Les textes doivent être soumis à une révision juridique afin de réduire les failles, ambiguïtés et contradictions.</w:t>
      </w:r>
    </w:p>
    <w:p>
      <w:pPr>
        <w:pStyle w:val="ArticleTitleNova"/>
        <w:pBdr>
          <w:bottom w:val="single" w:sz="8" w:space="1" w:color="E6D7A5"/>
        </w:pBdr>
      </w:pPr>
      <w:r>
        <w:t>TC-87. Contrôle administratif</w:t>
      </w:r>
    </w:p>
    <w:p>
      <w:r>
        <w:t>Les textes doivent être soumis à une révision administrative afin d’évaluer leur faisabilité et leurs coûts de mise en œuvre.</w:t>
      </w:r>
    </w:p>
    <w:p>
      <w:pPr>
        <w:pStyle w:val="ArticleTitleNova"/>
        <w:pBdr>
          <w:bottom w:val="single" w:sz="8" w:space="1" w:color="E6D7A5"/>
        </w:pBdr>
      </w:pPr>
      <w:r>
        <w:t>TC-88. Contrôle financier</w:t>
      </w:r>
    </w:p>
    <w:p>
      <w:r>
        <w:t>Les engagements coûteux doivent être reliés à une source de financement, une estimation et un suivi budgétaire.</w:t>
      </w:r>
    </w:p>
    <w:p>
      <w:pPr>
        <w:pStyle w:val="ArticleTitleNova"/>
        <w:pBdr>
          <w:bottom w:val="single" w:sz="8" w:space="1" w:color="E6D7A5"/>
        </w:pBdr>
      </w:pPr>
      <w:r>
        <w:t>TC-89. Contrôle régional</w:t>
      </w:r>
    </w:p>
    <w:p>
      <w:r>
        <w:t>Toute politique nationale doit évaluer ses effets régionaux et éviter une centralisation injustifiée.</w:t>
      </w:r>
    </w:p>
    <w:p>
      <w:pPr>
        <w:pStyle w:val="ArticleTitleNova"/>
        <w:pBdr>
          <w:bottom w:val="single" w:sz="8" w:space="1" w:color="E6D7A5"/>
        </w:pBdr>
      </w:pPr>
      <w:r>
        <w:t>TC-90. Contrôle des droits</w:t>
      </w:r>
    </w:p>
    <w:p>
      <w:r>
        <w:t>Toute mesure publique doit être vérifiée quant à ses effets sur les droits, libertés et recours des citoyens.</w:t>
      </w:r>
    </w:p>
    <w:p>
      <w:pPr>
        <w:pStyle w:val="ArticleTitleNova"/>
        <w:pBdr>
          <w:bottom w:val="single" w:sz="8" w:space="1" w:color="E6D7A5"/>
        </w:pBdr>
      </w:pPr>
      <w:r>
        <w:t>TC-91. Contrôle de proportionnalité</w:t>
      </w:r>
    </w:p>
    <w:p>
      <w:r>
        <w:t>Toute restriction imposée par l’État doit être nécessaire, proportionnée, limitée et susceptible de recours.</w:t>
      </w:r>
    </w:p>
    <w:p>
      <w:pPr>
        <w:pStyle w:val="ArticleTitleNova"/>
        <w:pBdr>
          <w:bottom w:val="single" w:sz="8" w:space="1" w:color="E6D7A5"/>
        </w:pBdr>
      </w:pPr>
      <w:r>
        <w:t>TC-92. Contrôle de l’accès humain</w:t>
      </w:r>
    </w:p>
    <w:p>
      <w:r>
        <w:t>La numérisation ne doit pas retirer l’accès humain aux services essentiels ou aux recours importants.</w:t>
      </w:r>
    </w:p>
    <w:p>
      <w:pPr>
        <w:pStyle w:val="ArticleTitleNova"/>
        <w:pBdr>
          <w:bottom w:val="single" w:sz="8" w:space="1" w:color="E6D7A5"/>
        </w:pBdr>
      </w:pPr>
      <w:r>
        <w:t>TC-93. Contrôle de l’automatisation</w:t>
      </w:r>
    </w:p>
    <w:p>
      <w:r>
        <w:t>Une décision automatisée importante doit pouvoir être comprise, contestée et revue par une personne responsable.</w:t>
      </w:r>
    </w:p>
    <w:p>
      <w:pPr>
        <w:pStyle w:val="ArticleTitleNova"/>
        <w:pBdr>
          <w:bottom w:val="single" w:sz="8" w:space="1" w:color="E6D7A5"/>
        </w:pBdr>
      </w:pPr>
      <w:r>
        <w:t>TC-94. Contrôle de continuité</w:t>
      </w:r>
    </w:p>
    <w:p>
      <w:r>
        <w:t>Les changements institutionnels doivent prévoir une continuité pour les citoyens, contrats, droits, paiements et services essentiels.</w:t>
      </w:r>
    </w:p>
    <w:p>
      <w:pPr>
        <w:pStyle w:val="ArticleTitleNova"/>
        <w:pBdr>
          <w:bottom w:val="single" w:sz="8" w:space="1" w:color="E6D7A5"/>
        </w:pBdr>
      </w:pPr>
      <w:r>
        <w:t>TC-95. Contrôle de cohésion sociale</w:t>
      </w:r>
    </w:p>
    <w:p>
      <w:r>
        <w:t>Toute mesure touchant l’immigration, la langue, les services ou la sécurité doit évaluer ses effets sur la cohésion sociale.</w:t>
      </w:r>
    </w:p>
    <w:p>
      <w:pPr>
        <w:pStyle w:val="ArticleTitleNova"/>
        <w:pBdr>
          <w:bottom w:val="single" w:sz="8" w:space="1" w:color="E6D7A5"/>
        </w:pBdr>
      </w:pPr>
      <w:r>
        <w:t>TC-96. Contrôle des sanctions</w:t>
      </w:r>
    </w:p>
    <w:p>
      <w:r>
        <w:t>Les sanctions doivent être légales, proportionnées, motivées, révisables et compatibles avec les droits fondamentaux.</w:t>
      </w:r>
    </w:p>
    <w:p>
      <w:pPr>
        <w:pStyle w:val="ArticleTitleNova"/>
        <w:pBdr>
          <w:bottom w:val="single" w:sz="8" w:space="1" w:color="E6D7A5"/>
        </w:pBdr>
      </w:pPr>
      <w:r>
        <w:t>TC-97. Contrôle de la mémoire institutionnelle</w:t>
      </w:r>
    </w:p>
    <w:p>
      <w:r>
        <w:t>Les versions, modifications et décisions d’interprétation doivent être archivées pour éviter les pertes et manipulations.</w:t>
      </w:r>
    </w:p>
    <w:p>
      <w:pPr>
        <w:pStyle w:val="ArticleTitleNova"/>
        <w:pBdr>
          <w:bottom w:val="single" w:sz="8" w:space="1" w:color="E6D7A5"/>
        </w:pBdr>
      </w:pPr>
      <w:r>
        <w:t>TC-98. Contrôle de publication</w:t>
      </w:r>
    </w:p>
    <w:p>
      <w:r>
        <w:t>Toute modification importante du corpus doit être publiée avec une note expliquant la raison du changement.</w:t>
      </w:r>
    </w:p>
    <w:p>
      <w:pPr>
        <w:pStyle w:val="ArticleTitleNova"/>
        <w:pBdr>
          <w:bottom w:val="single" w:sz="8" w:space="1" w:color="E6D7A5"/>
        </w:pBdr>
      </w:pPr>
      <w:r>
        <w:t>TC-99. Contrôle de compatibilité</w:t>
      </w:r>
    </w:p>
    <w:p>
      <w:r>
        <w:t>Chaque nouveau document Nova doit contenir une clause de compatibilité avec la Constitution et les normes fondamentales.</w:t>
      </w:r>
    </w:p>
    <w:p>
      <w:pPr>
        <w:pStyle w:val="ArticleTitleNova"/>
        <w:pBdr>
          <w:bottom w:val="single" w:sz="8" w:space="1" w:color="E6D7A5"/>
        </w:pBdr>
      </w:pPr>
      <w:r>
        <w:t>TC-100. Contrôle final</w:t>
      </w:r>
    </w:p>
    <w:p>
      <w:r>
        <w:t>Le Système Nova doit être considéré comme incomplet sans un registre des risques, un audit de défense constitutionnelle, une version citoyenne et un code de conduite.</w:t>
      </w:r>
    </w:p>
    <w:p>
      <w:pPr>
        <w:pStyle w:val="Heading1"/>
      </w:pPr>
      <w:r>
        <w:t>MATRICE DE CONTRÔLE DES CONTRADICTIONS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F1F1F"/>
          </w:tcPr>
          <w:p>
            <w:pPr>
              <w:spacing w:after="0"/>
            </w:pPr>
            <w:r/>
            <w:r>
              <w:rPr>
                <w:rFonts w:ascii="Arial" w:hAnsi="Arial" w:eastAsia="Arial"/>
                <w:b/>
                <w:color w:val="FFFFFF"/>
                <w:sz w:val="16"/>
              </w:rPr>
              <w:t>Type de problème</w:t>
            </w:r>
          </w:p>
        </w:tc>
        <w:tc>
          <w:tcPr>
            <w:tcW w:type="dxa" w:w="3427"/>
            <w:shd w:fill="1F1F1F"/>
          </w:tcPr>
          <w:p>
            <w:pPr>
              <w:spacing w:after="0"/>
            </w:pPr>
            <w:r/>
            <w:r>
              <w:rPr>
                <w:rFonts w:ascii="Arial" w:hAnsi="Arial" w:eastAsia="Arial"/>
                <w:b/>
                <w:color w:val="FFFFFF"/>
                <w:sz w:val="16"/>
              </w:rPr>
              <w:t>Exemple</w:t>
            </w:r>
          </w:p>
        </w:tc>
        <w:tc>
          <w:tcPr>
            <w:tcW w:type="dxa" w:w="3427"/>
            <w:shd w:fill="1F1F1F"/>
          </w:tcPr>
          <w:p>
            <w:pPr>
              <w:spacing w:after="0"/>
            </w:pPr>
            <w:r/>
            <w:r>
              <w:rPr>
                <w:rFonts w:ascii="Arial" w:hAnsi="Arial" w:eastAsia="Arial"/>
                <w:b/>
                <w:color w:val="FFFFFF"/>
                <w:sz w:val="16"/>
              </w:rPr>
              <w:t>Réponse obligatoire</w:t>
            </w:r>
          </w:p>
        </w:tc>
      </w:tr>
      <w:tr>
        <w:tc>
          <w:tcPr>
            <w:tcW w:type="dxa" w:w="3427"/>
            <w:vAlign w:val="top"/>
          </w:tcPr>
          <w:p>
            <w:pPr>
              <w:spacing w:after="0"/>
            </w:pPr>
            <w:r/>
            <w:r>
              <w:rPr>
                <w:rFonts w:ascii="Arial" w:hAnsi="Arial" w:eastAsia="Arial"/>
                <w:b w:val="0"/>
                <w:sz w:val="16"/>
              </w:rPr>
              <w:t>Contradiction verticale</w:t>
            </w:r>
          </w:p>
        </w:tc>
        <w:tc>
          <w:tcPr>
            <w:tcW w:type="dxa" w:w="3427"/>
            <w:vAlign w:val="top"/>
          </w:tcPr>
          <w:p>
            <w:pPr>
              <w:spacing w:after="0"/>
            </w:pPr>
            <w:r/>
            <w:r>
              <w:rPr>
                <w:rFonts w:ascii="Arial" w:hAnsi="Arial" w:eastAsia="Arial"/>
                <w:b w:val="0"/>
                <w:sz w:val="16"/>
              </w:rPr>
              <w:t>Un règlement contredit une loi</w:t>
            </w:r>
          </w:p>
        </w:tc>
        <w:tc>
          <w:tcPr>
            <w:tcW w:type="dxa" w:w="3427"/>
            <w:vAlign w:val="top"/>
          </w:tcPr>
          <w:p>
            <w:pPr>
              <w:spacing w:after="0"/>
            </w:pPr>
            <w:r/>
            <w:r>
              <w:rPr>
                <w:rFonts w:ascii="Arial" w:hAnsi="Arial" w:eastAsia="Arial"/>
                <w:b w:val="0"/>
                <w:sz w:val="16"/>
              </w:rPr>
              <w:t>Appliquer la norme supérieure et corriger le règlement</w:t>
            </w:r>
          </w:p>
        </w:tc>
      </w:tr>
      <w:tr>
        <w:tc>
          <w:tcPr>
            <w:tcW w:type="dxa" w:w="3427"/>
            <w:vAlign w:val="top"/>
            <w:shd w:fill="FBF8EF"/>
          </w:tcPr>
          <w:p>
            <w:pPr>
              <w:spacing w:after="0"/>
            </w:pPr>
            <w:r/>
            <w:r>
              <w:rPr>
                <w:rFonts w:ascii="Arial" w:hAnsi="Arial" w:eastAsia="Arial"/>
                <w:b w:val="0"/>
                <w:sz w:val="16"/>
              </w:rPr>
              <w:t>Contradiction horizontale</w:t>
            </w:r>
          </w:p>
        </w:tc>
        <w:tc>
          <w:tcPr>
            <w:tcW w:type="dxa" w:w="3427"/>
            <w:vAlign w:val="top"/>
            <w:shd w:fill="FBF8EF"/>
          </w:tcPr>
          <w:p>
            <w:pPr>
              <w:spacing w:after="0"/>
            </w:pPr>
            <w:r/>
            <w:r>
              <w:rPr>
                <w:rFonts w:ascii="Arial" w:hAnsi="Arial" w:eastAsia="Arial"/>
                <w:b w:val="0"/>
                <w:sz w:val="16"/>
              </w:rPr>
              <w:t>Deux lois ordinaires donnent deux règles incompatibles</w:t>
            </w:r>
          </w:p>
        </w:tc>
        <w:tc>
          <w:tcPr>
            <w:tcW w:type="dxa" w:w="3427"/>
            <w:vAlign w:val="top"/>
            <w:shd w:fill="FBF8EF"/>
          </w:tcPr>
          <w:p>
            <w:pPr>
              <w:spacing w:after="0"/>
            </w:pPr>
            <w:r/>
            <w:r>
              <w:rPr>
                <w:rFonts w:ascii="Arial" w:hAnsi="Arial" w:eastAsia="Arial"/>
                <w:b w:val="0"/>
                <w:sz w:val="16"/>
              </w:rPr>
              <w:t>Harmoniser par modification ciblée</w:t>
            </w:r>
          </w:p>
        </w:tc>
      </w:tr>
      <w:tr>
        <w:tc>
          <w:tcPr>
            <w:tcW w:type="dxa" w:w="3427"/>
            <w:vAlign w:val="top"/>
          </w:tcPr>
          <w:p>
            <w:pPr>
              <w:spacing w:after="0"/>
            </w:pPr>
            <w:r/>
            <w:r>
              <w:rPr>
                <w:rFonts w:ascii="Arial" w:hAnsi="Arial" w:eastAsia="Arial"/>
                <w:b w:val="0"/>
                <w:sz w:val="16"/>
              </w:rPr>
              <w:t>Contradiction de vocabulaire</w:t>
            </w:r>
          </w:p>
        </w:tc>
        <w:tc>
          <w:tcPr>
            <w:tcW w:type="dxa" w:w="3427"/>
            <w:vAlign w:val="top"/>
          </w:tcPr>
          <w:p>
            <w:pPr>
              <w:spacing w:after="0"/>
            </w:pPr>
            <w:r/>
            <w:r>
              <w:rPr>
                <w:rFonts w:ascii="Arial" w:hAnsi="Arial" w:eastAsia="Arial"/>
                <w:b w:val="0"/>
                <w:sz w:val="16"/>
              </w:rPr>
              <w:t>Deux termes différents pour le même mécanisme</w:t>
            </w:r>
          </w:p>
        </w:tc>
        <w:tc>
          <w:tcPr>
            <w:tcW w:type="dxa" w:w="3427"/>
            <w:vAlign w:val="top"/>
          </w:tcPr>
          <w:p>
            <w:pPr>
              <w:spacing w:after="0"/>
            </w:pPr>
            <w:r/>
            <w:r>
              <w:rPr>
                <w:rFonts w:ascii="Arial" w:hAnsi="Arial" w:eastAsia="Arial"/>
                <w:b w:val="0"/>
                <w:sz w:val="16"/>
              </w:rPr>
              <w:t>Uniformiser la définition</w:t>
            </w:r>
          </w:p>
        </w:tc>
      </w:tr>
      <w:tr>
        <w:tc>
          <w:tcPr>
            <w:tcW w:type="dxa" w:w="3427"/>
            <w:vAlign w:val="top"/>
            <w:shd w:fill="FBF8EF"/>
          </w:tcPr>
          <w:p>
            <w:pPr>
              <w:spacing w:after="0"/>
            </w:pPr>
            <w:r/>
            <w:r>
              <w:rPr>
                <w:rFonts w:ascii="Arial" w:hAnsi="Arial" w:eastAsia="Arial"/>
                <w:b w:val="0"/>
                <w:sz w:val="16"/>
              </w:rPr>
              <w:t>Omission</w:t>
            </w:r>
          </w:p>
        </w:tc>
        <w:tc>
          <w:tcPr>
            <w:tcW w:type="dxa" w:w="3427"/>
            <w:vAlign w:val="top"/>
            <w:shd w:fill="FBF8EF"/>
          </w:tcPr>
          <w:p>
            <w:pPr>
              <w:spacing w:after="0"/>
            </w:pPr>
            <w:r/>
            <w:r>
              <w:rPr>
                <w:rFonts w:ascii="Arial" w:hAnsi="Arial" w:eastAsia="Arial"/>
                <w:b w:val="0"/>
                <w:sz w:val="16"/>
              </w:rPr>
              <w:t>Aucun recours prévu contre une décision administrative importante</w:t>
            </w:r>
          </w:p>
        </w:tc>
        <w:tc>
          <w:tcPr>
            <w:tcW w:type="dxa" w:w="3427"/>
            <w:vAlign w:val="top"/>
            <w:shd w:fill="FBF8EF"/>
          </w:tcPr>
          <w:p>
            <w:pPr>
              <w:spacing w:after="0"/>
            </w:pPr>
            <w:r/>
            <w:r>
              <w:rPr>
                <w:rFonts w:ascii="Arial" w:hAnsi="Arial" w:eastAsia="Arial"/>
                <w:b w:val="0"/>
                <w:sz w:val="16"/>
              </w:rPr>
              <w:t>Ajouter recours, délai et responsable</w:t>
            </w:r>
          </w:p>
        </w:tc>
      </w:tr>
      <w:tr>
        <w:tc>
          <w:tcPr>
            <w:tcW w:type="dxa" w:w="3427"/>
            <w:vAlign w:val="top"/>
          </w:tcPr>
          <w:p>
            <w:pPr>
              <w:spacing w:after="0"/>
            </w:pPr>
            <w:r/>
            <w:r>
              <w:rPr>
                <w:rFonts w:ascii="Arial" w:hAnsi="Arial" w:eastAsia="Arial"/>
                <w:b w:val="0"/>
                <w:sz w:val="16"/>
              </w:rPr>
              <w:t>Doublon</w:t>
            </w:r>
          </w:p>
        </w:tc>
        <w:tc>
          <w:tcPr>
            <w:tcW w:type="dxa" w:w="3427"/>
            <w:vAlign w:val="top"/>
          </w:tcPr>
          <w:p>
            <w:pPr>
              <w:spacing w:after="0"/>
            </w:pPr>
            <w:r/>
            <w:r>
              <w:rPr>
                <w:rFonts w:ascii="Arial" w:hAnsi="Arial" w:eastAsia="Arial"/>
                <w:b w:val="0"/>
                <w:sz w:val="16"/>
              </w:rPr>
              <w:t>Deux registres publics pour la même obligation</w:t>
            </w:r>
          </w:p>
        </w:tc>
        <w:tc>
          <w:tcPr>
            <w:tcW w:type="dxa" w:w="3427"/>
            <w:vAlign w:val="top"/>
          </w:tcPr>
          <w:p>
            <w:pPr>
              <w:spacing w:after="0"/>
            </w:pPr>
            <w:r/>
            <w:r>
              <w:rPr>
                <w:rFonts w:ascii="Arial" w:hAnsi="Arial" w:eastAsia="Arial"/>
                <w:b w:val="0"/>
                <w:sz w:val="16"/>
              </w:rPr>
              <w:t>Fusionner ou préciser le rôle de chacun</w:t>
            </w:r>
          </w:p>
        </w:tc>
      </w:tr>
      <w:tr>
        <w:tc>
          <w:tcPr>
            <w:tcW w:type="dxa" w:w="3427"/>
            <w:vAlign w:val="top"/>
            <w:shd w:fill="FBF8EF"/>
          </w:tcPr>
          <w:p>
            <w:pPr>
              <w:spacing w:after="0"/>
            </w:pPr>
            <w:r/>
            <w:r>
              <w:rPr>
                <w:rFonts w:ascii="Arial" w:hAnsi="Arial" w:eastAsia="Arial"/>
                <w:b w:val="0"/>
                <w:sz w:val="16"/>
              </w:rPr>
              <w:t>Contournement</w:t>
            </w:r>
          </w:p>
        </w:tc>
        <w:tc>
          <w:tcPr>
            <w:tcW w:type="dxa" w:w="3427"/>
            <w:vAlign w:val="top"/>
            <w:shd w:fill="FBF8EF"/>
          </w:tcPr>
          <w:p>
            <w:pPr>
              <w:spacing w:after="0"/>
            </w:pPr>
            <w:r/>
            <w:r>
              <w:rPr>
                <w:rFonts w:ascii="Arial" w:hAnsi="Arial" w:eastAsia="Arial"/>
                <w:b w:val="0"/>
                <w:sz w:val="16"/>
              </w:rPr>
              <w:t>Une directive interne neutralise un droit</w:t>
            </w:r>
          </w:p>
        </w:tc>
        <w:tc>
          <w:tcPr>
            <w:tcW w:type="dxa" w:w="3427"/>
            <w:vAlign w:val="top"/>
            <w:shd w:fill="FBF8EF"/>
          </w:tcPr>
          <w:p>
            <w:pPr>
              <w:spacing w:after="0"/>
            </w:pPr>
            <w:r/>
            <w:r>
              <w:rPr>
                <w:rFonts w:ascii="Arial" w:hAnsi="Arial" w:eastAsia="Arial"/>
                <w:b w:val="0"/>
                <w:sz w:val="16"/>
              </w:rPr>
              <w:t>Suspendre la directive et corriger la pratique</w:t>
            </w:r>
          </w:p>
        </w:tc>
      </w:tr>
      <w:tr>
        <w:tc>
          <w:tcPr>
            <w:tcW w:type="dxa" w:w="3427"/>
            <w:vAlign w:val="top"/>
          </w:tcPr>
          <w:p>
            <w:pPr>
              <w:spacing w:after="0"/>
            </w:pPr>
            <w:r/>
            <w:r>
              <w:rPr>
                <w:rFonts w:ascii="Arial" w:hAnsi="Arial" w:eastAsia="Arial"/>
                <w:b w:val="0"/>
                <w:sz w:val="16"/>
              </w:rPr>
              <w:t>Exception excessive</w:t>
            </w:r>
          </w:p>
        </w:tc>
        <w:tc>
          <w:tcPr>
            <w:tcW w:type="dxa" w:w="3427"/>
            <w:vAlign w:val="top"/>
          </w:tcPr>
          <w:p>
            <w:pPr>
              <w:spacing w:after="0"/>
            </w:pPr>
            <w:r/>
            <w:r>
              <w:rPr>
                <w:rFonts w:ascii="Arial" w:hAnsi="Arial" w:eastAsia="Arial"/>
                <w:b w:val="0"/>
                <w:sz w:val="16"/>
              </w:rPr>
              <w:t>Pouvoir exceptionnel sans limite de temps</w:t>
            </w:r>
          </w:p>
        </w:tc>
        <w:tc>
          <w:tcPr>
            <w:tcW w:type="dxa" w:w="3427"/>
            <w:vAlign w:val="top"/>
          </w:tcPr>
          <w:p>
            <w:pPr>
              <w:spacing w:after="0"/>
            </w:pPr>
            <w:r/>
            <w:r>
              <w:rPr>
                <w:rFonts w:ascii="Arial" w:hAnsi="Arial" w:eastAsia="Arial"/>
                <w:b w:val="0"/>
                <w:sz w:val="16"/>
              </w:rPr>
              <w:t>Limiter, motiver, publier et contrôler</w:t>
            </w:r>
          </w:p>
        </w:tc>
      </w:tr>
    </w:tbl>
    <w:p/>
    <w:p>
      <w:pPr>
        <w:pStyle w:val="Heading1"/>
      </w:pPr>
      <w:r>
        <w:t>OUTIL DE SUIVI DES RÉVISIONS FUTURES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F1F1F"/>
          </w:tcPr>
          <w:p>
            <w:pPr>
              <w:spacing w:after="0"/>
            </w:pPr>
            <w:r/>
            <w:r>
              <w:rPr>
                <w:rFonts w:ascii="Arial" w:hAnsi="Arial" w:eastAsia="Arial"/>
                <w:b/>
                <w:color w:val="FFFFFF"/>
                <w:sz w:val="16"/>
              </w:rPr>
              <w:t>Étape</w:t>
            </w:r>
          </w:p>
        </w:tc>
        <w:tc>
          <w:tcPr>
            <w:tcW w:type="dxa" w:w="3427"/>
            <w:shd w:fill="1F1F1F"/>
          </w:tcPr>
          <w:p>
            <w:pPr>
              <w:spacing w:after="0"/>
            </w:pPr>
            <w:r/>
            <w:r>
              <w:rPr>
                <w:rFonts w:ascii="Arial" w:hAnsi="Arial" w:eastAsia="Arial"/>
                <w:b/>
                <w:color w:val="FFFFFF"/>
                <w:sz w:val="16"/>
              </w:rPr>
              <w:t>Question de contrôle</w:t>
            </w:r>
          </w:p>
        </w:tc>
        <w:tc>
          <w:tcPr>
            <w:tcW w:type="dxa" w:w="3427"/>
            <w:shd w:fill="1F1F1F"/>
          </w:tcPr>
          <w:p>
            <w:pPr>
              <w:spacing w:after="0"/>
            </w:pPr>
            <w:r/>
            <w:r>
              <w:rPr>
                <w:rFonts w:ascii="Arial" w:hAnsi="Arial" w:eastAsia="Arial"/>
                <w:b/>
                <w:color w:val="FFFFFF"/>
                <w:sz w:val="16"/>
              </w:rPr>
              <w:t>Preuve attendue</w:t>
            </w:r>
          </w:p>
        </w:tc>
      </w:tr>
      <w:tr>
        <w:tc>
          <w:tcPr>
            <w:tcW w:type="dxa" w:w="3427"/>
            <w:vAlign w:val="top"/>
          </w:tcPr>
          <w:p>
            <w:pPr>
              <w:spacing w:after="0"/>
            </w:pPr>
            <w:r/>
            <w:r>
              <w:rPr>
                <w:rFonts w:ascii="Arial" w:hAnsi="Arial" w:eastAsia="Arial"/>
                <w:b w:val="0"/>
                <w:sz w:val="16"/>
              </w:rPr>
              <w:t>1</w:t>
            </w:r>
          </w:p>
        </w:tc>
        <w:tc>
          <w:tcPr>
            <w:tcW w:type="dxa" w:w="3427"/>
            <w:vAlign w:val="top"/>
          </w:tcPr>
          <w:p>
            <w:pPr>
              <w:spacing w:after="0"/>
            </w:pPr>
            <w:r/>
            <w:r>
              <w:rPr>
                <w:rFonts w:ascii="Arial" w:hAnsi="Arial" w:eastAsia="Arial"/>
                <w:b w:val="0"/>
                <w:sz w:val="16"/>
              </w:rPr>
              <w:t>La norme proposée respecte-t-elle la Constitution?</w:t>
            </w:r>
          </w:p>
        </w:tc>
        <w:tc>
          <w:tcPr>
            <w:tcW w:type="dxa" w:w="3427"/>
            <w:vAlign w:val="top"/>
          </w:tcPr>
          <w:p>
            <w:pPr>
              <w:spacing w:after="0"/>
            </w:pPr>
            <w:r/>
            <w:r>
              <w:rPr>
                <w:rFonts w:ascii="Arial" w:hAnsi="Arial" w:eastAsia="Arial"/>
                <w:b w:val="0"/>
                <w:sz w:val="16"/>
              </w:rPr>
              <w:t>Note de compatibilité constitutionnelle</w:t>
            </w:r>
          </w:p>
        </w:tc>
      </w:tr>
      <w:tr>
        <w:tc>
          <w:tcPr>
            <w:tcW w:type="dxa" w:w="3427"/>
            <w:vAlign w:val="top"/>
            <w:shd w:fill="FBF8EF"/>
          </w:tcPr>
          <w:p>
            <w:pPr>
              <w:spacing w:after="0"/>
            </w:pPr>
            <w:r/>
            <w:r>
              <w:rPr>
                <w:rFonts w:ascii="Arial" w:hAnsi="Arial" w:eastAsia="Arial"/>
                <w:b w:val="0"/>
                <w:sz w:val="16"/>
              </w:rPr>
              <w:t>2</w:t>
            </w:r>
          </w:p>
        </w:tc>
        <w:tc>
          <w:tcPr>
            <w:tcW w:type="dxa" w:w="3427"/>
            <w:vAlign w:val="top"/>
            <w:shd w:fill="FBF8EF"/>
          </w:tcPr>
          <w:p>
            <w:pPr>
              <w:spacing w:after="0"/>
            </w:pPr>
            <w:r/>
            <w:r>
              <w:rPr>
                <w:rFonts w:ascii="Arial" w:hAnsi="Arial" w:eastAsia="Arial"/>
                <w:b w:val="0"/>
                <w:sz w:val="16"/>
              </w:rPr>
              <w:t>Respecte-t-elle les normes fondamentales?</w:t>
            </w:r>
          </w:p>
        </w:tc>
        <w:tc>
          <w:tcPr>
            <w:tcW w:type="dxa" w:w="3427"/>
            <w:vAlign w:val="top"/>
            <w:shd w:fill="FBF8EF"/>
          </w:tcPr>
          <w:p>
            <w:pPr>
              <w:spacing w:after="0"/>
            </w:pPr>
            <w:r/>
            <w:r>
              <w:rPr>
                <w:rFonts w:ascii="Arial" w:hAnsi="Arial" w:eastAsia="Arial"/>
                <w:b w:val="0"/>
                <w:sz w:val="16"/>
              </w:rPr>
              <w:t>Grille anti-contournement</w:t>
            </w:r>
          </w:p>
        </w:tc>
      </w:tr>
      <w:tr>
        <w:tc>
          <w:tcPr>
            <w:tcW w:type="dxa" w:w="3427"/>
            <w:vAlign w:val="top"/>
          </w:tcPr>
          <w:p>
            <w:pPr>
              <w:spacing w:after="0"/>
            </w:pPr>
            <w:r/>
            <w:r>
              <w:rPr>
                <w:rFonts w:ascii="Arial" w:hAnsi="Arial" w:eastAsia="Arial"/>
                <w:b w:val="0"/>
                <w:sz w:val="16"/>
              </w:rPr>
              <w:t>3</w:t>
            </w:r>
          </w:p>
        </w:tc>
        <w:tc>
          <w:tcPr>
            <w:tcW w:type="dxa" w:w="3427"/>
            <w:vAlign w:val="top"/>
          </w:tcPr>
          <w:p>
            <w:pPr>
              <w:spacing w:after="0"/>
            </w:pPr>
            <w:r/>
            <w:r>
              <w:rPr>
                <w:rFonts w:ascii="Arial" w:hAnsi="Arial" w:eastAsia="Arial"/>
                <w:b w:val="0"/>
                <w:sz w:val="16"/>
              </w:rPr>
              <w:t>Contredit-elle une loi organique?</w:t>
            </w:r>
          </w:p>
        </w:tc>
        <w:tc>
          <w:tcPr>
            <w:tcW w:type="dxa" w:w="3427"/>
            <w:vAlign w:val="top"/>
          </w:tcPr>
          <w:p>
            <w:pPr>
              <w:spacing w:after="0"/>
            </w:pPr>
            <w:r/>
            <w:r>
              <w:rPr>
                <w:rFonts w:ascii="Arial" w:hAnsi="Arial" w:eastAsia="Arial"/>
                <w:b w:val="0"/>
                <w:sz w:val="16"/>
              </w:rPr>
              <w:t>Analyse de hiérarchie normative</w:t>
            </w:r>
          </w:p>
        </w:tc>
      </w:tr>
      <w:tr>
        <w:tc>
          <w:tcPr>
            <w:tcW w:type="dxa" w:w="3427"/>
            <w:vAlign w:val="top"/>
            <w:shd w:fill="FBF8EF"/>
          </w:tcPr>
          <w:p>
            <w:pPr>
              <w:spacing w:after="0"/>
            </w:pPr>
            <w:r/>
            <w:r>
              <w:rPr>
                <w:rFonts w:ascii="Arial" w:hAnsi="Arial" w:eastAsia="Arial"/>
                <w:b w:val="0"/>
                <w:sz w:val="16"/>
              </w:rPr>
              <w:t>4</w:t>
            </w:r>
          </w:p>
        </w:tc>
        <w:tc>
          <w:tcPr>
            <w:tcW w:type="dxa" w:w="3427"/>
            <w:vAlign w:val="top"/>
            <w:shd w:fill="FBF8EF"/>
          </w:tcPr>
          <w:p>
            <w:pPr>
              <w:spacing w:after="0"/>
            </w:pPr>
            <w:r/>
            <w:r>
              <w:rPr>
                <w:rFonts w:ascii="Arial" w:hAnsi="Arial" w:eastAsia="Arial"/>
                <w:b w:val="0"/>
                <w:sz w:val="16"/>
              </w:rPr>
              <w:t>Crée-t-elle un pouvoir administratif caché?</w:t>
            </w:r>
          </w:p>
        </w:tc>
        <w:tc>
          <w:tcPr>
            <w:tcW w:type="dxa" w:w="3427"/>
            <w:vAlign w:val="top"/>
            <w:shd w:fill="FBF8EF"/>
          </w:tcPr>
          <w:p>
            <w:pPr>
              <w:spacing w:after="0"/>
            </w:pPr>
            <w:r/>
            <w:r>
              <w:rPr>
                <w:rFonts w:ascii="Arial" w:hAnsi="Arial" w:eastAsia="Arial"/>
                <w:b w:val="0"/>
                <w:sz w:val="16"/>
              </w:rPr>
              <w:t>Analyse administrative</w:t>
            </w:r>
          </w:p>
        </w:tc>
      </w:tr>
      <w:tr>
        <w:tc>
          <w:tcPr>
            <w:tcW w:type="dxa" w:w="3427"/>
            <w:vAlign w:val="top"/>
          </w:tcPr>
          <w:p>
            <w:pPr>
              <w:spacing w:after="0"/>
            </w:pPr>
            <w:r/>
            <w:r>
              <w:rPr>
                <w:rFonts w:ascii="Arial" w:hAnsi="Arial" w:eastAsia="Arial"/>
                <w:b w:val="0"/>
                <w:sz w:val="16"/>
              </w:rPr>
              <w:t>5</w:t>
            </w:r>
          </w:p>
        </w:tc>
        <w:tc>
          <w:tcPr>
            <w:tcW w:type="dxa" w:w="3427"/>
            <w:vAlign w:val="top"/>
          </w:tcPr>
          <w:p>
            <w:pPr>
              <w:spacing w:after="0"/>
            </w:pPr>
            <w:r/>
            <w:r>
              <w:rPr>
                <w:rFonts w:ascii="Arial" w:hAnsi="Arial" w:eastAsia="Arial"/>
                <w:b w:val="0"/>
                <w:sz w:val="16"/>
              </w:rPr>
              <w:t>A-t-elle un coût financier?</w:t>
            </w:r>
          </w:p>
        </w:tc>
        <w:tc>
          <w:tcPr>
            <w:tcW w:type="dxa" w:w="3427"/>
            <w:vAlign w:val="top"/>
          </w:tcPr>
          <w:p>
            <w:pPr>
              <w:spacing w:after="0"/>
            </w:pPr>
            <w:r/>
            <w:r>
              <w:rPr>
                <w:rFonts w:ascii="Arial" w:hAnsi="Arial" w:eastAsia="Arial"/>
                <w:b w:val="0"/>
                <w:sz w:val="16"/>
              </w:rPr>
              <w:t>Estimation budgétaire</w:t>
            </w:r>
          </w:p>
        </w:tc>
      </w:tr>
      <w:tr>
        <w:tc>
          <w:tcPr>
            <w:tcW w:type="dxa" w:w="3427"/>
            <w:vAlign w:val="top"/>
            <w:shd w:fill="FBF8EF"/>
          </w:tcPr>
          <w:p>
            <w:pPr>
              <w:spacing w:after="0"/>
            </w:pPr>
            <w:r/>
            <w:r>
              <w:rPr>
                <w:rFonts w:ascii="Arial" w:hAnsi="Arial" w:eastAsia="Arial"/>
                <w:b w:val="0"/>
                <w:sz w:val="16"/>
              </w:rPr>
              <w:t>6</w:t>
            </w:r>
          </w:p>
        </w:tc>
        <w:tc>
          <w:tcPr>
            <w:tcW w:type="dxa" w:w="3427"/>
            <w:vAlign w:val="top"/>
            <w:shd w:fill="FBF8EF"/>
          </w:tcPr>
          <w:p>
            <w:pPr>
              <w:spacing w:after="0"/>
            </w:pPr>
            <w:r/>
            <w:r>
              <w:rPr>
                <w:rFonts w:ascii="Arial" w:hAnsi="Arial" w:eastAsia="Arial"/>
                <w:b w:val="0"/>
                <w:sz w:val="16"/>
              </w:rPr>
              <w:t>Touche-t-elle un droit ou une liberté?</w:t>
            </w:r>
          </w:p>
        </w:tc>
        <w:tc>
          <w:tcPr>
            <w:tcW w:type="dxa" w:w="3427"/>
            <w:vAlign w:val="top"/>
            <w:shd w:fill="FBF8EF"/>
          </w:tcPr>
          <w:p>
            <w:pPr>
              <w:spacing w:after="0"/>
            </w:pPr>
            <w:r/>
            <w:r>
              <w:rPr>
                <w:rFonts w:ascii="Arial" w:hAnsi="Arial" w:eastAsia="Arial"/>
                <w:b w:val="0"/>
                <w:sz w:val="16"/>
              </w:rPr>
              <w:t>Analyse de droits et recours</w:t>
            </w:r>
          </w:p>
        </w:tc>
      </w:tr>
      <w:tr>
        <w:tc>
          <w:tcPr>
            <w:tcW w:type="dxa" w:w="3427"/>
            <w:vAlign w:val="top"/>
          </w:tcPr>
          <w:p>
            <w:pPr>
              <w:spacing w:after="0"/>
            </w:pPr>
            <w:r/>
            <w:r>
              <w:rPr>
                <w:rFonts w:ascii="Arial" w:hAnsi="Arial" w:eastAsia="Arial"/>
                <w:b w:val="0"/>
                <w:sz w:val="16"/>
              </w:rPr>
              <w:t>7</w:t>
            </w:r>
          </w:p>
        </w:tc>
        <w:tc>
          <w:tcPr>
            <w:tcW w:type="dxa" w:w="3427"/>
            <w:vAlign w:val="top"/>
          </w:tcPr>
          <w:p>
            <w:pPr>
              <w:spacing w:after="0"/>
            </w:pPr>
            <w:r/>
            <w:r>
              <w:rPr>
                <w:rFonts w:ascii="Arial" w:hAnsi="Arial" w:eastAsia="Arial"/>
                <w:b w:val="0"/>
                <w:sz w:val="16"/>
              </w:rPr>
              <w:t>Touche-t-elle le vote?</w:t>
            </w:r>
          </w:p>
        </w:tc>
        <w:tc>
          <w:tcPr>
            <w:tcW w:type="dxa" w:w="3427"/>
            <w:vAlign w:val="top"/>
          </w:tcPr>
          <w:p>
            <w:pPr>
              <w:spacing w:after="0"/>
            </w:pPr>
            <w:r/>
            <w:r>
              <w:rPr>
                <w:rFonts w:ascii="Arial" w:hAnsi="Arial" w:eastAsia="Arial"/>
                <w:b w:val="0"/>
                <w:sz w:val="16"/>
              </w:rPr>
              <w:t>Avis de l’autorité électorale indépendante</w:t>
            </w:r>
          </w:p>
        </w:tc>
      </w:tr>
      <w:tr>
        <w:tc>
          <w:tcPr>
            <w:tcW w:type="dxa" w:w="3427"/>
            <w:vAlign w:val="top"/>
            <w:shd w:fill="FBF8EF"/>
          </w:tcPr>
          <w:p>
            <w:pPr>
              <w:spacing w:after="0"/>
            </w:pPr>
            <w:r/>
            <w:r>
              <w:rPr>
                <w:rFonts w:ascii="Arial" w:hAnsi="Arial" w:eastAsia="Arial"/>
                <w:b w:val="0"/>
                <w:sz w:val="16"/>
              </w:rPr>
              <w:t>8</w:t>
            </w:r>
          </w:p>
        </w:tc>
        <w:tc>
          <w:tcPr>
            <w:tcW w:type="dxa" w:w="3427"/>
            <w:vAlign w:val="top"/>
            <w:shd w:fill="FBF8EF"/>
          </w:tcPr>
          <w:p>
            <w:pPr>
              <w:spacing w:after="0"/>
            </w:pPr>
            <w:r/>
            <w:r>
              <w:rPr>
                <w:rFonts w:ascii="Arial" w:hAnsi="Arial" w:eastAsia="Arial"/>
                <w:b w:val="0"/>
                <w:sz w:val="16"/>
              </w:rPr>
              <w:t>Doit-elle être expliquée aux citoyens?</w:t>
            </w:r>
          </w:p>
        </w:tc>
        <w:tc>
          <w:tcPr>
            <w:tcW w:type="dxa" w:w="3427"/>
            <w:vAlign w:val="top"/>
            <w:shd w:fill="FBF8EF"/>
          </w:tcPr>
          <w:p>
            <w:pPr>
              <w:spacing w:after="0"/>
            </w:pPr>
            <w:r/>
            <w:r>
              <w:rPr>
                <w:rFonts w:ascii="Arial" w:hAnsi="Arial" w:eastAsia="Arial"/>
                <w:b w:val="0"/>
                <w:sz w:val="16"/>
              </w:rPr>
              <w:t>Version citoyenne obligatoire</w:t>
            </w:r>
          </w:p>
        </w:tc>
      </w:tr>
      <w:tr>
        <w:tc>
          <w:tcPr>
            <w:tcW w:type="dxa" w:w="3427"/>
            <w:vAlign w:val="top"/>
          </w:tcPr>
          <w:p>
            <w:pPr>
              <w:spacing w:after="0"/>
            </w:pPr>
            <w:r/>
            <w:r>
              <w:rPr>
                <w:rFonts w:ascii="Arial" w:hAnsi="Arial" w:eastAsia="Arial"/>
                <w:b w:val="0"/>
                <w:sz w:val="16"/>
              </w:rPr>
              <w:t>9</w:t>
            </w:r>
          </w:p>
        </w:tc>
        <w:tc>
          <w:tcPr>
            <w:tcW w:type="dxa" w:w="3427"/>
            <w:vAlign w:val="top"/>
          </w:tcPr>
          <w:p>
            <w:pPr>
              <w:spacing w:after="0"/>
            </w:pPr>
            <w:r/>
            <w:r>
              <w:rPr>
                <w:rFonts w:ascii="Arial" w:hAnsi="Arial" w:eastAsia="Arial"/>
                <w:b w:val="0"/>
                <w:sz w:val="16"/>
              </w:rPr>
              <w:t>Contient-elle une exception?</w:t>
            </w:r>
          </w:p>
        </w:tc>
        <w:tc>
          <w:tcPr>
            <w:tcW w:type="dxa" w:w="3427"/>
            <w:vAlign w:val="top"/>
          </w:tcPr>
          <w:p>
            <w:pPr>
              <w:spacing w:after="0"/>
            </w:pPr>
            <w:r/>
            <w:r>
              <w:rPr>
                <w:rFonts w:ascii="Arial" w:hAnsi="Arial" w:eastAsia="Arial"/>
                <w:b w:val="0"/>
                <w:sz w:val="16"/>
              </w:rPr>
              <w:t>Justification, durée et contrôle</w:t>
            </w:r>
          </w:p>
        </w:tc>
      </w:tr>
      <w:tr>
        <w:tc>
          <w:tcPr>
            <w:tcW w:type="dxa" w:w="3427"/>
            <w:vAlign w:val="top"/>
            <w:shd w:fill="FBF8EF"/>
          </w:tcPr>
          <w:p>
            <w:pPr>
              <w:spacing w:after="0"/>
            </w:pPr>
            <w:r/>
            <w:r>
              <w:rPr>
                <w:rFonts w:ascii="Arial" w:hAnsi="Arial" w:eastAsia="Arial"/>
                <w:b w:val="0"/>
                <w:sz w:val="16"/>
              </w:rPr>
              <w:t>10</w:t>
            </w:r>
          </w:p>
        </w:tc>
        <w:tc>
          <w:tcPr>
            <w:tcW w:type="dxa" w:w="3427"/>
            <w:vAlign w:val="top"/>
            <w:shd w:fill="FBF8EF"/>
          </w:tcPr>
          <w:p>
            <w:pPr>
              <w:spacing w:after="0"/>
            </w:pPr>
            <w:r/>
            <w:r>
              <w:rPr>
                <w:rFonts w:ascii="Arial" w:hAnsi="Arial" w:eastAsia="Arial"/>
                <w:b w:val="0"/>
                <w:sz w:val="16"/>
              </w:rPr>
              <w:t>Doit-elle être inscrite au registre des risques?</w:t>
            </w:r>
          </w:p>
        </w:tc>
        <w:tc>
          <w:tcPr>
            <w:tcW w:type="dxa" w:w="3427"/>
            <w:vAlign w:val="top"/>
            <w:shd w:fill="FBF8EF"/>
          </w:tcPr>
          <w:p>
            <w:pPr>
              <w:spacing w:after="0"/>
            </w:pPr>
            <w:r/>
            <w:r>
              <w:rPr>
                <w:rFonts w:ascii="Arial" w:hAnsi="Arial" w:eastAsia="Arial"/>
                <w:b w:val="0"/>
                <w:sz w:val="16"/>
              </w:rPr>
              <w:t>Fiche de risque et correctif</w:t>
            </w:r>
          </w:p>
        </w:tc>
      </w:tr>
    </w:tbl>
    <w:p/>
    <w:p>
      <w:pPr>
        <w:pStyle w:val="Heading1"/>
      </w:pPr>
      <w:r>
        <w:t>CLAUSE FINALE DE CONCORDANCE</w:t>
      </w:r>
    </w:p>
    <w:p>
      <w:r>
        <w:t>La présente table de concordance normative est un outil de protection du Système Nova. Elle sert à maintenir la cohérence entre les documents, à repérer les failles, à empêcher les contournements et à guider les révisions futures.</w:t>
      </w:r>
    </w:p>
    <w:p>
      <w:r>
        <w:t>Elle doit être utilisée avant toute modification majeure du corpus Nova, avant toute adoption de règle d’application et avant toute publication d’une version citoyenne.</w:t>
      </w:r>
    </w:p>
    <w:p>
      <w:r>
        <w:t>Après ce document, le Système Nova exige encore quatre documents principaux pour être complet : le registre des risques résiduels et correctifs, l’audit de défense constitutionnelle, la version publique simplifiée pour les citoyens et le code de conduite avec gouvernance interne Nova.</w:t>
      </w:r>
    </w:p>
    <w:p>
      <w:pPr>
        <w:pStyle w:val="ClauseNova"/>
      </w:pPr>
      <w:r>
        <w:t>FIN DU DOCUMENT - TABLE DE CONCORDANCE NORMATIVE &amp; OUTIL DE CONTRÔLE</w:t>
      </w:r>
    </w:p>
    <w:sectPr w:rsidR="00FC693F" w:rsidRPr="0006063C" w:rsidSect="00034616">
      <w:headerReference w:type="default" r:id="rId9"/>
      <w:footerReference w:type="default" r:id="rId10"/>
      <w:pgSz w:w="12240" w:h="15840"/>
      <w:pgMar w:top="893" w:right="979" w:bottom="893" w:left="979" w:header="331"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t>Projet Nova - Système Nova - Table de concordance normative &amp; outil de contrôle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0"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333333"/>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Nova">
    <w:name w:val="TitleNova"/>
    <w:pPr>
      <w:spacing w:after="60"/>
    </w:pPr>
    <w:rPr>
      <w:rFonts w:ascii="Arial" w:hAnsi="Arial" w:eastAsia="Arial"/>
      <w:b/>
      <w:color w:val="1F1F1F"/>
      <w:sz w:val="40"/>
    </w:rPr>
  </w:style>
  <w:style w:type="paragraph" w:customStyle="1" w:styleId="SubtitleNova">
    <w:name w:val="SubtitleNova"/>
    <w:pPr>
      <w:spacing w:after="60"/>
    </w:pPr>
    <w:rPr>
      <w:rFonts w:ascii="Arial" w:hAnsi="Arial" w:eastAsia="Arial"/>
      <w:b w:val="0"/>
      <w:color w:val="555555"/>
      <w:sz w:val="24"/>
    </w:rPr>
  </w:style>
  <w:style w:type="paragraph" w:customStyle="1" w:styleId="NoticeNova">
    <w:name w:val="NoticeNova"/>
    <w:pPr>
      <w:spacing w:after="60"/>
    </w:pPr>
    <w:rPr>
      <w:rFonts w:ascii="Arial" w:hAnsi="Arial" w:eastAsia="Arial"/>
      <w:b w:val="0"/>
      <w:color w:val="666666"/>
      <w:sz w:val="17"/>
    </w:rPr>
  </w:style>
  <w:style w:type="paragraph" w:customStyle="1" w:styleId="SmallNova">
    <w:name w:val="SmallNova"/>
    <w:pPr>
      <w:spacing w:after="60"/>
    </w:pPr>
    <w:rPr>
      <w:rFonts w:ascii="Arial" w:hAnsi="Arial" w:eastAsia="Arial"/>
      <w:b w:val="0"/>
      <w:color w:val="666666"/>
      <w:sz w:val="16"/>
    </w:rPr>
  </w:style>
  <w:style w:type="paragraph" w:customStyle="1" w:styleId="ArticleTitleNova">
    <w:name w:val="ArticleTitleNova"/>
    <w:pPr>
      <w:spacing w:after="60"/>
    </w:pPr>
    <w:rPr>
      <w:rFonts w:ascii="Arial" w:hAnsi="Arial" w:eastAsia="Arial"/>
      <w:b/>
      <w:color w:val="1F1F1F"/>
      <w:sz w:val="20"/>
    </w:rPr>
  </w:style>
  <w:style w:type="paragraph" w:customStyle="1" w:styleId="ClauseNova">
    <w:name w:val="ClauseNova"/>
    <w:pPr>
      <w:spacing w:after="60"/>
    </w:pPr>
    <w:rPr>
      <w:rFonts w:ascii="Arial" w:hAnsi="Arial" w:eastAsia="Arial"/>
      <w:b/>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OFFICIEL - SYSTÈME NOVA - TABLE DE CONCORDANCE NORMATIVE &amp; OUTIL DE CONTRÔLE</dc:title>
  <dc:subject>Projet Nova - concordance normative</dc:subject>
  <dc:creator>Projet Nova</dc:creator>
  <cp:keywords/>
  <dc:description>generated by python-docx</dc:description>
  <cp:lastModifiedBy/>
  <cp:revision>1</cp:revision>
  <dcterms:created xsi:type="dcterms:W3CDTF">2013-12-23T23:15:00Z</dcterms:created>
  <dcterms:modified xsi:type="dcterms:W3CDTF">2013-12-23T23:15:00Z</dcterms:modified>
  <cp:category/>
</cp:coreProperties>
</file>