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8935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960120" cy="893549"/>
                    </a:xfrm>
                    <a:prstGeom prst="rect"/>
                  </pic:spPr>
                </pic:pic>
              </a:graphicData>
            </a:graphic>
          </wp:inline>
        </w:drawing>
      </w:r>
    </w:p>
    <w:p>
      <w:pPr>
        <w:pStyle w:val="SubtitleNova"/>
        <w:jc w:val="center"/>
      </w:pPr>
      <w:r>
        <w:t>DOCUMENT OFFICIEL</w:t>
      </w:r>
    </w:p>
    <w:p>
      <w:pPr>
        <w:pStyle w:val="TitleNova"/>
        <w:jc w:val="center"/>
      </w:pPr>
      <w:r>
        <w:t>SYSTEME NOVA</w:t>
      </w:r>
    </w:p>
    <w:p>
      <w:pPr>
        <w:pStyle w:val="TitleNova"/>
        <w:jc w:val="center"/>
      </w:pPr>
      <w:r>
        <w:t>VERSION PUBLIQUE SIMPLIFIÉE</w:t>
      </w:r>
    </w:p>
    <w:p>
      <w:pPr>
        <w:pStyle w:val="TitleNova"/>
        <w:jc w:val="center"/>
      </w:pPr>
      <w:r>
        <w:t>CITOYENS</w:t>
      </w:r>
    </w:p>
    <w:p>
      <w:pPr>
        <w:pStyle w:val="SubtitleNova"/>
        <w:jc w:val="center"/>
      </w:pPr>
      <w:r>
        <w:t>Version claire, pédagogique et transmissible - Projet Nova</w:t>
      </w:r>
    </w:p>
    <w:p>
      <w:pPr>
        <w:jc w:val="center"/>
      </w:pPr>
      <w:r>
        <w:t>Document destiné au public pour comprendre le Système Nova sans devoir lire immédiatement tout le corpus technique.</w:t>
      </w:r>
    </w:p>
    <w:p>
      <w:pPr>
        <w:jc w:val="center"/>
      </w:pPr>
      <w:r>
        <w:t>Constitution, normes fondamentales, lois, règlements, transition, démocratie citoyenne, transparence, services essentiels et souveraineté.</w:t>
      </w:r>
    </w:p>
    <w:p>
      <w:pPr>
        <w:jc w:val="center"/>
      </w:pPr>
      <w:r>
        <w:t>Statut : version officielle de vulgarisation civique du corpus Nova.</w:t>
      </w:r>
    </w:p>
    <w:p>
      <w:pPr>
        <w:pBdr>
          <w:bottom w:val="single" w:sz="8" w:space="1" w:color="C8A24A"/>
        </w:pBdr>
      </w:pPr>
    </w:p>
    <w:p>
      <w:pPr>
        <w:pStyle w:val="SmallNova"/>
        <w:jc w:val="center"/>
      </w:pPr>
      <w:r>
        <w:t>Cette version ne remplace pas les textes juridiques officiels. Elle sert à expliquer en langage clair ce que le Système Nova veut faire, pourquoi il existe et comment les citoyens peuvent le comprendre, le vérifier et le juger.</w:t>
      </w:r>
    </w:p>
    <w:p>
      <w:r>
        <w:br w:type="page"/>
      </w:r>
    </w:p>
    <w:p>
      <w:pPr>
        <w:pStyle w:val="Heading1"/>
      </w:pPr>
      <w:r>
        <w:t>AVIS DE CONSOLIDATION</w:t>
      </w:r>
    </w:p>
    <w:p>
      <w:r>
        <w:t>Le présent document est la version publique simplifiée du Système Nova. Il explique le projet en langage citoyen, sans supprimer la rigueur des documents officiels.</w:t>
      </w:r>
    </w:p>
    <w:p>
      <w:r>
        <w:t>Il doit être lu comme une porte d’entrée : les textes juridiques complets demeurent la Constitution, les normes fondamentales, les lois organiques, les lois administratives, les lois ordinaires, les règlements, les volets de transition, la table de concordance, le registre des risques et l’audit de défense constitutionnelle.</w:t>
      </w:r>
    </w:p>
    <w:p>
      <w:r>
        <w:t>Cette version a pour objectif d’aider les citoyens à comprendre ce que le Projet Nova propose, ce que cela change concrètement et quels mécanismes empêchent les abus.</w:t>
      </w:r>
    </w:p>
    <w:p>
      <w:r>
        <w:t>En cas de divergence entre cette version publique et un texte normatif officiel, le texte normatif prévaut. Toute divergence doit toutefois être corrigée dans la version publique afin de maintenir la confiance citoyenne.</w:t>
      </w:r>
    </w:p>
    <w:p>
      <w:pPr>
        <w:pStyle w:val="Heading1"/>
      </w:pPr>
      <w:r>
        <w:t>TABLE DE REPÉRAGE CITOYENNE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1F1F"/>
          </w:tcPr>
          <w:p>
            <w:pPr>
              <w:spacing w:after="0" w:line="240" w:lineRule="auto"/>
            </w:pPr>
            <w:r/>
            <w:r>
              <w:rPr>
                <w:rFonts w:ascii="Arial" w:hAnsi="Arial" w:eastAsia="Arial"/>
                <w:b/>
                <w:color w:val="FFFFFF"/>
                <w:sz w:val="15"/>
              </w:rPr>
              <w:t>Document</w:t>
            </w:r>
          </w:p>
        </w:tc>
        <w:tc>
          <w:tcPr>
            <w:tcW w:type="dxa" w:w="3408"/>
            <w:shd w:fill="1F1F1F"/>
          </w:tcPr>
          <w:p>
            <w:pPr>
              <w:spacing w:after="0" w:line="240" w:lineRule="auto"/>
            </w:pPr>
            <w:r/>
            <w:r>
              <w:rPr>
                <w:rFonts w:ascii="Arial" w:hAnsi="Arial" w:eastAsia="Arial"/>
                <w:b/>
                <w:color w:val="FFFFFF"/>
                <w:sz w:val="15"/>
              </w:rPr>
              <w:t>Rôle simple</w:t>
            </w:r>
          </w:p>
        </w:tc>
        <w:tc>
          <w:tcPr>
            <w:tcW w:type="dxa" w:w="3408"/>
            <w:shd w:fill="1F1F1F"/>
          </w:tcPr>
          <w:p>
            <w:pPr>
              <w:spacing w:after="0" w:line="240" w:lineRule="auto"/>
            </w:pPr>
            <w:r/>
            <w:r>
              <w:rPr>
                <w:rFonts w:ascii="Arial" w:hAnsi="Arial" w:eastAsia="Arial"/>
                <w:b/>
                <w:color w:val="FFFFFF"/>
                <w:sz w:val="15"/>
              </w:rPr>
              <w:t>Ce que le citoyen doit retenir</w:t>
            </w:r>
          </w:p>
        </w:tc>
      </w:tr>
      <w:tr>
        <w:tc>
          <w:tcPr>
            <w:tcW w:type="dxa" w:w="3408"/>
            <w:vAlign w:val="top"/>
          </w:tcPr>
          <w:p>
            <w:pPr>
              <w:spacing w:after="0" w:line="240" w:lineRule="auto"/>
            </w:pPr>
            <w:r/>
            <w:r>
              <w:rPr>
                <w:rFonts w:ascii="Arial" w:hAnsi="Arial" w:eastAsia="Arial"/>
                <w:b w:val="0"/>
                <w:sz w:val="14"/>
              </w:rPr>
              <w:t>Constitution et normes fondamentales</w:t>
            </w:r>
          </w:p>
        </w:tc>
        <w:tc>
          <w:tcPr>
            <w:tcW w:type="dxa" w:w="3408"/>
            <w:vAlign w:val="top"/>
          </w:tcPr>
          <w:p>
            <w:pPr>
              <w:spacing w:after="0" w:line="240" w:lineRule="auto"/>
            </w:pPr>
            <w:r/>
            <w:r>
              <w:rPr>
                <w:rFonts w:ascii="Arial" w:hAnsi="Arial" w:eastAsia="Arial"/>
                <w:b w:val="0"/>
                <w:sz w:val="14"/>
              </w:rPr>
              <w:t>Texte supérieur du système</w:t>
            </w:r>
          </w:p>
        </w:tc>
        <w:tc>
          <w:tcPr>
            <w:tcW w:type="dxa" w:w="3408"/>
            <w:vAlign w:val="top"/>
          </w:tcPr>
          <w:p>
            <w:pPr>
              <w:spacing w:after="0" w:line="240" w:lineRule="auto"/>
            </w:pPr>
            <w:r/>
            <w:r>
              <w:rPr>
                <w:rFonts w:ascii="Arial" w:hAnsi="Arial" w:eastAsia="Arial"/>
                <w:b w:val="0"/>
                <w:sz w:val="14"/>
              </w:rPr>
              <w:t>Définit les pouvoirs, les limites, les droits et les normes non contournables.</w:t>
            </w:r>
          </w:p>
        </w:tc>
      </w:tr>
      <w:tr>
        <w:tc>
          <w:tcPr>
            <w:tcW w:type="dxa" w:w="3408"/>
            <w:vAlign w:val="top"/>
            <w:shd w:fill="FBF8EF"/>
          </w:tcPr>
          <w:p>
            <w:pPr>
              <w:spacing w:after="0" w:line="240" w:lineRule="auto"/>
            </w:pPr>
            <w:r/>
            <w:r>
              <w:rPr>
                <w:rFonts w:ascii="Arial" w:hAnsi="Arial" w:eastAsia="Arial"/>
                <w:b w:val="0"/>
                <w:sz w:val="14"/>
              </w:rPr>
              <w:t>Lois organiques</w:t>
            </w:r>
          </w:p>
        </w:tc>
        <w:tc>
          <w:tcPr>
            <w:tcW w:type="dxa" w:w="3408"/>
            <w:vAlign w:val="top"/>
            <w:shd w:fill="FBF8EF"/>
          </w:tcPr>
          <w:p>
            <w:pPr>
              <w:spacing w:after="0" w:line="240" w:lineRule="auto"/>
            </w:pPr>
            <w:r/>
            <w:r>
              <w:rPr>
                <w:rFonts w:ascii="Arial" w:hAnsi="Arial" w:eastAsia="Arial"/>
                <w:b w:val="0"/>
                <w:sz w:val="14"/>
              </w:rPr>
              <w:t>Architecture institutionnelle</w:t>
            </w:r>
          </w:p>
        </w:tc>
        <w:tc>
          <w:tcPr>
            <w:tcW w:type="dxa" w:w="3408"/>
            <w:vAlign w:val="top"/>
            <w:shd w:fill="FBF8EF"/>
          </w:tcPr>
          <w:p>
            <w:pPr>
              <w:spacing w:after="0" w:line="240" w:lineRule="auto"/>
            </w:pPr>
            <w:r/>
            <w:r>
              <w:rPr>
                <w:rFonts w:ascii="Arial" w:hAnsi="Arial" w:eastAsia="Arial"/>
                <w:b w:val="0"/>
                <w:sz w:val="14"/>
              </w:rPr>
              <w:t>Organise les institutions, autorités indépendantes, règles électorales et contre-pouvoirs.</w:t>
            </w:r>
          </w:p>
        </w:tc>
      </w:tr>
      <w:tr>
        <w:tc>
          <w:tcPr>
            <w:tcW w:type="dxa" w:w="3408"/>
            <w:vAlign w:val="top"/>
          </w:tcPr>
          <w:p>
            <w:pPr>
              <w:spacing w:after="0" w:line="240" w:lineRule="auto"/>
            </w:pPr>
            <w:r/>
            <w:r>
              <w:rPr>
                <w:rFonts w:ascii="Arial" w:hAnsi="Arial" w:eastAsia="Arial"/>
                <w:b w:val="0"/>
                <w:sz w:val="14"/>
              </w:rPr>
              <w:t>Lois administratives</w:t>
            </w:r>
          </w:p>
        </w:tc>
        <w:tc>
          <w:tcPr>
            <w:tcW w:type="dxa" w:w="3408"/>
            <w:vAlign w:val="top"/>
          </w:tcPr>
          <w:p>
            <w:pPr>
              <w:spacing w:after="0" w:line="240" w:lineRule="auto"/>
            </w:pPr>
            <w:r/>
            <w:r>
              <w:rPr>
                <w:rFonts w:ascii="Arial" w:hAnsi="Arial" w:eastAsia="Arial"/>
                <w:b w:val="0"/>
                <w:sz w:val="14"/>
              </w:rPr>
              <w:t>Fonctionnement de l’État</w:t>
            </w:r>
          </w:p>
        </w:tc>
        <w:tc>
          <w:tcPr>
            <w:tcW w:type="dxa" w:w="3408"/>
            <w:vAlign w:val="top"/>
          </w:tcPr>
          <w:p>
            <w:pPr>
              <w:spacing w:after="0" w:line="240" w:lineRule="auto"/>
            </w:pPr>
            <w:r/>
            <w:r>
              <w:rPr>
                <w:rFonts w:ascii="Arial" w:hAnsi="Arial" w:eastAsia="Arial"/>
                <w:b w:val="0"/>
                <w:sz w:val="14"/>
              </w:rPr>
              <w:t>Encadre ministères, organismes, contrats, accès à l’information et reddition de comptes.</w:t>
            </w:r>
          </w:p>
        </w:tc>
      </w:tr>
      <w:tr>
        <w:tc>
          <w:tcPr>
            <w:tcW w:type="dxa" w:w="3408"/>
            <w:vAlign w:val="top"/>
            <w:shd w:fill="FBF8EF"/>
          </w:tcPr>
          <w:p>
            <w:pPr>
              <w:spacing w:after="0" w:line="240" w:lineRule="auto"/>
            </w:pPr>
            <w:r/>
            <w:r>
              <w:rPr>
                <w:rFonts w:ascii="Arial" w:hAnsi="Arial" w:eastAsia="Arial"/>
                <w:b w:val="0"/>
                <w:sz w:val="14"/>
              </w:rPr>
              <w:t>Lois ordinaires</w:t>
            </w:r>
          </w:p>
        </w:tc>
        <w:tc>
          <w:tcPr>
            <w:tcW w:type="dxa" w:w="3408"/>
            <w:vAlign w:val="top"/>
            <w:shd w:fill="FBF8EF"/>
          </w:tcPr>
          <w:p>
            <w:pPr>
              <w:spacing w:after="0" w:line="240" w:lineRule="auto"/>
            </w:pPr>
            <w:r/>
            <w:r>
              <w:rPr>
                <w:rFonts w:ascii="Arial" w:hAnsi="Arial" w:eastAsia="Arial"/>
                <w:b w:val="0"/>
                <w:sz w:val="14"/>
              </w:rPr>
              <w:t>Politiques publiques</w:t>
            </w:r>
          </w:p>
        </w:tc>
        <w:tc>
          <w:tcPr>
            <w:tcW w:type="dxa" w:w="3408"/>
            <w:vAlign w:val="top"/>
            <w:shd w:fill="FBF8EF"/>
          </w:tcPr>
          <w:p>
            <w:pPr>
              <w:spacing w:after="0" w:line="240" w:lineRule="auto"/>
            </w:pPr>
            <w:r/>
            <w:r>
              <w:rPr>
                <w:rFonts w:ascii="Arial" w:hAnsi="Arial" w:eastAsia="Arial"/>
                <w:b w:val="0"/>
                <w:sz w:val="14"/>
              </w:rPr>
              <w:t>Applique les règles aux services, citoyens, économie, logement, immigration, numérique et sécurité.</w:t>
            </w:r>
          </w:p>
        </w:tc>
      </w:tr>
      <w:tr>
        <w:tc>
          <w:tcPr>
            <w:tcW w:type="dxa" w:w="3408"/>
            <w:vAlign w:val="top"/>
          </w:tcPr>
          <w:p>
            <w:pPr>
              <w:spacing w:after="0" w:line="240" w:lineRule="auto"/>
            </w:pPr>
            <w:r/>
            <w:r>
              <w:rPr>
                <w:rFonts w:ascii="Arial" w:hAnsi="Arial" w:eastAsia="Arial"/>
                <w:b w:val="0"/>
                <w:sz w:val="14"/>
              </w:rPr>
              <w:t>Règlements</w:t>
            </w:r>
          </w:p>
        </w:tc>
        <w:tc>
          <w:tcPr>
            <w:tcW w:type="dxa" w:w="3408"/>
            <w:vAlign w:val="top"/>
          </w:tcPr>
          <w:p>
            <w:pPr>
              <w:spacing w:after="0" w:line="240" w:lineRule="auto"/>
            </w:pPr>
            <w:r/>
            <w:r>
              <w:rPr>
                <w:rFonts w:ascii="Arial" w:hAnsi="Arial" w:eastAsia="Arial"/>
                <w:b w:val="0"/>
                <w:sz w:val="14"/>
              </w:rPr>
              <w:t>Application concrète</w:t>
            </w:r>
          </w:p>
        </w:tc>
        <w:tc>
          <w:tcPr>
            <w:tcW w:type="dxa" w:w="3408"/>
            <w:vAlign w:val="top"/>
          </w:tcPr>
          <w:p>
            <w:pPr>
              <w:spacing w:after="0" w:line="240" w:lineRule="auto"/>
            </w:pPr>
            <w:r/>
            <w:r>
              <w:rPr>
                <w:rFonts w:ascii="Arial" w:hAnsi="Arial" w:eastAsia="Arial"/>
                <w:b w:val="0"/>
                <w:sz w:val="14"/>
              </w:rPr>
              <w:t>Fixe les procédures, formulaires, délais, directives et mécanismes d’exécution.</w:t>
            </w:r>
          </w:p>
        </w:tc>
      </w:tr>
      <w:tr>
        <w:tc>
          <w:tcPr>
            <w:tcW w:type="dxa" w:w="3408"/>
            <w:vAlign w:val="top"/>
            <w:shd w:fill="FBF8EF"/>
          </w:tcPr>
          <w:p>
            <w:pPr>
              <w:spacing w:after="0" w:line="240" w:lineRule="auto"/>
            </w:pPr>
            <w:r/>
            <w:r>
              <w:rPr>
                <w:rFonts w:ascii="Arial" w:hAnsi="Arial" w:eastAsia="Arial"/>
                <w:b w:val="0"/>
                <w:sz w:val="14"/>
              </w:rPr>
              <w:t>Outil de transition</w:t>
            </w:r>
          </w:p>
        </w:tc>
        <w:tc>
          <w:tcPr>
            <w:tcW w:type="dxa" w:w="3408"/>
            <w:vAlign w:val="top"/>
            <w:shd w:fill="FBF8EF"/>
          </w:tcPr>
          <w:p>
            <w:pPr>
              <w:spacing w:after="0" w:line="240" w:lineRule="auto"/>
            </w:pPr>
            <w:r/>
            <w:r>
              <w:rPr>
                <w:rFonts w:ascii="Arial" w:hAnsi="Arial" w:eastAsia="Arial"/>
                <w:b w:val="0"/>
                <w:sz w:val="14"/>
              </w:rPr>
              <w:t>Passage vers un Québec souverain</w:t>
            </w:r>
          </w:p>
        </w:tc>
        <w:tc>
          <w:tcPr>
            <w:tcW w:type="dxa" w:w="3408"/>
            <w:vAlign w:val="top"/>
            <w:shd w:fill="FBF8EF"/>
          </w:tcPr>
          <w:p>
            <w:pPr>
              <w:spacing w:after="0" w:line="240" w:lineRule="auto"/>
            </w:pPr>
            <w:r/>
            <w:r>
              <w:rPr>
                <w:rFonts w:ascii="Arial" w:hAnsi="Arial" w:eastAsia="Arial"/>
                <w:b w:val="0"/>
                <w:sz w:val="14"/>
              </w:rPr>
              <w:t>Décrit les phases, garanties, services essentiels, finances, citoyenneté et relations avec le Canada.</w:t>
            </w:r>
          </w:p>
        </w:tc>
      </w:tr>
      <w:tr>
        <w:tc>
          <w:tcPr>
            <w:tcW w:type="dxa" w:w="3408"/>
            <w:vAlign w:val="top"/>
          </w:tcPr>
          <w:p>
            <w:pPr>
              <w:spacing w:after="0" w:line="240" w:lineRule="auto"/>
            </w:pPr>
            <w:r/>
            <w:r>
              <w:rPr>
                <w:rFonts w:ascii="Arial" w:hAnsi="Arial" w:eastAsia="Arial"/>
                <w:b w:val="0"/>
                <w:sz w:val="14"/>
              </w:rPr>
              <w:t>Volets 1, 2, 3</w:t>
            </w:r>
          </w:p>
        </w:tc>
        <w:tc>
          <w:tcPr>
            <w:tcW w:type="dxa" w:w="3408"/>
            <w:vAlign w:val="top"/>
          </w:tcPr>
          <w:p>
            <w:pPr>
              <w:spacing w:after="0" w:line="240" w:lineRule="auto"/>
            </w:pPr>
            <w:r/>
            <w:r>
              <w:rPr>
                <w:rFonts w:ascii="Arial" w:hAnsi="Arial" w:eastAsia="Arial"/>
                <w:b w:val="0"/>
                <w:sz w:val="14"/>
              </w:rPr>
              <w:t>Diagnostic, transition, état souverain</w:t>
            </w:r>
          </w:p>
        </w:tc>
        <w:tc>
          <w:tcPr>
            <w:tcW w:type="dxa" w:w="3408"/>
            <w:vAlign w:val="top"/>
          </w:tcPr>
          <w:p>
            <w:pPr>
              <w:spacing w:after="0" w:line="240" w:lineRule="auto"/>
            </w:pPr>
            <w:r/>
            <w:r>
              <w:rPr>
                <w:rFonts w:ascii="Arial" w:hAnsi="Arial" w:eastAsia="Arial"/>
                <w:b w:val="0"/>
                <w:sz w:val="14"/>
              </w:rPr>
              <w:t>Présente le Québec actuel, la transition et le Québec souverain consolidé.</w:t>
            </w:r>
          </w:p>
        </w:tc>
      </w:tr>
      <w:tr>
        <w:tc>
          <w:tcPr>
            <w:tcW w:type="dxa" w:w="3408"/>
            <w:vAlign w:val="top"/>
            <w:shd w:fill="FBF8EF"/>
          </w:tcPr>
          <w:p>
            <w:pPr>
              <w:spacing w:after="0" w:line="240" w:lineRule="auto"/>
            </w:pPr>
            <w:r/>
            <w:r>
              <w:rPr>
                <w:rFonts w:ascii="Arial" w:hAnsi="Arial" w:eastAsia="Arial"/>
                <w:b w:val="0"/>
                <w:sz w:val="14"/>
              </w:rPr>
              <w:t>Table de concordance</w:t>
            </w:r>
          </w:p>
        </w:tc>
        <w:tc>
          <w:tcPr>
            <w:tcW w:type="dxa" w:w="3408"/>
            <w:vAlign w:val="top"/>
            <w:shd w:fill="FBF8EF"/>
          </w:tcPr>
          <w:p>
            <w:pPr>
              <w:spacing w:after="0" w:line="240" w:lineRule="auto"/>
            </w:pPr>
            <w:r/>
            <w:r>
              <w:rPr>
                <w:rFonts w:ascii="Arial" w:hAnsi="Arial" w:eastAsia="Arial"/>
                <w:b w:val="0"/>
                <w:sz w:val="14"/>
              </w:rPr>
              <w:t>Contrôle des contradictions</w:t>
            </w:r>
          </w:p>
        </w:tc>
        <w:tc>
          <w:tcPr>
            <w:tcW w:type="dxa" w:w="3408"/>
            <w:vAlign w:val="top"/>
            <w:shd w:fill="FBF8EF"/>
          </w:tcPr>
          <w:p>
            <w:pPr>
              <w:spacing w:after="0" w:line="240" w:lineRule="auto"/>
            </w:pPr>
            <w:r/>
            <w:r>
              <w:rPr>
                <w:rFonts w:ascii="Arial" w:hAnsi="Arial" w:eastAsia="Arial"/>
                <w:b w:val="0"/>
                <w:sz w:val="14"/>
              </w:rPr>
              <w:t>Relie les documents et vérifie la cohérence du système.</w:t>
            </w:r>
          </w:p>
        </w:tc>
      </w:tr>
      <w:tr>
        <w:tc>
          <w:tcPr>
            <w:tcW w:type="dxa" w:w="3408"/>
            <w:vAlign w:val="top"/>
          </w:tcPr>
          <w:p>
            <w:pPr>
              <w:spacing w:after="0" w:line="240" w:lineRule="auto"/>
            </w:pPr>
            <w:r/>
            <w:r>
              <w:rPr>
                <w:rFonts w:ascii="Arial" w:hAnsi="Arial" w:eastAsia="Arial"/>
                <w:b w:val="0"/>
                <w:sz w:val="14"/>
              </w:rPr>
              <w:t>Registre des risques</w:t>
            </w:r>
          </w:p>
        </w:tc>
        <w:tc>
          <w:tcPr>
            <w:tcW w:type="dxa" w:w="3408"/>
            <w:vAlign w:val="top"/>
          </w:tcPr>
          <w:p>
            <w:pPr>
              <w:spacing w:after="0" w:line="240" w:lineRule="auto"/>
            </w:pPr>
            <w:r/>
            <w:r>
              <w:rPr>
                <w:rFonts w:ascii="Arial" w:hAnsi="Arial" w:eastAsia="Arial"/>
                <w:b w:val="0"/>
                <w:sz w:val="14"/>
              </w:rPr>
              <w:t>Failles et correctifs</w:t>
            </w:r>
          </w:p>
        </w:tc>
        <w:tc>
          <w:tcPr>
            <w:tcW w:type="dxa" w:w="3408"/>
            <w:vAlign w:val="top"/>
          </w:tcPr>
          <w:p>
            <w:pPr>
              <w:spacing w:after="0" w:line="240" w:lineRule="auto"/>
            </w:pPr>
            <w:r/>
            <w:r>
              <w:rPr>
                <w:rFonts w:ascii="Arial" w:hAnsi="Arial" w:eastAsia="Arial"/>
                <w:b w:val="0"/>
                <w:sz w:val="14"/>
              </w:rPr>
              <w:t>Identifie les risques résiduels et les mécanismes de correction.</w:t>
            </w:r>
          </w:p>
        </w:tc>
      </w:tr>
      <w:tr>
        <w:tc>
          <w:tcPr>
            <w:tcW w:type="dxa" w:w="3408"/>
            <w:vAlign w:val="top"/>
            <w:shd w:fill="FBF8EF"/>
          </w:tcPr>
          <w:p>
            <w:pPr>
              <w:spacing w:after="0" w:line="240" w:lineRule="auto"/>
            </w:pPr>
            <w:r/>
            <w:r>
              <w:rPr>
                <w:rFonts w:ascii="Arial" w:hAnsi="Arial" w:eastAsia="Arial"/>
                <w:b w:val="0"/>
                <w:sz w:val="14"/>
              </w:rPr>
              <w:t>Audit de défense constitutionnelle</w:t>
            </w:r>
          </w:p>
        </w:tc>
        <w:tc>
          <w:tcPr>
            <w:tcW w:type="dxa" w:w="3408"/>
            <w:vAlign w:val="top"/>
            <w:shd w:fill="FBF8EF"/>
          </w:tcPr>
          <w:p>
            <w:pPr>
              <w:spacing w:after="0" w:line="240" w:lineRule="auto"/>
            </w:pPr>
            <w:r/>
            <w:r>
              <w:rPr>
                <w:rFonts w:ascii="Arial" w:hAnsi="Arial" w:eastAsia="Arial"/>
                <w:b w:val="0"/>
                <w:sz w:val="14"/>
              </w:rPr>
              <w:t>Stress test du système</w:t>
            </w:r>
          </w:p>
        </w:tc>
        <w:tc>
          <w:tcPr>
            <w:tcW w:type="dxa" w:w="3408"/>
            <w:vAlign w:val="top"/>
            <w:shd w:fill="FBF8EF"/>
          </w:tcPr>
          <w:p>
            <w:pPr>
              <w:spacing w:after="0" w:line="240" w:lineRule="auto"/>
            </w:pPr>
            <w:r/>
            <w:r>
              <w:rPr>
                <w:rFonts w:ascii="Arial" w:hAnsi="Arial" w:eastAsia="Arial"/>
                <w:b w:val="0"/>
                <w:sz w:val="14"/>
              </w:rPr>
              <w:t>Teste les protections contre capture, abus, corruption, surveillance et contournements.</w:t>
            </w:r>
          </w:p>
        </w:tc>
      </w:tr>
    </w:tbl>
    <w:p/>
    <w:p>
      <w:pPr>
        <w:pStyle w:val="Heading1"/>
      </w:pPr>
      <w:r>
        <w:t>PARTIE I - COMPRENDRE LE SYSTÈME NOVA EN LANGAGE SIMPLE</w:t>
      </w:r>
    </w:p>
    <w:p>
      <w:pPr>
        <w:pStyle w:val="ArticleTitleNova"/>
        <w:pBdr>
          <w:bottom w:val="single" w:sz="8" w:space="1" w:color="E6D7A5"/>
        </w:pBdr>
      </w:pPr>
      <w:r>
        <w:t>VP-1. Définition simple</w:t>
      </w:r>
    </w:p>
    <w:p>
      <w:r>
        <w:t>Le Système Nova est un ensemble de règles, de documents et de garanties pour organiser un Québec plus souverain, plus transparent, plus responsable et plus contrôlé par ses citoyens.</w:t>
      </w:r>
    </w:p>
    <w:p>
      <w:pPr>
        <w:pStyle w:val="CitizenCallout"/>
        <w:pBdr>
          <w:bottom w:val="single" w:sz="8" w:space="1" w:color="D8C27A"/>
        </w:pBdr>
      </w:pPr>
      <w:r>
        <w:t>En clair : le Système Nova veut que le peuple puisse voir, comprendre, décider et contrôler.</w:t>
      </w:r>
    </w:p>
    <w:p>
      <w:pPr>
        <w:pStyle w:val="ArticleTitleNova"/>
        <w:pBdr>
          <w:bottom w:val="single" w:sz="8" w:space="1" w:color="E6D7A5"/>
        </w:pBdr>
      </w:pPr>
      <w:r>
        <w:t>VP-2. But principal</w:t>
      </w:r>
    </w:p>
    <w:p>
      <w:r>
        <w:t>Le but principal est de redonner du pouvoir réel aux citoyens tout en préparant sérieusement un Québec souverain.</w:t>
      </w:r>
    </w:p>
    <w:p>
      <w:pPr>
        <w:pStyle w:val="ArticleTitleNova"/>
        <w:pBdr>
          <w:bottom w:val="single" w:sz="8" w:space="1" w:color="E6D7A5"/>
        </w:pBdr>
      </w:pPr>
      <w:r>
        <w:t>VP-3. Pourquoi un système complet</w:t>
      </w:r>
    </w:p>
    <w:p>
      <w:r>
        <w:t>Une simple promesse politique ne suffit pas. Le Projet Nova veut des textes, des règles, des responsabilités, des procédures et des mécanismes de contrôle.</w:t>
      </w:r>
    </w:p>
    <w:p>
      <w:pPr>
        <w:pStyle w:val="ArticleTitleNova"/>
        <w:pBdr>
          <w:bottom w:val="single" w:sz="8" w:space="1" w:color="E6D7A5"/>
        </w:pBdr>
      </w:pPr>
      <w:r>
        <w:t>VP-4. Ce qui change</w:t>
      </w:r>
    </w:p>
    <w:p>
      <w:r>
        <w:t>Le système change la relation entre le peuple et l’État.</w:t>
      </w:r>
    </w:p>
    <w:p>
      <w:pPr>
        <w:pStyle w:val="ListBullet"/>
      </w:pPr>
      <w:r>
        <w:t>Le vote doit être protégé contre le gouvernement.</w:t>
      </w:r>
    </w:p>
    <w:p>
      <w:pPr>
        <w:pStyle w:val="ListBullet"/>
      </w:pPr>
      <w:r>
        <w:t>Les dépenses doivent être visibles.</w:t>
      </w:r>
    </w:p>
    <w:p>
      <w:pPr>
        <w:pStyle w:val="ListBullet"/>
      </w:pPr>
      <w:r>
        <w:t>Les élus doivent rendre des comptes.</w:t>
      </w:r>
    </w:p>
    <w:p>
      <w:pPr>
        <w:pStyle w:val="ListBullet"/>
      </w:pPr>
      <w:r>
        <w:t>Les services essentiels doivent être suivis.</w:t>
      </w:r>
    </w:p>
    <w:p>
      <w:pPr>
        <w:pStyle w:val="ListBullet"/>
      </w:pPr>
      <w:r>
        <w:t>La souveraineté doit être préparée avant d’être décidée.</w:t>
      </w:r>
    </w:p>
    <w:p>
      <w:pPr>
        <w:pStyle w:val="ArticleTitleNova"/>
        <w:pBdr>
          <w:bottom w:val="single" w:sz="8" w:space="1" w:color="E6D7A5"/>
        </w:pBdr>
      </w:pPr>
      <w:r>
        <w:t>VP-5. Ce que Nova refuse</w:t>
      </w:r>
    </w:p>
    <w:p>
      <w:pPr>
        <w:pStyle w:val="ListBullet"/>
      </w:pPr>
      <w:r>
        <w:t>Le gouvernement opaque.</w:t>
      </w:r>
    </w:p>
    <w:p>
      <w:pPr>
        <w:pStyle w:val="ListBullet"/>
      </w:pPr>
      <w:r>
        <w:t>Les décisions cachées.</w:t>
      </w:r>
    </w:p>
    <w:p>
      <w:pPr>
        <w:pStyle w:val="ListBullet"/>
      </w:pPr>
      <w:r>
        <w:t>Les taxes déguisées.</w:t>
      </w:r>
    </w:p>
    <w:p>
      <w:pPr>
        <w:pStyle w:val="ListBullet"/>
      </w:pPr>
      <w:r>
        <w:t>Les privilèges politiques.</w:t>
      </w:r>
    </w:p>
    <w:p>
      <w:pPr>
        <w:pStyle w:val="ListBullet"/>
      </w:pPr>
      <w:r>
        <w:t>La corruption.</w:t>
      </w:r>
    </w:p>
    <w:p>
      <w:pPr>
        <w:pStyle w:val="ListBullet"/>
      </w:pPr>
      <w:r>
        <w:t>Le culte du chef.</w:t>
      </w:r>
    </w:p>
    <w:p>
      <w:pPr>
        <w:pStyle w:val="ListBullet"/>
      </w:pPr>
      <w:r>
        <w:t>L’improvisation souverainiste.</w:t>
      </w:r>
    </w:p>
    <w:p>
      <w:pPr>
        <w:pStyle w:val="ListBullet"/>
      </w:pPr>
      <w:r>
        <w:t>La surveillance de masse.</w:t>
      </w:r>
    </w:p>
    <w:p>
      <w:pPr>
        <w:pStyle w:val="ListBullet"/>
      </w:pPr>
      <w:r>
        <w:t>La bureaucratie qui écrase les citoyens.</w:t>
      </w:r>
    </w:p>
    <w:p>
      <w:pPr>
        <w:pStyle w:val="ArticleTitleNova"/>
        <w:pBdr>
          <w:bottom w:val="single" w:sz="8" w:space="1" w:color="E6D7A5"/>
        </w:pBdr>
      </w:pPr>
      <w:r>
        <w:t>VP-6. Ce que Nova propose</w:t>
      </w:r>
    </w:p>
    <w:p>
      <w:pPr>
        <w:pStyle w:val="ListBullet"/>
      </w:pPr>
      <w:r>
        <w:t>Un État transparent.</w:t>
      </w:r>
    </w:p>
    <w:p>
      <w:pPr>
        <w:pStyle w:val="ListBullet"/>
      </w:pPr>
      <w:r>
        <w:t>Une démocratie plus directe.</w:t>
      </w:r>
    </w:p>
    <w:p>
      <w:pPr>
        <w:pStyle w:val="ListBullet"/>
      </w:pPr>
      <w:r>
        <w:t>Une autorité électorale indépendante.</w:t>
      </w:r>
    </w:p>
    <w:p>
      <w:pPr>
        <w:pStyle w:val="ListBullet"/>
      </w:pPr>
      <w:r>
        <w:t>Des audits publics.</w:t>
      </w:r>
    </w:p>
    <w:p>
      <w:pPr>
        <w:pStyle w:val="ListBullet"/>
      </w:pPr>
      <w:r>
        <w:t>Des services essentiels mesurés.</w:t>
      </w:r>
    </w:p>
    <w:p>
      <w:pPr>
        <w:pStyle w:val="ListBullet"/>
      </w:pPr>
      <w:r>
        <w:t>Une fiscalité plus claire.</w:t>
      </w:r>
    </w:p>
    <w:p>
      <w:pPr>
        <w:pStyle w:val="ListBullet"/>
      </w:pPr>
      <w:r>
        <w:t>Une immigration liée à la capacité d’accueil.</w:t>
      </w:r>
    </w:p>
    <w:p>
      <w:pPr>
        <w:pStyle w:val="ListBullet"/>
      </w:pPr>
      <w:r>
        <w:t>Une économie plus productive.</w:t>
      </w:r>
    </w:p>
    <w:p>
      <w:pPr>
        <w:pStyle w:val="ListBullet"/>
      </w:pPr>
      <w:r>
        <w:t>Une souveraineté préparée.</w:t>
      </w:r>
    </w:p>
    <w:p>
      <w:pPr>
        <w:pStyle w:val="ArticleTitleNova"/>
        <w:pBdr>
          <w:bottom w:val="single" w:sz="8" w:space="1" w:color="E6D7A5"/>
        </w:pBdr>
      </w:pPr>
      <w:r>
        <w:t>VP-7. Ce que le citoyen doit pouvoir faire</w:t>
      </w:r>
    </w:p>
    <w:p>
      <w:pPr>
        <w:pStyle w:val="ListBullet"/>
      </w:pPr>
      <w:r>
        <w:t>Comprendre le programme.</w:t>
      </w:r>
    </w:p>
    <w:p>
      <w:pPr>
        <w:pStyle w:val="ListBullet"/>
      </w:pPr>
      <w:r>
        <w:t>Vérifier les dépenses.</w:t>
      </w:r>
    </w:p>
    <w:p>
      <w:pPr>
        <w:pStyle w:val="ListBullet"/>
      </w:pPr>
      <w:r>
        <w:t>Suivre les engagements.</w:t>
      </w:r>
    </w:p>
    <w:p>
      <w:pPr>
        <w:pStyle w:val="ListBullet"/>
      </w:pPr>
      <w:r>
        <w:t>Participer aux décisions importantes.</w:t>
      </w:r>
    </w:p>
    <w:p>
      <w:pPr>
        <w:pStyle w:val="ListBullet"/>
      </w:pPr>
      <w:r>
        <w:t>Demander des comptes.</w:t>
      </w:r>
    </w:p>
    <w:p>
      <w:pPr>
        <w:pStyle w:val="ListBullet"/>
      </w:pPr>
      <w:r>
        <w:t>Contester les abus.</w:t>
      </w:r>
    </w:p>
    <w:p>
      <w:pPr>
        <w:pStyle w:val="ListBullet"/>
      </w:pPr>
      <w:r>
        <w:t>Voter sur les grandes décisions.</w:t>
      </w:r>
    </w:p>
    <w:p>
      <w:pPr>
        <w:pStyle w:val="ArticleTitleNova"/>
        <w:pBdr>
          <w:bottom w:val="single" w:sz="8" w:space="1" w:color="E6D7A5"/>
        </w:pBdr>
      </w:pPr>
      <w:r>
        <w:t>VP-8. Principe de confiance</w:t>
      </w:r>
    </w:p>
    <w:p>
      <w:r>
        <w:t>Le Projet Nova ne demande pas une confiance aveugle. Il propose un système où la confiance doit être méritée par la transparence, les résultats et le contrôle citoyen.</w:t>
      </w:r>
    </w:p>
    <w:p>
      <w:pPr>
        <w:pStyle w:val="Heading1"/>
      </w:pPr>
      <w:r>
        <w:t>PARTIE II - LES 12 PILIERS CITOYENS</w:t>
      </w:r>
    </w:p>
    <w:p>
      <w:pPr>
        <w:pStyle w:val="ArticleTitleNova"/>
        <w:pBdr>
          <w:bottom w:val="single" w:sz="8" w:space="1" w:color="E6D7A5"/>
        </w:pBdr>
      </w:pPr>
      <w:r>
        <w:t>VP-9. Pilier 1 - Le peuple avant le gouvernement</w:t>
      </w:r>
    </w:p>
    <w:p>
      <w:r>
        <w:t>Le gouvernement reçoit un mandat. Il ne devient pas propriétaire du peuple ni de l’État.</w:t>
      </w:r>
    </w:p>
    <w:p>
      <w:pPr>
        <w:pStyle w:val="ArticleTitleNova"/>
        <w:pBdr>
          <w:bottom w:val="single" w:sz="8" w:space="1" w:color="E6D7A5"/>
        </w:pBdr>
      </w:pPr>
      <w:r>
        <w:t>VP-10. Pilier 2 - Le vote protégé</w:t>
      </w:r>
    </w:p>
    <w:p>
      <w:r>
        <w:t>Les élections, référendums et initiatives citoyennes doivent être organisés par une autorité indépendante du gouvernement.</w:t>
      </w:r>
    </w:p>
    <w:p>
      <w:pPr>
        <w:pStyle w:val="ArticleTitleNova"/>
        <w:pBdr>
          <w:bottom w:val="single" w:sz="8" w:space="1" w:color="E6D7A5"/>
        </w:pBdr>
      </w:pPr>
      <w:r>
        <w:t>VP-11. Pilier 3 - Transparence par défaut</w:t>
      </w:r>
    </w:p>
    <w:p>
      <w:r>
        <w:t>Les dépenses, contrats, subventions, indicateurs, délais et décisions majeures doivent être publiés sauf exception sérieuse.</w:t>
      </w:r>
    </w:p>
    <w:p>
      <w:pPr>
        <w:pStyle w:val="ArticleTitleNova"/>
        <w:pBdr>
          <w:bottom w:val="single" w:sz="8" w:space="1" w:color="E6D7A5"/>
        </w:pBdr>
      </w:pPr>
      <w:r>
        <w:t>VP-12. Pilier 4 - Responsabilité des décideurs</w:t>
      </w:r>
    </w:p>
    <w:p>
      <w:r>
        <w:t>Les responsables publics doivent expliquer leurs décisions, leurs erreurs, leurs coûts et leurs correctifs.</w:t>
      </w:r>
    </w:p>
    <w:p>
      <w:pPr>
        <w:pStyle w:val="ArticleTitleNova"/>
        <w:pBdr>
          <w:bottom w:val="single" w:sz="8" w:space="1" w:color="E6D7A5"/>
        </w:pBdr>
      </w:pPr>
      <w:r>
        <w:t>VP-13. Pilier 5 - Services essentiels protégés</w:t>
      </w:r>
    </w:p>
    <w:p>
      <w:r>
        <w:t>Santé, éducation, justice, sécurité, énergie, eau, logement, communications et paiements publics doivent avoir des plans de continuité.</w:t>
      </w:r>
    </w:p>
    <w:p>
      <w:pPr>
        <w:pStyle w:val="ArticleTitleNova"/>
        <w:pBdr>
          <w:bottom w:val="single" w:sz="8" w:space="1" w:color="E6D7A5"/>
        </w:pBdr>
      </w:pPr>
      <w:r>
        <w:t>VP-14. Pilier 6 - Argent public respecté</w:t>
      </w:r>
    </w:p>
    <w:p>
      <w:r>
        <w:t>L’argent des contribuables doit servir d’abord les citoyens du Québec et les besoins réels du pays.</w:t>
      </w:r>
    </w:p>
    <w:p>
      <w:pPr>
        <w:pStyle w:val="ArticleTitleNova"/>
        <w:pBdr>
          <w:bottom w:val="single" w:sz="8" w:space="1" w:color="E6D7A5"/>
        </w:pBdr>
      </w:pPr>
      <w:r>
        <w:t>VP-15. Pilier 7 - Économie productive</w:t>
      </w:r>
    </w:p>
    <w:p>
      <w:r>
        <w:t>Le Québec doit produire davantage, valoriser le travail, les PME, les régions, l’énergie, l’agriculture, l’industrie et l’innovation.</w:t>
      </w:r>
    </w:p>
    <w:p>
      <w:pPr>
        <w:pStyle w:val="ArticleTitleNova"/>
        <w:pBdr>
          <w:bottom w:val="single" w:sz="8" w:space="1" w:color="E6D7A5"/>
        </w:pBdr>
      </w:pPr>
      <w:r>
        <w:t>VP-16. Pilier 8 - Français renforcé</w:t>
      </w:r>
    </w:p>
    <w:p>
      <w:r>
        <w:t>Le français doit demeurer la langue commune, publique, institutionnelle et nationale du Québec.</w:t>
      </w:r>
    </w:p>
    <w:p>
      <w:pPr>
        <w:pStyle w:val="ArticleTitleNova"/>
        <w:pBdr>
          <w:bottom w:val="single" w:sz="8" w:space="1" w:color="E6D7A5"/>
        </w:pBdr>
      </w:pPr>
      <w:r>
        <w:t>VP-17. Pilier 9 - Immigration responsable</w:t>
      </w:r>
    </w:p>
    <w:p>
      <w:r>
        <w:t>L’immigration doit respecter la capacité réelle d’accueil : logement, santé, école, francisation, services et cohésion sociale.</w:t>
      </w:r>
    </w:p>
    <w:p>
      <w:pPr>
        <w:pStyle w:val="ArticleTitleNova"/>
        <w:pBdr>
          <w:bottom w:val="single" w:sz="8" w:space="1" w:color="E6D7A5"/>
        </w:pBdr>
      </w:pPr>
      <w:r>
        <w:t>VP-18. Pilier 10 - Numérique au service du peuple</w:t>
      </w:r>
    </w:p>
    <w:p>
      <w:r>
        <w:t>Les données personnelles, les systèmes publics et l’intelligence artificielle doivent être encadrés pour protéger les citoyens.</w:t>
      </w:r>
    </w:p>
    <w:p>
      <w:pPr>
        <w:pStyle w:val="ArticleTitleNova"/>
        <w:pBdr>
          <w:bottom w:val="single" w:sz="8" w:space="1" w:color="E6D7A5"/>
        </w:pBdr>
      </w:pPr>
      <w:r>
        <w:t>VP-19. Pilier 11 - Souveraineté préparée</w:t>
      </w:r>
    </w:p>
    <w:p>
      <w:r>
        <w:t>Le Québec souverain doit être préparé par une Constitution, des lois de transition, des finances claires et une information citoyenne complète.</w:t>
      </w:r>
    </w:p>
    <w:p>
      <w:pPr>
        <w:pStyle w:val="ArticleTitleNova"/>
        <w:pBdr>
          <w:bottom w:val="single" w:sz="8" w:space="1" w:color="E6D7A5"/>
        </w:pBdr>
      </w:pPr>
      <w:r>
        <w:t>VP-20. Pilier 12 - Anti-contournement</w:t>
      </w:r>
    </w:p>
    <w:p>
      <w:r>
        <w:t>Les règles Nova doivent prévoir des protections contre les abus, la capture du pouvoir, la corruption et les manipulations juridiques.</w:t>
      </w:r>
    </w:p>
    <w:p>
      <w:pPr>
        <w:pStyle w:val="Heading1"/>
      </w:pPr>
      <w:r>
        <w:t>PARTIE III - CE QUE CELA CHANGE DANS LA VIE DES CITOYENS</w:t>
      </w:r>
    </w:p>
    <w:p>
      <w:pPr>
        <w:pStyle w:val="Heading1"/>
      </w:pPr>
      <w:r>
        <w:t>TABLEAU SIMPLE DES EFFETS CONCRETS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1F1F"/>
          </w:tcPr>
          <w:p>
            <w:pPr>
              <w:spacing w:after="0" w:line="240" w:lineRule="auto"/>
            </w:pPr>
            <w:r/>
            <w:r>
              <w:rPr>
                <w:rFonts w:ascii="Arial" w:hAnsi="Arial" w:eastAsia="Arial"/>
                <w:b/>
                <w:color w:val="FFFFFF"/>
                <w:sz w:val="15"/>
              </w:rPr>
              <w:t>Domaine</w:t>
            </w:r>
          </w:p>
        </w:tc>
        <w:tc>
          <w:tcPr>
            <w:tcW w:type="dxa" w:w="5112"/>
            <w:shd w:fill="1F1F1F"/>
          </w:tcPr>
          <w:p>
            <w:pPr>
              <w:spacing w:after="0" w:line="240" w:lineRule="auto"/>
            </w:pPr>
            <w:r/>
            <w:r>
              <w:rPr>
                <w:rFonts w:ascii="Arial" w:hAnsi="Arial" w:eastAsia="Arial"/>
                <w:b/>
                <w:color w:val="FFFFFF"/>
                <w:sz w:val="15"/>
              </w:rPr>
              <w:t>Changement citoyen</w:t>
            </w:r>
          </w:p>
        </w:tc>
      </w:tr>
      <w:tr>
        <w:tc>
          <w:tcPr>
            <w:tcW w:type="dxa" w:w="5112"/>
            <w:vAlign w:val="top"/>
          </w:tcPr>
          <w:p>
            <w:pPr>
              <w:spacing w:after="0" w:line="240" w:lineRule="auto"/>
            </w:pPr>
            <w:r/>
            <w:r>
              <w:rPr>
                <w:rFonts w:ascii="Arial" w:hAnsi="Arial" w:eastAsia="Arial"/>
                <w:b w:val="0"/>
                <w:sz w:val="14"/>
              </w:rPr>
              <w:t>Vote</w:t>
            </w:r>
          </w:p>
        </w:tc>
        <w:tc>
          <w:tcPr>
            <w:tcW w:type="dxa" w:w="5112"/>
            <w:vAlign w:val="top"/>
          </w:tcPr>
          <w:p>
            <w:pPr>
              <w:spacing w:after="0" w:line="240" w:lineRule="auto"/>
            </w:pPr>
            <w:r/>
            <w:r>
              <w:rPr>
                <w:rFonts w:ascii="Arial" w:hAnsi="Arial" w:eastAsia="Arial"/>
                <w:b w:val="0"/>
                <w:sz w:val="14"/>
              </w:rPr>
              <w:t>Une autorité électorale indépendante protège le vote et les référendums.</w:t>
            </w:r>
          </w:p>
        </w:tc>
      </w:tr>
      <w:tr>
        <w:tc>
          <w:tcPr>
            <w:tcW w:type="dxa" w:w="5112"/>
            <w:vAlign w:val="top"/>
            <w:shd w:fill="FBF8EF"/>
          </w:tcPr>
          <w:p>
            <w:pPr>
              <w:spacing w:after="0" w:line="240" w:lineRule="auto"/>
            </w:pPr>
            <w:r/>
            <w:r>
              <w:rPr>
                <w:rFonts w:ascii="Arial" w:hAnsi="Arial" w:eastAsia="Arial"/>
                <w:b w:val="0"/>
                <w:sz w:val="14"/>
              </w:rPr>
              <w:t>Dépenses publiques</w:t>
            </w:r>
          </w:p>
        </w:tc>
        <w:tc>
          <w:tcPr>
            <w:tcW w:type="dxa" w:w="5112"/>
            <w:vAlign w:val="top"/>
            <w:shd w:fill="FBF8EF"/>
          </w:tcPr>
          <w:p>
            <w:pPr>
              <w:spacing w:after="0" w:line="240" w:lineRule="auto"/>
            </w:pPr>
            <w:r/>
            <w:r>
              <w:rPr>
                <w:rFonts w:ascii="Arial" w:hAnsi="Arial" w:eastAsia="Arial"/>
                <w:b w:val="0"/>
                <w:sz w:val="14"/>
              </w:rPr>
              <w:t>Les citoyens peuvent voir où va l’argent et qui reçoit les contrats.</w:t>
            </w:r>
          </w:p>
        </w:tc>
      </w:tr>
      <w:tr>
        <w:tc>
          <w:tcPr>
            <w:tcW w:type="dxa" w:w="5112"/>
            <w:vAlign w:val="top"/>
          </w:tcPr>
          <w:p>
            <w:pPr>
              <w:spacing w:after="0" w:line="240" w:lineRule="auto"/>
            </w:pPr>
            <w:r/>
            <w:r>
              <w:rPr>
                <w:rFonts w:ascii="Arial" w:hAnsi="Arial" w:eastAsia="Arial"/>
                <w:b w:val="0"/>
                <w:sz w:val="14"/>
              </w:rPr>
              <w:t>Services</w:t>
            </w:r>
          </w:p>
        </w:tc>
        <w:tc>
          <w:tcPr>
            <w:tcW w:type="dxa" w:w="5112"/>
            <w:vAlign w:val="top"/>
          </w:tcPr>
          <w:p>
            <w:pPr>
              <w:spacing w:after="0" w:line="240" w:lineRule="auto"/>
            </w:pPr>
            <w:r/>
            <w:r>
              <w:rPr>
                <w:rFonts w:ascii="Arial" w:hAnsi="Arial" w:eastAsia="Arial"/>
                <w:b w:val="0"/>
                <w:sz w:val="14"/>
              </w:rPr>
              <w:t>Les délais et résultats des services essentiels deviennent visibles.</w:t>
            </w:r>
          </w:p>
        </w:tc>
      </w:tr>
      <w:tr>
        <w:tc>
          <w:tcPr>
            <w:tcW w:type="dxa" w:w="5112"/>
            <w:vAlign w:val="top"/>
            <w:shd w:fill="FBF8EF"/>
          </w:tcPr>
          <w:p>
            <w:pPr>
              <w:spacing w:after="0" w:line="240" w:lineRule="auto"/>
            </w:pPr>
            <w:r/>
            <w:r>
              <w:rPr>
                <w:rFonts w:ascii="Arial" w:hAnsi="Arial" w:eastAsia="Arial"/>
                <w:b w:val="0"/>
                <w:sz w:val="14"/>
              </w:rPr>
              <w:t>Bureaucratie</w:t>
            </w:r>
          </w:p>
        </w:tc>
        <w:tc>
          <w:tcPr>
            <w:tcW w:type="dxa" w:w="5112"/>
            <w:vAlign w:val="top"/>
            <w:shd w:fill="FBF8EF"/>
          </w:tcPr>
          <w:p>
            <w:pPr>
              <w:spacing w:after="0" w:line="240" w:lineRule="auto"/>
            </w:pPr>
            <w:r/>
            <w:r>
              <w:rPr>
                <w:rFonts w:ascii="Arial" w:hAnsi="Arial" w:eastAsia="Arial"/>
                <w:b w:val="0"/>
                <w:sz w:val="14"/>
              </w:rPr>
              <w:t>Les formulaires, délais et règles inutiles doivent être réduits.</w:t>
            </w:r>
          </w:p>
        </w:tc>
      </w:tr>
      <w:tr>
        <w:tc>
          <w:tcPr>
            <w:tcW w:type="dxa" w:w="5112"/>
            <w:vAlign w:val="top"/>
          </w:tcPr>
          <w:p>
            <w:pPr>
              <w:spacing w:after="0" w:line="240" w:lineRule="auto"/>
            </w:pPr>
            <w:r/>
            <w:r>
              <w:rPr>
                <w:rFonts w:ascii="Arial" w:hAnsi="Arial" w:eastAsia="Arial"/>
                <w:b w:val="0"/>
                <w:sz w:val="14"/>
              </w:rPr>
              <w:t>Santé</w:t>
            </w:r>
          </w:p>
        </w:tc>
        <w:tc>
          <w:tcPr>
            <w:tcW w:type="dxa" w:w="5112"/>
            <w:vAlign w:val="top"/>
          </w:tcPr>
          <w:p>
            <w:pPr>
              <w:spacing w:after="0" w:line="240" w:lineRule="auto"/>
            </w:pPr>
            <w:r/>
            <w:r>
              <w:rPr>
                <w:rFonts w:ascii="Arial" w:hAnsi="Arial" w:eastAsia="Arial"/>
                <w:b w:val="0"/>
                <w:sz w:val="14"/>
              </w:rPr>
              <w:t>Les problèmes doivent être mesurés, publiés et corrigés.</w:t>
            </w:r>
          </w:p>
        </w:tc>
      </w:tr>
      <w:tr>
        <w:tc>
          <w:tcPr>
            <w:tcW w:type="dxa" w:w="5112"/>
            <w:vAlign w:val="top"/>
            <w:shd w:fill="FBF8EF"/>
          </w:tcPr>
          <w:p>
            <w:pPr>
              <w:spacing w:after="0" w:line="240" w:lineRule="auto"/>
            </w:pPr>
            <w:r/>
            <w:r>
              <w:rPr>
                <w:rFonts w:ascii="Arial" w:hAnsi="Arial" w:eastAsia="Arial"/>
                <w:b w:val="0"/>
                <w:sz w:val="14"/>
              </w:rPr>
              <w:t>Éducation</w:t>
            </w:r>
          </w:p>
        </w:tc>
        <w:tc>
          <w:tcPr>
            <w:tcW w:type="dxa" w:w="5112"/>
            <w:vAlign w:val="top"/>
            <w:shd w:fill="FBF8EF"/>
          </w:tcPr>
          <w:p>
            <w:pPr>
              <w:spacing w:after="0" w:line="240" w:lineRule="auto"/>
            </w:pPr>
            <w:r/>
            <w:r>
              <w:rPr>
                <w:rFonts w:ascii="Arial" w:hAnsi="Arial" w:eastAsia="Arial"/>
                <w:b w:val="0"/>
                <w:sz w:val="14"/>
              </w:rPr>
              <w:t>Le français, les savoirs essentiels et l’éducation civique sont renforcés.</w:t>
            </w:r>
          </w:p>
        </w:tc>
      </w:tr>
      <w:tr>
        <w:tc>
          <w:tcPr>
            <w:tcW w:type="dxa" w:w="5112"/>
            <w:vAlign w:val="top"/>
          </w:tcPr>
          <w:p>
            <w:pPr>
              <w:spacing w:after="0" w:line="240" w:lineRule="auto"/>
            </w:pPr>
            <w:r/>
            <w:r>
              <w:rPr>
                <w:rFonts w:ascii="Arial" w:hAnsi="Arial" w:eastAsia="Arial"/>
                <w:b w:val="0"/>
                <w:sz w:val="14"/>
              </w:rPr>
              <w:t>Logement</w:t>
            </w:r>
          </w:p>
        </w:tc>
        <w:tc>
          <w:tcPr>
            <w:tcW w:type="dxa" w:w="5112"/>
            <w:vAlign w:val="top"/>
          </w:tcPr>
          <w:p>
            <w:pPr>
              <w:spacing w:after="0" w:line="240" w:lineRule="auto"/>
            </w:pPr>
            <w:r/>
            <w:r>
              <w:rPr>
                <w:rFonts w:ascii="Arial" w:hAnsi="Arial" w:eastAsia="Arial"/>
                <w:b w:val="0"/>
                <w:sz w:val="14"/>
              </w:rPr>
              <w:t>L’offre, les permis et la capacité d’accueil doivent être coordonnés.</w:t>
            </w:r>
          </w:p>
        </w:tc>
      </w:tr>
      <w:tr>
        <w:tc>
          <w:tcPr>
            <w:tcW w:type="dxa" w:w="5112"/>
            <w:vAlign w:val="top"/>
            <w:shd w:fill="FBF8EF"/>
          </w:tcPr>
          <w:p>
            <w:pPr>
              <w:spacing w:after="0" w:line="240" w:lineRule="auto"/>
            </w:pPr>
            <w:r/>
            <w:r>
              <w:rPr>
                <w:rFonts w:ascii="Arial" w:hAnsi="Arial" w:eastAsia="Arial"/>
                <w:b w:val="0"/>
                <w:sz w:val="14"/>
              </w:rPr>
              <w:t>Immigration</w:t>
            </w:r>
          </w:p>
        </w:tc>
        <w:tc>
          <w:tcPr>
            <w:tcW w:type="dxa" w:w="5112"/>
            <w:vAlign w:val="top"/>
            <w:shd w:fill="FBF8EF"/>
          </w:tcPr>
          <w:p>
            <w:pPr>
              <w:spacing w:after="0" w:line="240" w:lineRule="auto"/>
            </w:pPr>
            <w:r/>
            <w:r>
              <w:rPr>
                <w:rFonts w:ascii="Arial" w:hAnsi="Arial" w:eastAsia="Arial"/>
                <w:b w:val="0"/>
                <w:sz w:val="14"/>
              </w:rPr>
              <w:t>Les seuils doivent être liés à la capacité réelle du Québec.</w:t>
            </w:r>
          </w:p>
        </w:tc>
      </w:tr>
      <w:tr>
        <w:tc>
          <w:tcPr>
            <w:tcW w:type="dxa" w:w="5112"/>
            <w:vAlign w:val="top"/>
          </w:tcPr>
          <w:p>
            <w:pPr>
              <w:spacing w:after="0" w:line="240" w:lineRule="auto"/>
            </w:pPr>
            <w:r/>
            <w:r>
              <w:rPr>
                <w:rFonts w:ascii="Arial" w:hAnsi="Arial" w:eastAsia="Arial"/>
                <w:b w:val="0"/>
                <w:sz w:val="14"/>
              </w:rPr>
              <w:t>Économie</w:t>
            </w:r>
          </w:p>
        </w:tc>
        <w:tc>
          <w:tcPr>
            <w:tcW w:type="dxa" w:w="5112"/>
            <w:vAlign w:val="top"/>
          </w:tcPr>
          <w:p>
            <w:pPr>
              <w:spacing w:after="0" w:line="240" w:lineRule="auto"/>
            </w:pPr>
            <w:r/>
            <w:r>
              <w:rPr>
                <w:rFonts w:ascii="Arial" w:hAnsi="Arial" w:eastAsia="Arial"/>
                <w:b w:val="0"/>
                <w:sz w:val="14"/>
              </w:rPr>
              <w:t>Les PME, travailleurs, régions et secteurs productifs sont priorisés.</w:t>
            </w:r>
          </w:p>
        </w:tc>
      </w:tr>
      <w:tr>
        <w:tc>
          <w:tcPr>
            <w:tcW w:type="dxa" w:w="5112"/>
            <w:vAlign w:val="top"/>
            <w:shd w:fill="FBF8EF"/>
          </w:tcPr>
          <w:p>
            <w:pPr>
              <w:spacing w:after="0" w:line="240" w:lineRule="auto"/>
            </w:pPr>
            <w:r/>
            <w:r>
              <w:rPr>
                <w:rFonts w:ascii="Arial" w:hAnsi="Arial" w:eastAsia="Arial"/>
                <w:b w:val="0"/>
                <w:sz w:val="14"/>
              </w:rPr>
              <w:t>Numérique</w:t>
            </w:r>
          </w:p>
        </w:tc>
        <w:tc>
          <w:tcPr>
            <w:tcW w:type="dxa" w:w="5112"/>
            <w:vAlign w:val="top"/>
            <w:shd w:fill="FBF8EF"/>
          </w:tcPr>
          <w:p>
            <w:pPr>
              <w:spacing w:after="0" w:line="240" w:lineRule="auto"/>
            </w:pPr>
            <w:r/>
            <w:r>
              <w:rPr>
                <w:rFonts w:ascii="Arial" w:hAnsi="Arial" w:eastAsia="Arial"/>
                <w:b w:val="0"/>
                <w:sz w:val="14"/>
              </w:rPr>
              <w:t>Les citoyens gardent des droits contre la surveillance et les décisions automatisées opaques.</w:t>
            </w:r>
          </w:p>
        </w:tc>
      </w:tr>
      <w:tr>
        <w:tc>
          <w:tcPr>
            <w:tcW w:type="dxa" w:w="5112"/>
            <w:vAlign w:val="top"/>
          </w:tcPr>
          <w:p>
            <w:pPr>
              <w:spacing w:after="0" w:line="240" w:lineRule="auto"/>
            </w:pPr>
            <w:r/>
            <w:r>
              <w:rPr>
                <w:rFonts w:ascii="Arial" w:hAnsi="Arial" w:eastAsia="Arial"/>
                <w:b w:val="0"/>
                <w:sz w:val="14"/>
              </w:rPr>
              <w:t>Souveraineté</w:t>
            </w:r>
          </w:p>
        </w:tc>
        <w:tc>
          <w:tcPr>
            <w:tcW w:type="dxa" w:w="5112"/>
            <w:vAlign w:val="top"/>
          </w:tcPr>
          <w:p>
            <w:pPr>
              <w:spacing w:after="0" w:line="240" w:lineRule="auto"/>
            </w:pPr>
            <w:r/>
            <w:r>
              <w:rPr>
                <w:rFonts w:ascii="Arial" w:hAnsi="Arial" w:eastAsia="Arial"/>
                <w:b w:val="0"/>
                <w:sz w:val="14"/>
              </w:rPr>
              <w:t>Le Québec pays est préparé avant d’être soumis au peuple.</w:t>
            </w:r>
          </w:p>
        </w:tc>
      </w:tr>
    </w:tbl>
    <w:p/>
    <w:p>
      <w:pPr>
        <w:pStyle w:val="ArticleTitleNova"/>
        <w:pBdr>
          <w:bottom w:val="single" w:sz="8" w:space="1" w:color="E6D7A5"/>
        </w:pBdr>
      </w:pPr>
      <w:r>
        <w:t>VP-21. Pour les familles</w:t>
      </w:r>
    </w:p>
    <w:p>
      <w:r>
        <w:t>Les familles doivent pouvoir compter sur des services publics plus simples, des délais plus visibles, une école qui transmet les savoirs essentiels et un État qui respecte l’argent public.</w:t>
      </w:r>
    </w:p>
    <w:p>
      <w:pPr>
        <w:pStyle w:val="ArticleTitleNova"/>
        <w:pBdr>
          <w:bottom w:val="single" w:sz="8" w:space="1" w:color="E6D7A5"/>
        </w:pBdr>
      </w:pPr>
      <w:r>
        <w:t>VP-22. Pour les travailleurs</w:t>
      </w:r>
    </w:p>
    <w:p>
      <w:r>
        <w:t>Les travailleurs doivent être respectés par une économie qui valorise l’effort, les métiers, la formation et la production réelle.</w:t>
      </w:r>
    </w:p>
    <w:p>
      <w:pPr>
        <w:pStyle w:val="ArticleTitleNova"/>
        <w:pBdr>
          <w:bottom w:val="single" w:sz="8" w:space="1" w:color="E6D7A5"/>
        </w:pBdr>
      </w:pPr>
      <w:r>
        <w:t>VP-23. Pour les aînés</w:t>
      </w:r>
    </w:p>
    <w:p>
      <w:r>
        <w:t>Les aînés doivent avoir accès à des services humains, à un maintien à domicile mieux organisé et à une administration qui ne les exclut pas par le tout numérique.</w:t>
      </w:r>
    </w:p>
    <w:p>
      <w:pPr>
        <w:pStyle w:val="ArticleTitleNova"/>
        <w:pBdr>
          <w:bottom w:val="single" w:sz="8" w:space="1" w:color="E6D7A5"/>
        </w:pBdr>
      </w:pPr>
      <w:r>
        <w:t>VP-24. Pour les jeunes</w:t>
      </w:r>
    </w:p>
    <w:p>
      <w:r>
        <w:t>Les jeunes doivent recevoir une formation solide, comprendre leur démocratie et pouvoir contribuer à un Québec qui ne renonce pas à son avenir.</w:t>
      </w:r>
    </w:p>
    <w:p>
      <w:pPr>
        <w:pStyle w:val="ArticleTitleNova"/>
        <w:pBdr>
          <w:bottom w:val="single" w:sz="8" w:space="1" w:color="E6D7A5"/>
        </w:pBdr>
      </w:pPr>
      <w:r>
        <w:t>VP-25. Pour les entrepreneurs</w:t>
      </w:r>
    </w:p>
    <w:p>
      <w:r>
        <w:t>Les entrepreneurs doivent affronter moins de paperasse inutile, des règles plus claires, des délais plus prévisibles et des contrats publics plus transparents.</w:t>
      </w:r>
    </w:p>
    <w:p>
      <w:pPr>
        <w:pStyle w:val="ArticleTitleNova"/>
        <w:pBdr>
          <w:bottom w:val="single" w:sz="8" w:space="1" w:color="E6D7A5"/>
        </w:pBdr>
      </w:pPr>
      <w:r>
        <w:t>VP-26. Pour les régions</w:t>
      </w:r>
    </w:p>
    <w:p>
      <w:r>
        <w:t>Les régions doivent être traitées comme des piliers du pays : ressources, agriculture, énergie, transport, industries, ports, familles et communautés.</w:t>
      </w:r>
    </w:p>
    <w:p>
      <w:pPr>
        <w:pStyle w:val="ArticleTitleNova"/>
        <w:pBdr>
          <w:bottom w:val="single" w:sz="8" w:space="1" w:color="E6D7A5"/>
        </w:pBdr>
      </w:pPr>
      <w:r>
        <w:t>VP-27. Pour les nouveaux arrivants</w:t>
      </w:r>
    </w:p>
    <w:p>
      <w:r>
        <w:t>L’intégration doit être plus claire : français, règles communes, capacité réelle d’accueil, dignité et participation à la société québécoise.</w:t>
      </w:r>
    </w:p>
    <w:p>
      <w:pPr>
        <w:pStyle w:val="ArticleTitleNova"/>
        <w:pBdr>
          <w:bottom w:val="single" w:sz="8" w:space="1" w:color="E6D7A5"/>
        </w:pBdr>
      </w:pPr>
      <w:r>
        <w:t>VP-28. Pour les contribuables</w:t>
      </w:r>
    </w:p>
    <w:p>
      <w:r>
        <w:t>Les contribuables doivent savoir ce qu’ils paient, pourquoi ils le paient et quels résultats sont obtenus.</w:t>
      </w:r>
    </w:p>
    <w:p>
      <w:pPr>
        <w:pStyle w:val="Heading1"/>
      </w:pPr>
      <w:r>
        <w:t>PARTIE IV - LES GRANDES QUESTIONS DES CITOYENS</w:t>
      </w:r>
    </w:p>
    <w:p>
      <w:pPr>
        <w:pStyle w:val="ArticleTitleNova"/>
        <w:pBdr>
          <w:bottom w:val="single" w:sz="8" w:space="1" w:color="E6D7A5"/>
        </w:pBdr>
      </w:pPr>
      <w:r>
        <w:t>VP-29. Est-ce que Nova veut tout changer d’un coup ?</w:t>
      </w:r>
    </w:p>
    <w:p>
      <w:r>
        <w:t>Non. Le Système Nova prévoit une transition par étapes. Les services essentiels doivent continuer et les changements majeurs doivent être préparés.</w:t>
      </w:r>
    </w:p>
    <w:p>
      <w:pPr>
        <w:pStyle w:val="ArticleTitleNova"/>
        <w:pBdr>
          <w:bottom w:val="single" w:sz="8" w:space="1" w:color="E6D7A5"/>
        </w:pBdr>
      </w:pPr>
      <w:r>
        <w:t>VP-30. Est-ce que la souveraineté serait imposée ?</w:t>
      </w:r>
    </w:p>
    <w:p>
      <w:r>
        <w:t>Non. Une décision aussi importante doit reposer sur un mandat populaire clair, une information complète et un processus démocratique protégé.</w:t>
      </w:r>
    </w:p>
    <w:p>
      <w:pPr>
        <w:pStyle w:val="ArticleTitleNova"/>
        <w:pBdr>
          <w:bottom w:val="single" w:sz="8" w:space="1" w:color="E6D7A5"/>
        </w:pBdr>
      </w:pPr>
      <w:r>
        <w:t>VP-31. Est-ce que le gouvernement contrôlerait le vote ?</w:t>
      </w:r>
    </w:p>
    <w:p>
      <w:r>
        <w:t>Non. Le principe Nova est l’inverse : le gouvernement ne doit pas contrôler l’arbitre du vote.</w:t>
      </w:r>
    </w:p>
    <w:p>
      <w:pPr>
        <w:pStyle w:val="ArticleTitleNova"/>
        <w:pBdr>
          <w:bottom w:val="single" w:sz="8" w:space="1" w:color="E6D7A5"/>
        </w:pBdr>
      </w:pPr>
      <w:r>
        <w:t>VP-32. Est-ce que la technologie remplacera l’humain ?</w:t>
      </w:r>
    </w:p>
    <w:p>
      <w:r>
        <w:t>Non. Le numérique doit aider, mais l’accès humain aux services essentiels doit être protégé.</w:t>
      </w:r>
    </w:p>
    <w:p>
      <w:pPr>
        <w:pStyle w:val="ArticleTitleNova"/>
        <w:pBdr>
          <w:bottom w:val="single" w:sz="8" w:space="1" w:color="E6D7A5"/>
        </w:pBdr>
      </w:pPr>
      <w:r>
        <w:t>VP-33. Est-ce que Nova veut un État policier ?</w:t>
      </w:r>
    </w:p>
    <w:p>
      <w:r>
        <w:t>Non. Nova veut l’ordre social, la sécurité et la justice, mais refuse la surveillance de masse, le score social et la police politique.</w:t>
      </w:r>
    </w:p>
    <w:p>
      <w:pPr>
        <w:pStyle w:val="ArticleTitleNova"/>
        <w:pBdr>
          <w:bottom w:val="single" w:sz="8" w:space="1" w:color="E6D7A5"/>
        </w:pBdr>
      </w:pPr>
      <w:r>
        <w:t>VP-34. Est-ce que l’immigration sera fermée ?</w:t>
      </w:r>
    </w:p>
    <w:p>
      <w:r>
        <w:t>Le système propose une immigration responsable, liée à la capacité d’accueil réelle et à la francisation.</w:t>
      </w:r>
    </w:p>
    <w:p>
      <w:pPr>
        <w:pStyle w:val="ArticleTitleNova"/>
        <w:pBdr>
          <w:bottom w:val="single" w:sz="8" w:space="1" w:color="E6D7A5"/>
        </w:pBdr>
      </w:pPr>
      <w:r>
        <w:t>VP-35. Est-ce que les droits seront protégés ?</w:t>
      </w:r>
    </w:p>
    <w:p>
      <w:r>
        <w:t>Oui. La Constitution et les normes fondamentales doivent protéger les droits, la liberté de conscience, le vote et les recours contre l’État.</w:t>
      </w:r>
    </w:p>
    <w:p>
      <w:pPr>
        <w:pStyle w:val="ArticleTitleNova"/>
        <w:pBdr>
          <w:bottom w:val="single" w:sz="8" w:space="1" w:color="E6D7A5"/>
        </w:pBdr>
      </w:pPr>
      <w:r>
        <w:t>VP-36. Est-ce que les erreurs du gouvernement seront cachées ?</w:t>
      </w:r>
    </w:p>
    <w:p>
      <w:r>
        <w:t>Non. Le système prévoit des audits, registres, rapports, indicateurs et correctifs obligatoires.</w:t>
      </w:r>
    </w:p>
    <w:p>
      <w:pPr>
        <w:pStyle w:val="ArticleTitleNova"/>
        <w:pBdr>
          <w:bottom w:val="single" w:sz="8" w:space="1" w:color="E6D7A5"/>
        </w:pBdr>
      </w:pPr>
      <w:r>
        <w:t>VP-37. Est-ce que le chef peut tout contrôler ?</w:t>
      </w:r>
    </w:p>
    <w:p>
      <w:r>
        <w:t>Non. Nova refuse le culte du chef. Les pouvoirs doivent être limités par des règles, contre-pouvoirs, audits et mécanismes de révocation.</w:t>
      </w:r>
    </w:p>
    <w:p>
      <w:pPr>
        <w:pStyle w:val="ArticleTitleNova"/>
        <w:pBdr>
          <w:bottom w:val="single" w:sz="8" w:space="1" w:color="E6D7A5"/>
        </w:pBdr>
      </w:pPr>
      <w:r>
        <w:t>VP-38. Est-ce que les lois seront faciles à comprendre ?</w:t>
      </w:r>
    </w:p>
    <w:p>
      <w:r>
        <w:t>Le corpus complet est technique, mais la version publique doit permettre à chaque citoyen de comprendre les choix importants.</w:t>
      </w:r>
    </w:p>
    <w:p>
      <w:pPr>
        <w:pStyle w:val="Heading1"/>
      </w:pPr>
      <w:r>
        <w:t>PARTIE V - LA ROUTE VERS UN QUÉBEC SOUVERAIN</w:t>
      </w:r>
    </w:p>
    <w:p>
      <w:pPr>
        <w:pStyle w:val="Heading1"/>
      </w:pPr>
      <w:r>
        <w:t>LES 6 ÉTAPES SIMPLES DE LA TRANSITION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1F1F"/>
          </w:tcPr>
          <w:p>
            <w:pPr>
              <w:spacing w:after="0" w:line="240" w:lineRule="auto"/>
            </w:pPr>
            <w:r/>
            <w:r>
              <w:rPr>
                <w:rFonts w:ascii="Arial" w:hAnsi="Arial" w:eastAsia="Arial"/>
                <w:b/>
                <w:color w:val="FFFFFF"/>
                <w:sz w:val="15"/>
              </w:rPr>
              <w:t>Étape</w:t>
            </w:r>
          </w:p>
        </w:tc>
        <w:tc>
          <w:tcPr>
            <w:tcW w:type="dxa" w:w="3408"/>
            <w:shd w:fill="1F1F1F"/>
          </w:tcPr>
          <w:p>
            <w:pPr>
              <w:spacing w:after="0" w:line="240" w:lineRule="auto"/>
            </w:pPr>
            <w:r/>
            <w:r>
              <w:rPr>
                <w:rFonts w:ascii="Arial" w:hAnsi="Arial" w:eastAsia="Arial"/>
                <w:b/>
                <w:color w:val="FFFFFF"/>
                <w:sz w:val="15"/>
              </w:rPr>
              <w:t>Nom</w:t>
            </w:r>
          </w:p>
        </w:tc>
        <w:tc>
          <w:tcPr>
            <w:tcW w:type="dxa" w:w="3408"/>
            <w:shd w:fill="1F1F1F"/>
          </w:tcPr>
          <w:p>
            <w:pPr>
              <w:spacing w:after="0" w:line="240" w:lineRule="auto"/>
            </w:pPr>
            <w:r/>
            <w:r>
              <w:rPr>
                <w:rFonts w:ascii="Arial" w:hAnsi="Arial" w:eastAsia="Arial"/>
                <w:b/>
                <w:color w:val="FFFFFF"/>
                <w:sz w:val="15"/>
              </w:rPr>
              <w:t>Explication simple</w:t>
            </w:r>
          </w:p>
        </w:tc>
      </w:tr>
      <w:tr>
        <w:tc>
          <w:tcPr>
            <w:tcW w:type="dxa" w:w="3408"/>
            <w:vAlign w:val="top"/>
          </w:tcPr>
          <w:p>
            <w:pPr>
              <w:spacing w:after="0" w:line="240" w:lineRule="auto"/>
            </w:pPr>
            <w:r/>
            <w:r>
              <w:rPr>
                <w:rFonts w:ascii="Arial" w:hAnsi="Arial" w:eastAsia="Arial"/>
                <w:b w:val="0"/>
                <w:sz w:val="14"/>
              </w:rPr>
              <w:t>Étape 1</w:t>
            </w:r>
          </w:p>
        </w:tc>
        <w:tc>
          <w:tcPr>
            <w:tcW w:type="dxa" w:w="3408"/>
            <w:vAlign w:val="top"/>
          </w:tcPr>
          <w:p>
            <w:pPr>
              <w:spacing w:after="0" w:line="240" w:lineRule="auto"/>
            </w:pPr>
            <w:r/>
            <w:r>
              <w:rPr>
                <w:rFonts w:ascii="Arial" w:hAnsi="Arial" w:eastAsia="Arial"/>
                <w:b w:val="0"/>
                <w:sz w:val="14"/>
              </w:rPr>
              <w:t>Diagnostic</w:t>
            </w:r>
          </w:p>
        </w:tc>
        <w:tc>
          <w:tcPr>
            <w:tcW w:type="dxa" w:w="3408"/>
            <w:vAlign w:val="top"/>
          </w:tcPr>
          <w:p>
            <w:pPr>
              <w:spacing w:after="0" w:line="240" w:lineRule="auto"/>
            </w:pPr>
            <w:r/>
            <w:r>
              <w:rPr>
                <w:rFonts w:ascii="Arial" w:hAnsi="Arial" w:eastAsia="Arial"/>
                <w:b w:val="0"/>
                <w:sz w:val="14"/>
              </w:rPr>
              <w:t>Comprendre les limites du Québec actuel dans le cadre canadien.</w:t>
            </w:r>
          </w:p>
        </w:tc>
      </w:tr>
      <w:tr>
        <w:tc>
          <w:tcPr>
            <w:tcW w:type="dxa" w:w="3408"/>
            <w:vAlign w:val="top"/>
            <w:shd w:fill="FBF8EF"/>
          </w:tcPr>
          <w:p>
            <w:pPr>
              <w:spacing w:after="0" w:line="240" w:lineRule="auto"/>
            </w:pPr>
            <w:r/>
            <w:r>
              <w:rPr>
                <w:rFonts w:ascii="Arial" w:hAnsi="Arial" w:eastAsia="Arial"/>
                <w:b w:val="0"/>
                <w:sz w:val="14"/>
              </w:rPr>
              <w:t>Étape 2</w:t>
            </w:r>
          </w:p>
        </w:tc>
        <w:tc>
          <w:tcPr>
            <w:tcW w:type="dxa" w:w="3408"/>
            <w:vAlign w:val="top"/>
            <w:shd w:fill="FBF8EF"/>
          </w:tcPr>
          <w:p>
            <w:pPr>
              <w:spacing w:after="0" w:line="240" w:lineRule="auto"/>
            </w:pPr>
            <w:r/>
            <w:r>
              <w:rPr>
                <w:rFonts w:ascii="Arial" w:hAnsi="Arial" w:eastAsia="Arial"/>
                <w:b w:val="0"/>
                <w:sz w:val="14"/>
              </w:rPr>
              <w:t>Mandat populaire</w:t>
            </w:r>
          </w:p>
        </w:tc>
        <w:tc>
          <w:tcPr>
            <w:tcW w:type="dxa" w:w="3408"/>
            <w:vAlign w:val="top"/>
            <w:shd w:fill="FBF8EF"/>
          </w:tcPr>
          <w:p>
            <w:pPr>
              <w:spacing w:after="0" w:line="240" w:lineRule="auto"/>
            </w:pPr>
            <w:r/>
            <w:r>
              <w:rPr>
                <w:rFonts w:ascii="Arial" w:hAnsi="Arial" w:eastAsia="Arial"/>
                <w:b w:val="0"/>
                <w:sz w:val="14"/>
              </w:rPr>
              <w:t>Obtenir un mandat clair pour préparer les changements majeurs.</w:t>
            </w:r>
          </w:p>
        </w:tc>
      </w:tr>
      <w:tr>
        <w:tc>
          <w:tcPr>
            <w:tcW w:type="dxa" w:w="3408"/>
            <w:vAlign w:val="top"/>
          </w:tcPr>
          <w:p>
            <w:pPr>
              <w:spacing w:after="0" w:line="240" w:lineRule="auto"/>
            </w:pPr>
            <w:r/>
            <w:r>
              <w:rPr>
                <w:rFonts w:ascii="Arial" w:hAnsi="Arial" w:eastAsia="Arial"/>
                <w:b w:val="0"/>
                <w:sz w:val="14"/>
              </w:rPr>
              <w:t>Étape 3</w:t>
            </w:r>
          </w:p>
        </w:tc>
        <w:tc>
          <w:tcPr>
            <w:tcW w:type="dxa" w:w="3408"/>
            <w:vAlign w:val="top"/>
          </w:tcPr>
          <w:p>
            <w:pPr>
              <w:spacing w:after="0" w:line="240" w:lineRule="auto"/>
            </w:pPr>
            <w:r/>
            <w:r>
              <w:rPr>
                <w:rFonts w:ascii="Arial" w:hAnsi="Arial" w:eastAsia="Arial"/>
                <w:b w:val="0"/>
                <w:sz w:val="14"/>
              </w:rPr>
              <w:t>Transition</w:t>
            </w:r>
          </w:p>
        </w:tc>
        <w:tc>
          <w:tcPr>
            <w:tcW w:type="dxa" w:w="3408"/>
            <w:vAlign w:val="top"/>
          </w:tcPr>
          <w:p>
            <w:pPr>
              <w:spacing w:after="0" w:line="240" w:lineRule="auto"/>
            </w:pPr>
            <w:r/>
            <w:r>
              <w:rPr>
                <w:rFonts w:ascii="Arial" w:hAnsi="Arial" w:eastAsia="Arial"/>
                <w:b w:val="0"/>
                <w:sz w:val="14"/>
              </w:rPr>
              <w:t>Mettre en place les garanties de continuité des services, finances, institutions, registres et droits.</w:t>
            </w:r>
          </w:p>
        </w:tc>
      </w:tr>
      <w:tr>
        <w:tc>
          <w:tcPr>
            <w:tcW w:type="dxa" w:w="3408"/>
            <w:vAlign w:val="top"/>
            <w:shd w:fill="FBF8EF"/>
          </w:tcPr>
          <w:p>
            <w:pPr>
              <w:spacing w:after="0" w:line="240" w:lineRule="auto"/>
            </w:pPr>
            <w:r/>
            <w:r>
              <w:rPr>
                <w:rFonts w:ascii="Arial" w:hAnsi="Arial" w:eastAsia="Arial"/>
                <w:b w:val="0"/>
                <w:sz w:val="14"/>
              </w:rPr>
              <w:t>Étape 4</w:t>
            </w:r>
          </w:p>
        </w:tc>
        <w:tc>
          <w:tcPr>
            <w:tcW w:type="dxa" w:w="3408"/>
            <w:vAlign w:val="top"/>
            <w:shd w:fill="FBF8EF"/>
          </w:tcPr>
          <w:p>
            <w:pPr>
              <w:spacing w:after="0" w:line="240" w:lineRule="auto"/>
            </w:pPr>
            <w:r/>
            <w:r>
              <w:rPr>
                <w:rFonts w:ascii="Arial" w:hAnsi="Arial" w:eastAsia="Arial"/>
                <w:b w:val="0"/>
                <w:sz w:val="14"/>
              </w:rPr>
              <w:t>Information citoyenne</w:t>
            </w:r>
          </w:p>
        </w:tc>
        <w:tc>
          <w:tcPr>
            <w:tcW w:type="dxa" w:w="3408"/>
            <w:vAlign w:val="top"/>
            <w:shd w:fill="FBF8EF"/>
          </w:tcPr>
          <w:p>
            <w:pPr>
              <w:spacing w:after="0" w:line="240" w:lineRule="auto"/>
            </w:pPr>
            <w:r/>
            <w:r>
              <w:rPr>
                <w:rFonts w:ascii="Arial" w:hAnsi="Arial" w:eastAsia="Arial"/>
                <w:b w:val="0"/>
                <w:sz w:val="14"/>
              </w:rPr>
              <w:t>Présenter au peuple les coûts, risques, garanties, textes et options.</w:t>
            </w:r>
          </w:p>
        </w:tc>
      </w:tr>
      <w:tr>
        <w:tc>
          <w:tcPr>
            <w:tcW w:type="dxa" w:w="3408"/>
            <w:vAlign w:val="top"/>
          </w:tcPr>
          <w:p>
            <w:pPr>
              <w:spacing w:after="0" w:line="240" w:lineRule="auto"/>
            </w:pPr>
            <w:r/>
            <w:r>
              <w:rPr>
                <w:rFonts w:ascii="Arial" w:hAnsi="Arial" w:eastAsia="Arial"/>
                <w:b w:val="0"/>
                <w:sz w:val="14"/>
              </w:rPr>
              <w:t>Étape 5</w:t>
            </w:r>
          </w:p>
        </w:tc>
        <w:tc>
          <w:tcPr>
            <w:tcW w:type="dxa" w:w="3408"/>
            <w:vAlign w:val="top"/>
          </w:tcPr>
          <w:p>
            <w:pPr>
              <w:spacing w:after="0" w:line="240" w:lineRule="auto"/>
            </w:pPr>
            <w:r/>
            <w:r>
              <w:rPr>
                <w:rFonts w:ascii="Arial" w:hAnsi="Arial" w:eastAsia="Arial"/>
                <w:b w:val="0"/>
                <w:sz w:val="14"/>
              </w:rPr>
              <w:t>Décision démocratique</w:t>
            </w:r>
          </w:p>
        </w:tc>
        <w:tc>
          <w:tcPr>
            <w:tcW w:type="dxa" w:w="3408"/>
            <w:vAlign w:val="top"/>
          </w:tcPr>
          <w:p>
            <w:pPr>
              <w:spacing w:after="0" w:line="240" w:lineRule="auto"/>
            </w:pPr>
            <w:r/>
            <w:r>
              <w:rPr>
                <w:rFonts w:ascii="Arial" w:hAnsi="Arial" w:eastAsia="Arial"/>
                <w:b w:val="0"/>
                <w:sz w:val="14"/>
              </w:rPr>
              <w:t>Soumettre les grandes décisions au peuple lorsque l’enjeu appartient à la nation.</w:t>
            </w:r>
          </w:p>
        </w:tc>
      </w:tr>
      <w:tr>
        <w:tc>
          <w:tcPr>
            <w:tcW w:type="dxa" w:w="3408"/>
            <w:vAlign w:val="top"/>
            <w:shd w:fill="FBF8EF"/>
          </w:tcPr>
          <w:p>
            <w:pPr>
              <w:spacing w:after="0" w:line="240" w:lineRule="auto"/>
            </w:pPr>
            <w:r/>
            <w:r>
              <w:rPr>
                <w:rFonts w:ascii="Arial" w:hAnsi="Arial" w:eastAsia="Arial"/>
                <w:b w:val="0"/>
                <w:sz w:val="14"/>
              </w:rPr>
              <w:t>Étape 6</w:t>
            </w:r>
          </w:p>
        </w:tc>
        <w:tc>
          <w:tcPr>
            <w:tcW w:type="dxa" w:w="3408"/>
            <w:vAlign w:val="top"/>
            <w:shd w:fill="FBF8EF"/>
          </w:tcPr>
          <w:p>
            <w:pPr>
              <w:spacing w:after="0" w:line="240" w:lineRule="auto"/>
            </w:pPr>
            <w:r/>
            <w:r>
              <w:rPr>
                <w:rFonts w:ascii="Arial" w:hAnsi="Arial" w:eastAsia="Arial"/>
                <w:b w:val="0"/>
                <w:sz w:val="14"/>
              </w:rPr>
              <w:t>État souverain consolidé</w:t>
            </w:r>
          </w:p>
        </w:tc>
        <w:tc>
          <w:tcPr>
            <w:tcW w:type="dxa" w:w="3408"/>
            <w:vAlign w:val="top"/>
            <w:shd w:fill="FBF8EF"/>
          </w:tcPr>
          <w:p>
            <w:pPr>
              <w:spacing w:after="0" w:line="240" w:lineRule="auto"/>
            </w:pPr>
            <w:r/>
            <w:r>
              <w:rPr>
                <w:rFonts w:ascii="Arial" w:hAnsi="Arial" w:eastAsia="Arial"/>
                <w:b w:val="0"/>
                <w:sz w:val="14"/>
              </w:rPr>
              <w:t>Activer la Constitution, les institutions, la citoyenneté, les finances et la reconnaissance internationale.</w:t>
            </w:r>
          </w:p>
        </w:tc>
      </w:tr>
    </w:tbl>
    <w:p/>
    <w:p>
      <w:pPr>
        <w:pStyle w:val="ArticleTitleNova"/>
        <w:pBdr>
          <w:bottom w:val="single" w:sz="8" w:space="1" w:color="E6D7A5"/>
        </w:pBdr>
      </w:pPr>
      <w:r>
        <w:t>VP-39. La souveraineté comme responsabilité</w:t>
      </w:r>
    </w:p>
    <w:p>
      <w:r>
        <w:t>La souveraineté n’est pas seulement un drapeau ou un slogan. Elle exige des institutions capables, des finances claires, des services protégés et un peuple informé.</w:t>
      </w:r>
    </w:p>
    <w:p>
      <w:pPr>
        <w:pStyle w:val="ArticleTitleNova"/>
        <w:pBdr>
          <w:bottom w:val="single" w:sz="8" w:space="1" w:color="E6D7A5"/>
        </w:pBdr>
      </w:pPr>
      <w:r>
        <w:t>VP-40. Continuité des services</w:t>
      </w:r>
    </w:p>
    <w:p>
      <w:r>
        <w:t>Pendant toute transition, la priorité doit être de maintenir la santé, l’éducation, la justice, la sécurité, l’énergie, les paiements publics et les services critiques.</w:t>
      </w:r>
    </w:p>
    <w:p>
      <w:pPr>
        <w:pStyle w:val="ArticleTitleNova"/>
        <w:pBdr>
          <w:bottom w:val="single" w:sz="8" w:space="1" w:color="E6D7A5"/>
        </w:pBdr>
      </w:pPr>
      <w:r>
        <w:t>VP-41. Information complète</w:t>
      </w:r>
    </w:p>
    <w:p>
      <w:r>
        <w:t>Le citoyen doit connaître les avantages, les risques, les coûts, les délais, les garanties et les mécanismes de correction avant de décider.</w:t>
      </w:r>
    </w:p>
    <w:p>
      <w:pPr>
        <w:pStyle w:val="ArticleTitleNova"/>
        <w:pBdr>
          <w:bottom w:val="single" w:sz="8" w:space="1" w:color="E6D7A5"/>
        </w:pBdr>
      </w:pPr>
      <w:r>
        <w:t>VP-42. Relations avec le Canada</w:t>
      </w:r>
    </w:p>
    <w:p>
      <w:r>
        <w:t>Le Système Nova prévoit une négociation ordonnée, sans guerre commerciale automatique et sans mesures qui appauvrissent inutilement les citoyens.</w:t>
      </w:r>
    </w:p>
    <w:p>
      <w:pPr>
        <w:pStyle w:val="ArticleTitleNova"/>
        <w:pBdr>
          <w:bottom w:val="single" w:sz="8" w:space="1" w:color="E6D7A5"/>
        </w:pBdr>
      </w:pPr>
      <w:r>
        <w:t>VP-43. Reconnaissance internationale</w:t>
      </w:r>
    </w:p>
    <w:p>
      <w:r>
        <w:t>Le Québec souverain devra se présenter comme un État démocratique, stable, francophone, pacifique et responsable.</w:t>
      </w:r>
    </w:p>
    <w:p>
      <w:pPr>
        <w:pStyle w:val="Heading1"/>
      </w:pPr>
      <w:r>
        <w:t>PARTIE VI - COMMENT CONTRÔLER LE SYSTÈME</w:t>
      </w:r>
    </w:p>
    <w:p>
      <w:pPr>
        <w:pStyle w:val="ArticleTitleNova"/>
        <w:pBdr>
          <w:bottom w:val="single" w:sz="8" w:space="1" w:color="E6D7A5"/>
        </w:pBdr>
      </w:pPr>
      <w:r>
        <w:t>VP-44. Contrôle par la Constitution</w:t>
      </w:r>
    </w:p>
    <w:p>
      <w:r>
        <w:t>La Constitution fixe les règles supérieures et limite les pouvoirs du gouvernement.</w:t>
      </w:r>
    </w:p>
    <w:p>
      <w:pPr>
        <w:pStyle w:val="ArticleTitleNova"/>
        <w:pBdr>
          <w:bottom w:val="single" w:sz="8" w:space="1" w:color="E6D7A5"/>
        </w:pBdr>
      </w:pPr>
      <w:r>
        <w:t>VP-45. Contrôle par les autorités indépendantes</w:t>
      </w:r>
    </w:p>
    <w:p>
      <w:r>
        <w:t>Certaines fonctions doivent être protégées contre le gouvernement, notamment le vote, les audits, l’intégrité et les mécanismes de contrôle.</w:t>
      </w:r>
    </w:p>
    <w:p>
      <w:pPr>
        <w:pStyle w:val="ArticleTitleNova"/>
        <w:pBdr>
          <w:bottom w:val="single" w:sz="8" w:space="1" w:color="E6D7A5"/>
        </w:pBdr>
      </w:pPr>
      <w:r>
        <w:t>VP-46. Contrôle par la transparence</w:t>
      </w:r>
    </w:p>
    <w:p>
      <w:r>
        <w:t>La publication des documents, contrats, dépenses et résultats permet au peuple et aux médias de vérifier.</w:t>
      </w:r>
    </w:p>
    <w:p>
      <w:pPr>
        <w:pStyle w:val="ArticleTitleNova"/>
        <w:pBdr>
          <w:bottom w:val="single" w:sz="8" w:space="1" w:color="E6D7A5"/>
        </w:pBdr>
      </w:pPr>
      <w:r>
        <w:t>VP-47. Contrôle par les référendums</w:t>
      </w:r>
    </w:p>
    <w:p>
      <w:r>
        <w:t>Les décisions majeures peuvent devoir être soumises directement au peuple.</w:t>
      </w:r>
    </w:p>
    <w:p>
      <w:pPr>
        <w:pStyle w:val="ArticleTitleNova"/>
        <w:pBdr>
          <w:bottom w:val="single" w:sz="8" w:space="1" w:color="E6D7A5"/>
        </w:pBdr>
      </w:pPr>
      <w:r>
        <w:t>VP-48. Contrôle par les audits</w:t>
      </w:r>
    </w:p>
    <w:p>
      <w:r>
        <w:t>Les audits révèlent ce qui fonctionne, ce qui échoue, ce qui coûte trop cher et ce qui doit être corrigé.</w:t>
      </w:r>
    </w:p>
    <w:p>
      <w:pPr>
        <w:pStyle w:val="ArticleTitleNova"/>
        <w:pBdr>
          <w:bottom w:val="single" w:sz="8" w:space="1" w:color="E6D7A5"/>
        </w:pBdr>
      </w:pPr>
      <w:r>
        <w:t>VP-49. Contrôle par le registre des risques</w:t>
      </w:r>
    </w:p>
    <w:p>
      <w:r>
        <w:t>Les failles possibles sont listées, classées et surveillées pour éviter les mauvaises surprises.</w:t>
      </w:r>
    </w:p>
    <w:p>
      <w:pPr>
        <w:pStyle w:val="ArticleTitleNova"/>
        <w:pBdr>
          <w:bottom w:val="single" w:sz="8" w:space="1" w:color="E6D7A5"/>
        </w:pBdr>
      </w:pPr>
      <w:r>
        <w:t>VP-50. Contrôle par l’audit de défense constitutionnelle</w:t>
      </w:r>
    </w:p>
    <w:p>
      <w:r>
        <w:t>Le système est testé contre les abus possibles : capture, corruption, manipulation du vote, surveillance et contournements.</w:t>
      </w:r>
    </w:p>
    <w:p>
      <w:pPr>
        <w:pStyle w:val="Heading1"/>
      </w:pPr>
      <w:r>
        <w:t>PARTIE VII - MINI-GLOSSAIRE CITOYEN</w:t>
      </w:r>
    </w:p>
    <w:p>
      <w:pPr>
        <w:pStyle w:val="Heading1"/>
      </w:pPr>
      <w:r>
        <w:t>GLOSSAIRE SIMPLE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1F1F"/>
          </w:tcPr>
          <w:p>
            <w:pPr>
              <w:spacing w:after="0" w:line="240" w:lineRule="auto"/>
            </w:pPr>
            <w:r/>
            <w:r>
              <w:rPr>
                <w:rFonts w:ascii="Arial" w:hAnsi="Arial" w:eastAsia="Arial"/>
                <w:b/>
                <w:color w:val="FFFFFF"/>
                <w:sz w:val="15"/>
              </w:rPr>
              <w:t>Terme</w:t>
            </w:r>
          </w:p>
        </w:tc>
        <w:tc>
          <w:tcPr>
            <w:tcW w:type="dxa" w:w="5112"/>
            <w:shd w:fill="1F1F1F"/>
          </w:tcPr>
          <w:p>
            <w:pPr>
              <w:spacing w:after="0" w:line="240" w:lineRule="auto"/>
            </w:pPr>
            <w:r/>
            <w:r>
              <w:rPr>
                <w:rFonts w:ascii="Arial" w:hAnsi="Arial" w:eastAsia="Arial"/>
                <w:b/>
                <w:color w:val="FFFFFF"/>
                <w:sz w:val="15"/>
              </w:rPr>
              <w:t>Définition citoyenne</w:t>
            </w:r>
          </w:p>
        </w:tc>
      </w:tr>
      <w:tr>
        <w:tc>
          <w:tcPr>
            <w:tcW w:type="dxa" w:w="5112"/>
            <w:vAlign w:val="top"/>
          </w:tcPr>
          <w:p>
            <w:pPr>
              <w:spacing w:after="0" w:line="240" w:lineRule="auto"/>
            </w:pPr>
            <w:r/>
            <w:r>
              <w:rPr>
                <w:rFonts w:ascii="Arial" w:hAnsi="Arial" w:eastAsia="Arial"/>
                <w:b w:val="0"/>
                <w:sz w:val="14"/>
              </w:rPr>
              <w:t>Autorité électorale indépendante</w:t>
            </w:r>
          </w:p>
        </w:tc>
        <w:tc>
          <w:tcPr>
            <w:tcW w:type="dxa" w:w="5112"/>
            <w:vAlign w:val="top"/>
          </w:tcPr>
          <w:p>
            <w:pPr>
              <w:spacing w:after="0" w:line="240" w:lineRule="auto"/>
            </w:pPr>
            <w:r/>
            <w:r>
              <w:rPr>
                <w:rFonts w:ascii="Arial" w:hAnsi="Arial" w:eastAsia="Arial"/>
                <w:b w:val="0"/>
                <w:sz w:val="14"/>
              </w:rPr>
              <w:t>Instance qui organise et protège le vote sans être contrôlée par le gouvernement.</w:t>
            </w:r>
          </w:p>
        </w:tc>
      </w:tr>
      <w:tr>
        <w:tc>
          <w:tcPr>
            <w:tcW w:type="dxa" w:w="5112"/>
            <w:vAlign w:val="top"/>
            <w:shd w:fill="FBF8EF"/>
          </w:tcPr>
          <w:p>
            <w:pPr>
              <w:spacing w:after="0" w:line="240" w:lineRule="auto"/>
            </w:pPr>
            <w:r/>
            <w:r>
              <w:rPr>
                <w:rFonts w:ascii="Arial" w:hAnsi="Arial" w:eastAsia="Arial"/>
                <w:b w:val="0"/>
                <w:sz w:val="14"/>
              </w:rPr>
              <w:t>Constitution</w:t>
            </w:r>
          </w:p>
        </w:tc>
        <w:tc>
          <w:tcPr>
            <w:tcW w:type="dxa" w:w="5112"/>
            <w:vAlign w:val="top"/>
            <w:shd w:fill="FBF8EF"/>
          </w:tcPr>
          <w:p>
            <w:pPr>
              <w:spacing w:after="0" w:line="240" w:lineRule="auto"/>
            </w:pPr>
            <w:r/>
            <w:r>
              <w:rPr>
                <w:rFonts w:ascii="Arial" w:hAnsi="Arial" w:eastAsia="Arial"/>
                <w:b w:val="0"/>
                <w:sz w:val="14"/>
              </w:rPr>
              <w:t>Texte supérieur qui définit les institutions, les droits, les pouvoirs et les limites de l’État.</w:t>
            </w:r>
          </w:p>
        </w:tc>
      </w:tr>
      <w:tr>
        <w:tc>
          <w:tcPr>
            <w:tcW w:type="dxa" w:w="5112"/>
            <w:vAlign w:val="top"/>
          </w:tcPr>
          <w:p>
            <w:pPr>
              <w:spacing w:after="0" w:line="240" w:lineRule="auto"/>
            </w:pPr>
            <w:r/>
            <w:r>
              <w:rPr>
                <w:rFonts w:ascii="Arial" w:hAnsi="Arial" w:eastAsia="Arial"/>
                <w:b w:val="0"/>
                <w:sz w:val="14"/>
              </w:rPr>
              <w:t>Concordance normative</w:t>
            </w:r>
          </w:p>
        </w:tc>
        <w:tc>
          <w:tcPr>
            <w:tcW w:type="dxa" w:w="5112"/>
            <w:vAlign w:val="top"/>
          </w:tcPr>
          <w:p>
            <w:pPr>
              <w:spacing w:after="0" w:line="240" w:lineRule="auto"/>
            </w:pPr>
            <w:r/>
            <w:r>
              <w:rPr>
                <w:rFonts w:ascii="Arial" w:hAnsi="Arial" w:eastAsia="Arial"/>
                <w:b w:val="0"/>
                <w:sz w:val="14"/>
              </w:rPr>
              <w:t>Méthode pour vérifier que les documents ne se contredisent pas.</w:t>
            </w:r>
          </w:p>
        </w:tc>
      </w:tr>
      <w:tr>
        <w:tc>
          <w:tcPr>
            <w:tcW w:type="dxa" w:w="5112"/>
            <w:vAlign w:val="top"/>
            <w:shd w:fill="FBF8EF"/>
          </w:tcPr>
          <w:p>
            <w:pPr>
              <w:spacing w:after="0" w:line="240" w:lineRule="auto"/>
            </w:pPr>
            <w:r/>
            <w:r>
              <w:rPr>
                <w:rFonts w:ascii="Arial" w:hAnsi="Arial" w:eastAsia="Arial"/>
                <w:b w:val="0"/>
                <w:sz w:val="14"/>
              </w:rPr>
              <w:t>Contournement</w:t>
            </w:r>
          </w:p>
        </w:tc>
        <w:tc>
          <w:tcPr>
            <w:tcW w:type="dxa" w:w="5112"/>
            <w:vAlign w:val="top"/>
            <w:shd w:fill="FBF8EF"/>
          </w:tcPr>
          <w:p>
            <w:pPr>
              <w:spacing w:after="0" w:line="240" w:lineRule="auto"/>
            </w:pPr>
            <w:r/>
            <w:r>
              <w:rPr>
                <w:rFonts w:ascii="Arial" w:hAnsi="Arial" w:eastAsia="Arial"/>
                <w:b w:val="0"/>
                <w:sz w:val="14"/>
              </w:rPr>
              <w:t>Action de respecter l’apparence d’une règle tout en détruisant son objectif réel.</w:t>
            </w:r>
          </w:p>
        </w:tc>
      </w:tr>
      <w:tr>
        <w:tc>
          <w:tcPr>
            <w:tcW w:type="dxa" w:w="5112"/>
            <w:vAlign w:val="top"/>
          </w:tcPr>
          <w:p>
            <w:pPr>
              <w:spacing w:after="0" w:line="240" w:lineRule="auto"/>
            </w:pPr>
            <w:r/>
            <w:r>
              <w:rPr>
                <w:rFonts w:ascii="Arial" w:hAnsi="Arial" w:eastAsia="Arial"/>
                <w:b w:val="0"/>
                <w:sz w:val="14"/>
              </w:rPr>
              <w:t>Démocratie citoyenne</w:t>
            </w:r>
          </w:p>
        </w:tc>
        <w:tc>
          <w:tcPr>
            <w:tcW w:type="dxa" w:w="5112"/>
            <w:vAlign w:val="top"/>
          </w:tcPr>
          <w:p>
            <w:pPr>
              <w:spacing w:after="0" w:line="240" w:lineRule="auto"/>
            </w:pPr>
            <w:r/>
            <w:r>
              <w:rPr>
                <w:rFonts w:ascii="Arial" w:hAnsi="Arial" w:eastAsia="Arial"/>
                <w:b w:val="0"/>
                <w:sz w:val="14"/>
              </w:rPr>
              <w:t>Démocratie où le peuple peut participer, vérifier, proposer et décider au-delà des élections ordinaires.</w:t>
            </w:r>
          </w:p>
        </w:tc>
      </w:tr>
      <w:tr>
        <w:tc>
          <w:tcPr>
            <w:tcW w:type="dxa" w:w="5112"/>
            <w:vAlign w:val="top"/>
            <w:shd w:fill="FBF8EF"/>
          </w:tcPr>
          <w:p>
            <w:pPr>
              <w:spacing w:after="0" w:line="240" w:lineRule="auto"/>
            </w:pPr>
            <w:r/>
            <w:r>
              <w:rPr>
                <w:rFonts w:ascii="Arial" w:hAnsi="Arial" w:eastAsia="Arial"/>
                <w:b w:val="0"/>
                <w:sz w:val="14"/>
              </w:rPr>
              <w:t>Normes fondamentales</w:t>
            </w:r>
          </w:p>
        </w:tc>
        <w:tc>
          <w:tcPr>
            <w:tcW w:type="dxa" w:w="5112"/>
            <w:vAlign w:val="top"/>
            <w:shd w:fill="FBF8EF"/>
          </w:tcPr>
          <w:p>
            <w:pPr>
              <w:spacing w:after="0" w:line="240" w:lineRule="auto"/>
            </w:pPr>
            <w:r/>
            <w:r>
              <w:rPr>
                <w:rFonts w:ascii="Arial" w:hAnsi="Arial" w:eastAsia="Arial"/>
                <w:b w:val="0"/>
                <w:sz w:val="14"/>
              </w:rPr>
              <w:t>Règles supérieures qui guident toutes les lois et empêchent les dérives.</w:t>
            </w:r>
          </w:p>
        </w:tc>
      </w:tr>
      <w:tr>
        <w:tc>
          <w:tcPr>
            <w:tcW w:type="dxa" w:w="5112"/>
            <w:vAlign w:val="top"/>
          </w:tcPr>
          <w:p>
            <w:pPr>
              <w:spacing w:after="0" w:line="240" w:lineRule="auto"/>
            </w:pPr>
            <w:r/>
            <w:r>
              <w:rPr>
                <w:rFonts w:ascii="Arial" w:hAnsi="Arial" w:eastAsia="Arial"/>
                <w:b w:val="0"/>
                <w:sz w:val="14"/>
              </w:rPr>
              <w:t>Souveraineté populaire</w:t>
            </w:r>
          </w:p>
        </w:tc>
        <w:tc>
          <w:tcPr>
            <w:tcW w:type="dxa" w:w="5112"/>
            <w:vAlign w:val="top"/>
          </w:tcPr>
          <w:p>
            <w:pPr>
              <w:spacing w:after="0" w:line="240" w:lineRule="auto"/>
            </w:pPr>
            <w:r/>
            <w:r>
              <w:rPr>
                <w:rFonts w:ascii="Arial" w:hAnsi="Arial" w:eastAsia="Arial"/>
                <w:b w:val="0"/>
                <w:sz w:val="14"/>
              </w:rPr>
              <w:t>Principe selon lequel le pouvoir appartient au peuple.</w:t>
            </w:r>
          </w:p>
        </w:tc>
      </w:tr>
      <w:tr>
        <w:tc>
          <w:tcPr>
            <w:tcW w:type="dxa" w:w="5112"/>
            <w:vAlign w:val="top"/>
            <w:shd w:fill="FBF8EF"/>
          </w:tcPr>
          <w:p>
            <w:pPr>
              <w:spacing w:after="0" w:line="240" w:lineRule="auto"/>
            </w:pPr>
            <w:r/>
            <w:r>
              <w:rPr>
                <w:rFonts w:ascii="Arial" w:hAnsi="Arial" w:eastAsia="Arial"/>
                <w:b w:val="0"/>
                <w:sz w:val="14"/>
              </w:rPr>
              <w:t>Transition constitutionnelle</w:t>
            </w:r>
          </w:p>
        </w:tc>
        <w:tc>
          <w:tcPr>
            <w:tcW w:type="dxa" w:w="5112"/>
            <w:vAlign w:val="top"/>
            <w:shd w:fill="FBF8EF"/>
          </w:tcPr>
          <w:p>
            <w:pPr>
              <w:spacing w:after="0" w:line="240" w:lineRule="auto"/>
            </w:pPr>
            <w:r/>
            <w:r>
              <w:rPr>
                <w:rFonts w:ascii="Arial" w:hAnsi="Arial" w:eastAsia="Arial"/>
                <w:b w:val="0"/>
                <w:sz w:val="14"/>
              </w:rPr>
              <w:t>Période organisée entre le Québec actuel et un Québec souverain consolidé.</w:t>
            </w:r>
          </w:p>
        </w:tc>
      </w:tr>
    </w:tbl>
    <w:p/>
    <w:p>
      <w:pPr>
        <w:pStyle w:val="Heading1"/>
      </w:pPr>
      <w:r>
        <w:t>PARTIE VIII - TABLEAU SYNTHÈSE FINAL</w:t>
      </w:r>
    </w:p>
    <w:p>
      <w:pPr>
        <w:pStyle w:val="Heading1"/>
      </w:pPr>
      <w:r>
        <w:t>LE SYSTÈME NOVA EN 6 PHRASES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F1F1F"/>
          </w:tcPr>
          <w:p>
            <w:pPr>
              <w:spacing w:after="0" w:line="240" w:lineRule="auto"/>
            </w:pPr>
            <w:r/>
            <w:r>
              <w:rPr>
                <w:rFonts w:ascii="Arial" w:hAnsi="Arial" w:eastAsia="Arial"/>
                <w:b/>
                <w:color w:val="FFFFFF"/>
                <w:sz w:val="15"/>
              </w:rPr>
              <w:t>Question</w:t>
            </w:r>
          </w:p>
        </w:tc>
        <w:tc>
          <w:tcPr>
            <w:tcW w:type="dxa" w:w="5112"/>
            <w:shd w:fill="1F1F1F"/>
          </w:tcPr>
          <w:p>
            <w:pPr>
              <w:spacing w:after="0" w:line="240" w:lineRule="auto"/>
            </w:pPr>
            <w:r/>
            <w:r>
              <w:rPr>
                <w:rFonts w:ascii="Arial" w:hAnsi="Arial" w:eastAsia="Arial"/>
                <w:b/>
                <w:color w:val="FFFFFF"/>
                <w:sz w:val="15"/>
              </w:rPr>
              <w:t>Réponse simple</w:t>
            </w:r>
          </w:p>
        </w:tc>
      </w:tr>
      <w:tr>
        <w:tc>
          <w:tcPr>
            <w:tcW w:type="dxa" w:w="5112"/>
            <w:vAlign w:val="top"/>
          </w:tcPr>
          <w:p>
            <w:pPr>
              <w:spacing w:after="0" w:line="240" w:lineRule="auto"/>
            </w:pPr>
            <w:r/>
            <w:r>
              <w:rPr>
                <w:rFonts w:ascii="Arial" w:hAnsi="Arial" w:eastAsia="Arial"/>
                <w:b w:val="0"/>
                <w:sz w:val="14"/>
              </w:rPr>
              <w:t>Ce que Nova veut</w:t>
            </w:r>
          </w:p>
        </w:tc>
        <w:tc>
          <w:tcPr>
            <w:tcW w:type="dxa" w:w="5112"/>
            <w:vAlign w:val="top"/>
          </w:tcPr>
          <w:p>
            <w:pPr>
              <w:spacing w:after="0" w:line="240" w:lineRule="auto"/>
            </w:pPr>
            <w:r/>
            <w:r>
              <w:rPr>
                <w:rFonts w:ascii="Arial" w:hAnsi="Arial" w:eastAsia="Arial"/>
                <w:b w:val="0"/>
                <w:sz w:val="14"/>
              </w:rPr>
              <w:t>Un Québec souverain, transparent, démocratique, francophone, productif et contrôlé par ses citoyens.</w:t>
            </w:r>
          </w:p>
        </w:tc>
      </w:tr>
      <w:tr>
        <w:tc>
          <w:tcPr>
            <w:tcW w:type="dxa" w:w="5112"/>
            <w:vAlign w:val="top"/>
            <w:shd w:fill="FBF8EF"/>
          </w:tcPr>
          <w:p>
            <w:pPr>
              <w:spacing w:after="0" w:line="240" w:lineRule="auto"/>
            </w:pPr>
            <w:r/>
            <w:r>
              <w:rPr>
                <w:rFonts w:ascii="Arial" w:hAnsi="Arial" w:eastAsia="Arial"/>
                <w:b w:val="0"/>
                <w:sz w:val="14"/>
              </w:rPr>
              <w:t>Ce que Nova refuse</w:t>
            </w:r>
          </w:p>
        </w:tc>
        <w:tc>
          <w:tcPr>
            <w:tcW w:type="dxa" w:w="5112"/>
            <w:vAlign w:val="top"/>
            <w:shd w:fill="FBF8EF"/>
          </w:tcPr>
          <w:p>
            <w:pPr>
              <w:spacing w:after="0" w:line="240" w:lineRule="auto"/>
            </w:pPr>
            <w:r/>
            <w:r>
              <w:rPr>
                <w:rFonts w:ascii="Arial" w:hAnsi="Arial" w:eastAsia="Arial"/>
                <w:b w:val="0"/>
                <w:sz w:val="14"/>
              </w:rPr>
              <w:t>L’opacité, les privilèges, le culte du chef, la corruption, la surveillance de masse et l’improvisation.</w:t>
            </w:r>
          </w:p>
        </w:tc>
      </w:tr>
      <w:tr>
        <w:tc>
          <w:tcPr>
            <w:tcW w:type="dxa" w:w="5112"/>
            <w:vAlign w:val="top"/>
          </w:tcPr>
          <w:p>
            <w:pPr>
              <w:spacing w:after="0" w:line="240" w:lineRule="auto"/>
            </w:pPr>
            <w:r/>
            <w:r>
              <w:rPr>
                <w:rFonts w:ascii="Arial" w:hAnsi="Arial" w:eastAsia="Arial"/>
                <w:b w:val="0"/>
                <w:sz w:val="14"/>
              </w:rPr>
              <w:t>Ce que le peuple gagne</w:t>
            </w:r>
          </w:p>
        </w:tc>
        <w:tc>
          <w:tcPr>
            <w:tcW w:type="dxa" w:w="5112"/>
            <w:vAlign w:val="top"/>
          </w:tcPr>
          <w:p>
            <w:pPr>
              <w:spacing w:after="0" w:line="240" w:lineRule="auto"/>
            </w:pPr>
            <w:r/>
            <w:r>
              <w:rPr>
                <w:rFonts w:ascii="Arial" w:hAnsi="Arial" w:eastAsia="Arial"/>
                <w:b w:val="0"/>
                <w:sz w:val="14"/>
              </w:rPr>
              <w:t>Plus de contrôle, plus d’information, plus de recours, plus de clarté et un vrai droit de décider.</w:t>
            </w:r>
          </w:p>
        </w:tc>
      </w:tr>
      <w:tr>
        <w:tc>
          <w:tcPr>
            <w:tcW w:type="dxa" w:w="5112"/>
            <w:vAlign w:val="top"/>
            <w:shd w:fill="FBF8EF"/>
          </w:tcPr>
          <w:p>
            <w:pPr>
              <w:spacing w:after="0" w:line="240" w:lineRule="auto"/>
            </w:pPr>
            <w:r/>
            <w:r>
              <w:rPr>
                <w:rFonts w:ascii="Arial" w:hAnsi="Arial" w:eastAsia="Arial"/>
                <w:b w:val="0"/>
                <w:sz w:val="14"/>
              </w:rPr>
              <w:t>Ce que l’État doit faire</w:t>
            </w:r>
          </w:p>
        </w:tc>
        <w:tc>
          <w:tcPr>
            <w:tcW w:type="dxa" w:w="5112"/>
            <w:vAlign w:val="top"/>
            <w:shd w:fill="FBF8EF"/>
          </w:tcPr>
          <w:p>
            <w:pPr>
              <w:spacing w:after="0" w:line="240" w:lineRule="auto"/>
            </w:pPr>
            <w:r/>
            <w:r>
              <w:rPr>
                <w:rFonts w:ascii="Arial" w:hAnsi="Arial" w:eastAsia="Arial"/>
                <w:b w:val="0"/>
                <w:sz w:val="14"/>
              </w:rPr>
              <w:t>Servir, expliquer, publier, mesurer, corriger et rendre des comptes.</w:t>
            </w:r>
          </w:p>
        </w:tc>
      </w:tr>
      <w:tr>
        <w:tc>
          <w:tcPr>
            <w:tcW w:type="dxa" w:w="5112"/>
            <w:vAlign w:val="top"/>
          </w:tcPr>
          <w:p>
            <w:pPr>
              <w:spacing w:after="0" w:line="240" w:lineRule="auto"/>
            </w:pPr>
            <w:r/>
            <w:r>
              <w:rPr>
                <w:rFonts w:ascii="Arial" w:hAnsi="Arial" w:eastAsia="Arial"/>
                <w:b w:val="0"/>
                <w:sz w:val="14"/>
              </w:rPr>
              <w:t>Ce qui protège le système</w:t>
            </w:r>
          </w:p>
        </w:tc>
        <w:tc>
          <w:tcPr>
            <w:tcW w:type="dxa" w:w="5112"/>
            <w:vAlign w:val="top"/>
          </w:tcPr>
          <w:p>
            <w:pPr>
              <w:spacing w:after="0" w:line="240" w:lineRule="auto"/>
            </w:pPr>
            <w:r/>
            <w:r>
              <w:rPr>
                <w:rFonts w:ascii="Arial" w:hAnsi="Arial" w:eastAsia="Arial"/>
                <w:b w:val="0"/>
                <w:sz w:val="14"/>
              </w:rPr>
              <w:t>Constitution, lois, règlements, audits, autorités indépendantes, concordance et registre des risques.</w:t>
            </w:r>
          </w:p>
        </w:tc>
      </w:tr>
      <w:tr>
        <w:tc>
          <w:tcPr>
            <w:tcW w:type="dxa" w:w="5112"/>
            <w:vAlign w:val="top"/>
            <w:shd w:fill="FBF8EF"/>
          </w:tcPr>
          <w:p>
            <w:pPr>
              <w:spacing w:after="0" w:line="240" w:lineRule="auto"/>
            </w:pPr>
            <w:r/>
            <w:r>
              <w:rPr>
                <w:rFonts w:ascii="Arial" w:hAnsi="Arial" w:eastAsia="Arial"/>
                <w:b w:val="0"/>
                <w:sz w:val="14"/>
              </w:rPr>
              <w:t>Ce qui reste non négociable</w:t>
            </w:r>
          </w:p>
        </w:tc>
        <w:tc>
          <w:tcPr>
            <w:tcW w:type="dxa" w:w="5112"/>
            <w:vAlign w:val="top"/>
            <w:shd w:fill="FBF8EF"/>
          </w:tcPr>
          <w:p>
            <w:pPr>
              <w:spacing w:after="0" w:line="240" w:lineRule="auto"/>
            </w:pPr>
            <w:r/>
            <w:r>
              <w:rPr>
                <w:rFonts w:ascii="Arial" w:hAnsi="Arial" w:eastAsia="Arial"/>
                <w:b w:val="0"/>
                <w:sz w:val="14"/>
              </w:rPr>
              <w:t>Le vote libre, la souveraineté populaire, les droits, le français, l’intégrité et la responsabilité.</w:t>
            </w:r>
          </w:p>
        </w:tc>
      </w:tr>
    </w:tbl>
    <w:p/>
    <w:p>
      <w:pPr>
        <w:pStyle w:val="Heading1"/>
      </w:pPr>
      <w:r>
        <w:t>PARTIE IX - CONCLUSION PUBLIQUE</w:t>
      </w:r>
    </w:p>
    <w:p>
      <w:pPr>
        <w:pStyle w:val="ArticleTitleNova"/>
        <w:pBdr>
          <w:bottom w:val="single" w:sz="8" w:space="1" w:color="E6D7A5"/>
        </w:pBdr>
      </w:pPr>
      <w:r>
        <w:t>VP-51. Le système appartient au peuple</w:t>
      </w:r>
    </w:p>
    <w:p>
      <w:r>
        <w:t>Le Système Nova ne doit pas devenir un objet réservé aux experts. Il doit être compris, surveillé et jugé par les citoyens.</w:t>
      </w:r>
    </w:p>
    <w:p>
      <w:pPr>
        <w:pStyle w:val="ArticleTitleNova"/>
        <w:pBdr>
          <w:bottom w:val="single" w:sz="8" w:space="1" w:color="E6D7A5"/>
        </w:pBdr>
      </w:pPr>
      <w:r>
        <w:t>VP-52. La clarté comme devoir</w:t>
      </w:r>
    </w:p>
    <w:p>
      <w:r>
        <w:t>Un projet politique qui ne peut pas être expliqué clairement au peuple risque de devenir une nouvelle forme d’opacité.</w:t>
      </w:r>
    </w:p>
    <w:p>
      <w:pPr>
        <w:pStyle w:val="ArticleTitleNova"/>
        <w:pBdr>
          <w:bottom w:val="single" w:sz="8" w:space="1" w:color="E6D7A5"/>
        </w:pBdr>
      </w:pPr>
      <w:r>
        <w:t>VP-53. La responsabilité comme promesse</w:t>
      </w:r>
    </w:p>
    <w:p>
      <w:r>
        <w:t>Le Projet Nova promet moins de foi aveugle et plus de preuves, moins de slogans et plus de résultats, moins de privilèges et plus de comptes à rendre.</w:t>
      </w:r>
    </w:p>
    <w:p>
      <w:pPr>
        <w:pStyle w:val="ArticleTitleNova"/>
        <w:pBdr>
          <w:bottom w:val="single" w:sz="8" w:space="1" w:color="E6D7A5"/>
        </w:pBdr>
      </w:pPr>
      <w:r>
        <w:t>VP-54. La souveraineté comme choix éclairé</w:t>
      </w:r>
    </w:p>
    <w:p>
      <w:r>
        <w:t>Le Québec peut devenir souverain, mais cette souveraineté doit être préparée, expliquée, sécurisée et décidée par le peuple.</w:t>
      </w:r>
    </w:p>
    <w:p>
      <w:pPr>
        <w:pStyle w:val="ArticleTitleNova"/>
        <w:pBdr>
          <w:bottom w:val="single" w:sz="8" w:space="1" w:color="E6D7A5"/>
        </w:pBdr>
      </w:pPr>
      <w:r>
        <w:t>VP-55. Clause finale citoyenne</w:t>
      </w:r>
    </w:p>
    <w:p>
      <w:r>
        <w:t>La présente version publique simplifiée doit être mise à jour chaque fois que le corpus officiel évolue. Elle doit rester fidèle aux textes normatifs tout en demeurant compréhensible pour le public.</w:t>
      </w:r>
    </w:p>
    <w:p/>
    <w:p>
      <w:pPr>
        <w:pStyle w:val="ClauseNova"/>
        <w:jc w:val="center"/>
      </w:pPr>
      <w:r>
        <w:t>FIN DU DOCUMENT - VERSION PUBLIQUE SIMPLIFIÉE - CITOYENS</w:t>
      </w:r>
    </w:p>
    <w:sectPr w:rsidR="00FC693F" w:rsidRPr="0006063C" w:rsidSect="00034616">
      <w:headerReference w:type="default" r:id="rId9"/>
      <w:footerReference w:type="default" r:id="rId10"/>
      <w:pgSz w:w="12240" w:h="15840"/>
      <w:pgMar w:top="893" w:right="1008" w:bottom="893" w:left="1008"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t>Projet Nova - Système Nova - Version publique simplifiée - citoyens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333333"/>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4"/>
      <w:contextualSpacing/>
    </w:pPr>
    <w:rPr>
      <w:rFonts w:ascii="Arial" w:hAnsi="Arial" w:eastAsia="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Nova"/>
    <w:pPr>
      <w:spacing w:after="60"/>
    </w:pPr>
    <w:rPr>
      <w:rFonts w:ascii="Arial" w:hAnsi="Arial" w:eastAsia="Arial"/>
      <w:b/>
      <w:color w:val="1F1F1F"/>
      <w:sz w:val="40"/>
    </w:rPr>
  </w:style>
  <w:style w:type="paragraph" w:customStyle="1" w:styleId="SubtitleNova">
    <w:name w:val="SubtitleNova"/>
    <w:pPr>
      <w:spacing w:after="60"/>
    </w:pPr>
    <w:rPr>
      <w:rFonts w:ascii="Arial" w:hAnsi="Arial" w:eastAsia="Arial"/>
      <w:b w:val="0"/>
      <w:color w:val="555555"/>
      <w:sz w:val="23"/>
    </w:rPr>
  </w:style>
  <w:style w:type="paragraph" w:customStyle="1" w:styleId="NoticeNova">
    <w:name w:val="NoticeNova"/>
    <w:pPr>
      <w:spacing w:after="60"/>
    </w:pPr>
    <w:rPr>
      <w:rFonts w:ascii="Arial" w:hAnsi="Arial" w:eastAsia="Arial"/>
      <w:b w:val="0"/>
      <w:color w:val="666666"/>
      <w:sz w:val="17"/>
    </w:rPr>
  </w:style>
  <w:style w:type="paragraph" w:customStyle="1" w:styleId="SmallNova">
    <w:name w:val="SmallNova"/>
    <w:pPr>
      <w:spacing w:after="60"/>
    </w:pPr>
    <w:rPr>
      <w:rFonts w:ascii="Arial" w:hAnsi="Arial" w:eastAsia="Arial"/>
      <w:b w:val="0"/>
      <w:color w:val="666666"/>
      <w:sz w:val="16"/>
    </w:rPr>
  </w:style>
  <w:style w:type="paragraph" w:customStyle="1" w:styleId="ArticleTitleNova">
    <w:name w:val="ArticleTitleNova"/>
    <w:pPr>
      <w:spacing w:after="60"/>
    </w:pPr>
    <w:rPr>
      <w:rFonts w:ascii="Arial" w:hAnsi="Arial" w:eastAsia="Arial"/>
      <w:b/>
      <w:color w:val="1F1F1F"/>
      <w:sz w:val="20"/>
    </w:rPr>
  </w:style>
  <w:style w:type="paragraph" w:customStyle="1" w:styleId="ClauseNova">
    <w:name w:val="ClauseNova"/>
    <w:pPr>
      <w:spacing w:after="60"/>
    </w:pPr>
    <w:rPr>
      <w:rFonts w:ascii="Arial" w:hAnsi="Arial" w:eastAsia="Arial"/>
      <w:b/>
      <w:color w:val="1F1F1F"/>
      <w:sz w:val="20"/>
    </w:rPr>
  </w:style>
  <w:style w:type="paragraph" w:customStyle="1" w:styleId="CitizenCallout">
    <w:name w:val="CitizenCallout"/>
    <w:pPr>
      <w:spacing w:after="60"/>
    </w:pPr>
    <w:rPr>
      <w:rFonts w:ascii="Arial" w:hAnsi="Arial" w:eastAsia="Arial"/>
      <w:b/>
      <w:color w:val="1F1F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