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41AB1" w14:textId="77777777" w:rsidR="00D460CD" w:rsidRDefault="00D460CD" w:rsidP="00D460CD">
      <w:pPr>
        <w:jc w:val="center"/>
        <w:rPr>
          <w:rFonts w:ascii="Arial" w:eastAsiaTheme="majorEastAsia" w:hAnsi="Arial" w:cs="Arial"/>
          <w:b/>
          <w:bCs/>
          <w:sz w:val="28"/>
          <w:szCs w:val="28"/>
          <w:u w:val="single"/>
          <w:lang w:val="fr-CA"/>
        </w:rPr>
      </w:pPr>
      <w:r w:rsidRPr="00102694">
        <w:rPr>
          <w:rFonts w:ascii="Arial" w:eastAsiaTheme="majorEastAsia" w:hAnsi="Arial" w:cs="Arial"/>
          <w:b/>
          <w:bCs/>
          <w:sz w:val="28"/>
          <w:szCs w:val="28"/>
          <w:u w:val="single"/>
          <w:lang w:val="fr-CA"/>
        </w:rPr>
        <w:t>SCQ — OUTIL DE TRANSITION CONSTITUTIONNELLE DU QUÉBEC SOUVERAIN</w:t>
      </w:r>
    </w:p>
    <w:p w14:paraId="54095945" w14:textId="6A50AE6F" w:rsidR="00984EE5" w:rsidRPr="00102694" w:rsidRDefault="00984EE5" w:rsidP="00D460CD">
      <w:pPr>
        <w:jc w:val="center"/>
        <w:rPr>
          <w:rFonts w:ascii="Arial" w:eastAsiaTheme="majorEastAsia" w:hAnsi="Arial" w:cs="Arial"/>
          <w:b/>
          <w:bCs/>
          <w:sz w:val="28"/>
          <w:szCs w:val="28"/>
          <w:u w:val="single"/>
          <w:lang w:val="fr-CA"/>
        </w:rPr>
      </w:pPr>
      <w:r w:rsidRPr="009E0AA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440D036" wp14:editId="35807312">
            <wp:extent cx="881380" cy="962025"/>
            <wp:effectExtent l="0" t="0" r="0" b="9525"/>
            <wp:docPr id="49967312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88138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0E2B3" w14:textId="77777777" w:rsidR="00D460CD" w:rsidRPr="00102694" w:rsidRDefault="00D460CD" w:rsidP="00D460CD">
      <w:pPr>
        <w:jc w:val="center"/>
        <w:rPr>
          <w:rFonts w:ascii="Arial" w:eastAsiaTheme="majorEastAsia" w:hAnsi="Arial" w:cs="Arial"/>
          <w:b/>
          <w:bCs/>
          <w:sz w:val="28"/>
          <w:szCs w:val="28"/>
          <w:u w:val="single"/>
          <w:lang w:val="fr-CA"/>
        </w:rPr>
      </w:pPr>
      <w:r w:rsidRPr="00102694">
        <w:rPr>
          <w:rFonts w:ascii="Arial" w:eastAsiaTheme="majorEastAsia" w:hAnsi="Arial" w:cs="Arial"/>
          <w:b/>
          <w:bCs/>
          <w:sz w:val="28"/>
          <w:szCs w:val="28"/>
          <w:u w:val="single"/>
          <w:lang w:val="fr-CA"/>
        </w:rPr>
        <w:t>SYSTÈME DE CONTINUITÉ, DE CONVERSION ET DE SÉCURISATION JURIDIQUE</w:t>
      </w:r>
    </w:p>
    <w:p w14:paraId="33D5C42C" w14:textId="3331204A" w:rsidR="00BF68CF" w:rsidRDefault="00BF68CF" w:rsidP="00BF68CF">
      <w:pPr>
        <w:pBdr>
          <w:bottom w:val="single" w:sz="6" w:space="1" w:color="auto"/>
        </w:pBdr>
        <w:jc w:val="center"/>
        <w:rPr>
          <w:rFonts w:ascii="Arial" w:eastAsiaTheme="majorEastAsia" w:hAnsi="Arial" w:cs="Arial"/>
          <w:b/>
          <w:bCs/>
          <w:sz w:val="24"/>
          <w:szCs w:val="24"/>
          <w:lang w:val="fr-CA"/>
        </w:rPr>
      </w:pPr>
    </w:p>
    <w:p w14:paraId="7C2EBB55" w14:textId="77777777" w:rsidR="00984EE5" w:rsidRDefault="00984EE5" w:rsidP="00BF68CF">
      <w:pPr>
        <w:jc w:val="center"/>
        <w:rPr>
          <w:rFonts w:ascii="Arial" w:eastAsiaTheme="majorEastAsia" w:hAnsi="Arial" w:cs="Arial"/>
          <w:b/>
          <w:bCs/>
          <w:sz w:val="24"/>
          <w:szCs w:val="24"/>
          <w:lang w:val="fr-CA"/>
        </w:rPr>
      </w:pPr>
    </w:p>
    <w:p w14:paraId="2AD388FA" w14:textId="77777777" w:rsidR="00D460CD" w:rsidRPr="00D460CD" w:rsidRDefault="00D460CD" w:rsidP="00D460CD">
      <w:pPr>
        <w:rPr>
          <w:rFonts w:ascii="Arial" w:eastAsiaTheme="majorEastAsia" w:hAnsi="Arial" w:cs="Arial"/>
          <w:b/>
          <w:bCs/>
          <w:sz w:val="24"/>
          <w:szCs w:val="24"/>
          <w:lang w:val="fr-CA"/>
        </w:rPr>
      </w:pPr>
      <w:r w:rsidRPr="00D460CD">
        <w:rPr>
          <w:rFonts w:ascii="Arial" w:eastAsiaTheme="majorEastAsia" w:hAnsi="Arial" w:cs="Arial"/>
          <w:b/>
          <w:bCs/>
          <w:sz w:val="24"/>
          <w:szCs w:val="24"/>
          <w:lang w:val="fr-CA"/>
        </w:rPr>
        <w:t>Statut juridique</w:t>
      </w:r>
      <w:r w:rsidRPr="00D460CD">
        <w:rPr>
          <w:rFonts w:ascii="Arial" w:eastAsiaTheme="majorEastAsia" w:hAnsi="Arial" w:cs="Arial"/>
          <w:b/>
          <w:bCs/>
          <w:sz w:val="24"/>
          <w:szCs w:val="24"/>
          <w:lang w:val="fr-CA"/>
        </w:rPr>
        <w:br/>
        <w:t>Le SCQ est :</w:t>
      </w:r>
    </w:p>
    <w:p w14:paraId="103AB31E" w14:textId="77777777" w:rsidR="00D460CD" w:rsidRPr="00D460CD" w:rsidRDefault="00D460CD" w:rsidP="00D460CD">
      <w:pPr>
        <w:numPr>
          <w:ilvl w:val="0"/>
          <w:numId w:val="34"/>
        </w:numPr>
        <w:rPr>
          <w:rFonts w:ascii="Arial" w:eastAsiaTheme="majorEastAsia" w:hAnsi="Arial" w:cs="Arial"/>
          <w:b/>
          <w:bCs/>
          <w:sz w:val="24"/>
          <w:szCs w:val="24"/>
          <w:lang w:val="fr-CA"/>
        </w:rPr>
      </w:pPr>
      <w:r w:rsidRPr="00D460CD">
        <w:rPr>
          <w:rFonts w:ascii="Arial" w:eastAsiaTheme="majorEastAsia" w:hAnsi="Arial" w:cs="Arial"/>
          <w:b/>
          <w:bCs/>
          <w:sz w:val="24"/>
          <w:szCs w:val="24"/>
          <w:lang w:val="fr-CA"/>
        </w:rPr>
        <w:t>temporaire par nature ;</w:t>
      </w:r>
    </w:p>
    <w:p w14:paraId="36F646A3" w14:textId="77777777" w:rsidR="00D460CD" w:rsidRPr="00D460CD" w:rsidRDefault="00D460CD" w:rsidP="00D460CD">
      <w:pPr>
        <w:numPr>
          <w:ilvl w:val="0"/>
          <w:numId w:val="34"/>
        </w:numPr>
        <w:rPr>
          <w:rFonts w:ascii="Arial" w:eastAsiaTheme="majorEastAsia" w:hAnsi="Arial" w:cs="Arial"/>
          <w:b/>
          <w:bCs/>
          <w:sz w:val="24"/>
          <w:szCs w:val="24"/>
          <w:lang w:val="fr-CA"/>
        </w:rPr>
      </w:pPr>
      <w:r w:rsidRPr="00D460CD">
        <w:rPr>
          <w:rFonts w:ascii="Arial" w:eastAsiaTheme="majorEastAsia" w:hAnsi="Arial" w:cs="Arial"/>
          <w:b/>
          <w:bCs/>
          <w:sz w:val="24"/>
          <w:szCs w:val="24"/>
          <w:lang w:val="fr-CA"/>
        </w:rPr>
        <w:t>strictement subordonné à la Constitution ;</w:t>
      </w:r>
    </w:p>
    <w:p w14:paraId="2100B2A9" w14:textId="77777777" w:rsidR="00D460CD" w:rsidRPr="00D460CD" w:rsidRDefault="00D460CD" w:rsidP="00D460CD">
      <w:pPr>
        <w:numPr>
          <w:ilvl w:val="0"/>
          <w:numId w:val="34"/>
        </w:numPr>
        <w:rPr>
          <w:rFonts w:ascii="Arial" w:eastAsiaTheme="majorEastAsia" w:hAnsi="Arial" w:cs="Arial"/>
          <w:b/>
          <w:bCs/>
          <w:sz w:val="24"/>
          <w:szCs w:val="24"/>
          <w:lang w:val="fr-CA"/>
        </w:rPr>
      </w:pPr>
      <w:r w:rsidRPr="00D460CD">
        <w:rPr>
          <w:rFonts w:ascii="Arial" w:eastAsiaTheme="majorEastAsia" w:hAnsi="Arial" w:cs="Arial"/>
          <w:b/>
          <w:bCs/>
          <w:sz w:val="24"/>
          <w:szCs w:val="24"/>
          <w:lang w:val="fr-CA"/>
        </w:rPr>
        <w:t>juridiquement contraignant durant la période de transition ;</w:t>
      </w:r>
    </w:p>
    <w:p w14:paraId="32D2AFE6" w14:textId="77777777" w:rsidR="00D460CD" w:rsidRPr="00D460CD" w:rsidRDefault="00D460CD" w:rsidP="00D460CD">
      <w:pPr>
        <w:numPr>
          <w:ilvl w:val="0"/>
          <w:numId w:val="34"/>
        </w:numPr>
        <w:rPr>
          <w:rFonts w:ascii="Arial" w:eastAsiaTheme="majorEastAsia" w:hAnsi="Arial" w:cs="Arial"/>
          <w:b/>
          <w:bCs/>
          <w:sz w:val="24"/>
          <w:szCs w:val="24"/>
          <w:lang w:val="fr-CA"/>
        </w:rPr>
      </w:pPr>
      <w:r w:rsidRPr="00D460CD">
        <w:rPr>
          <w:rFonts w:ascii="Arial" w:eastAsiaTheme="majorEastAsia" w:hAnsi="Arial" w:cs="Arial"/>
          <w:b/>
          <w:bCs/>
          <w:sz w:val="24"/>
          <w:szCs w:val="24"/>
          <w:lang w:val="fr-CA"/>
        </w:rPr>
        <w:t>automatiquement désactivé une fois la transition complétée.</w:t>
      </w:r>
    </w:p>
    <w:p w14:paraId="57B2CE5D" w14:textId="77777777" w:rsidR="00D460CD" w:rsidRPr="00D460CD" w:rsidRDefault="00D460CD" w:rsidP="00D460CD">
      <w:pPr>
        <w:rPr>
          <w:rFonts w:ascii="Arial" w:eastAsiaTheme="majorEastAsia" w:hAnsi="Arial" w:cs="Arial"/>
          <w:b/>
          <w:bCs/>
          <w:sz w:val="24"/>
          <w:szCs w:val="24"/>
          <w:lang w:val="fr-CA"/>
        </w:rPr>
      </w:pPr>
      <w:r w:rsidRPr="00D460CD">
        <w:rPr>
          <w:rFonts w:ascii="Arial" w:eastAsiaTheme="majorEastAsia" w:hAnsi="Arial" w:cs="Arial"/>
          <w:b/>
          <w:bCs/>
          <w:sz w:val="24"/>
          <w:szCs w:val="24"/>
          <w:lang w:val="fr-CA"/>
        </w:rPr>
        <w:t>Le SCQ ne crée aucun pouvoir nouveau.</w:t>
      </w:r>
      <w:r w:rsidRPr="00D460CD">
        <w:rPr>
          <w:rFonts w:ascii="Arial" w:eastAsiaTheme="majorEastAsia" w:hAnsi="Arial" w:cs="Arial"/>
          <w:b/>
          <w:bCs/>
          <w:sz w:val="24"/>
          <w:szCs w:val="24"/>
          <w:lang w:val="fr-CA"/>
        </w:rPr>
        <w:br/>
        <w:t>Il empêche le vide juridique, les abus, la capture du pouvoir et la rupture des services essentiels.</w:t>
      </w:r>
    </w:p>
    <w:p w14:paraId="01A3AE64" w14:textId="77777777" w:rsidR="00BF68CF" w:rsidRPr="00BF68CF" w:rsidRDefault="00000000" w:rsidP="00BF68CF">
      <w:pPr>
        <w:rPr>
          <w:rFonts w:ascii="Arial" w:eastAsiaTheme="majorEastAsia" w:hAnsi="Arial" w:cs="Arial"/>
          <w:b/>
          <w:bCs/>
          <w:sz w:val="24"/>
          <w:szCs w:val="24"/>
          <w:lang w:val="fr-CA"/>
        </w:rPr>
      </w:pPr>
      <w:r>
        <w:rPr>
          <w:rFonts w:ascii="Arial" w:eastAsiaTheme="majorEastAsia" w:hAnsi="Arial" w:cs="Arial"/>
          <w:b/>
          <w:bCs/>
          <w:sz w:val="24"/>
          <w:szCs w:val="24"/>
          <w:lang w:val="fr-CA"/>
        </w:rPr>
        <w:pict w14:anchorId="0E8FAFE7">
          <v:rect id="_x0000_i1026" style="width:0;height:1.5pt" o:hralign="center" o:bullet="t" o:hrstd="t" o:hr="t" fillcolor="#a0a0a0" stroked="f"/>
        </w:pict>
      </w:r>
    </w:p>
    <w:p w14:paraId="7F65D551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LIVRE I</w:t>
      </w:r>
    </w:p>
    <w:p w14:paraId="00B57DF7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DES PRINCIPES FONDAMENTAUX DE TRANSITION</w:t>
      </w:r>
    </w:p>
    <w:p w14:paraId="4DAE1D35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1 — Finalité de l’outil de transition</w:t>
      </w:r>
    </w:p>
    <w:p w14:paraId="2BA3681A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Le présent outil a pour finalité d’assurer une transition ordonnée, légale et sécurisée vers l’application complète de la Constitution du Québec souverain.</w:t>
      </w:r>
    </w:p>
    <w:p w14:paraId="36DD7753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Il interdit toute improvisation institutionnelle.</w:t>
      </w:r>
    </w:p>
    <w:p w14:paraId="693788BC" w14:textId="77777777" w:rsidR="00102694" w:rsidRPr="00102694" w:rsidRDefault="00000000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>
        <w:rPr>
          <w:rFonts w:ascii="Arial" w:hAnsi="Arial" w:cs="Arial"/>
          <w:b/>
          <w:bCs/>
          <w:sz w:val="24"/>
          <w:szCs w:val="24"/>
          <w:lang w:val="fr-CA"/>
        </w:rPr>
        <w:pict w14:anchorId="395BE179">
          <v:rect id="_x0000_i1027" style="width:0;height:1.5pt" o:hralign="center" o:hrstd="t" o:hr="t" fillcolor="#a0a0a0" stroked="f"/>
        </w:pict>
      </w:r>
    </w:p>
    <w:p w14:paraId="12858F7B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lastRenderedPageBreak/>
        <w:t>Article 2 — Primauté du peuple</w:t>
      </w:r>
    </w:p>
    <w:p w14:paraId="28DE2CD7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Durant toute la transition, la souveraineté populaire demeure la source exclusive de légitimité.</w:t>
      </w:r>
    </w:p>
    <w:p w14:paraId="6E6AEEB2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Aucune autorité transitoire ne peut se substituer durablement au peuple.</w:t>
      </w:r>
    </w:p>
    <w:p w14:paraId="17542485" w14:textId="77777777" w:rsidR="00102694" w:rsidRPr="00102694" w:rsidRDefault="00000000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>
        <w:rPr>
          <w:rFonts w:ascii="Arial" w:hAnsi="Arial" w:cs="Arial"/>
          <w:b/>
          <w:bCs/>
          <w:sz w:val="24"/>
          <w:szCs w:val="24"/>
          <w:lang w:val="fr-CA"/>
        </w:rPr>
        <w:pict w14:anchorId="14E5AD69">
          <v:rect id="_x0000_i1028" style="width:0;height:1.5pt" o:hralign="center" o:hrstd="t" o:hr="t" fillcolor="#a0a0a0" stroked="f"/>
        </w:pict>
      </w:r>
    </w:p>
    <w:p w14:paraId="1209AD8E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 — Continuité des droits</w:t>
      </w:r>
    </w:p>
    <w:p w14:paraId="1853CCA6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Les droits individuels, sociaux et économiques des citoyens sont maintenus intégralement durant la transition.</w:t>
      </w:r>
    </w:p>
    <w:p w14:paraId="61DEA849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Aucune suspension générale de droits n’est permise.</w:t>
      </w:r>
    </w:p>
    <w:p w14:paraId="35EAEA43" w14:textId="77777777" w:rsidR="00102694" w:rsidRPr="00102694" w:rsidRDefault="00000000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>
        <w:rPr>
          <w:rFonts w:ascii="Arial" w:hAnsi="Arial" w:cs="Arial"/>
          <w:b/>
          <w:bCs/>
          <w:sz w:val="24"/>
          <w:szCs w:val="24"/>
          <w:lang w:val="fr-CA"/>
        </w:rPr>
        <w:pict w14:anchorId="4A3A4F70">
          <v:rect id="_x0000_i1029" style="width:0;height:1.5pt" o:hralign="center" o:hrstd="t" o:hr="t" fillcolor="#a0a0a0" stroked="f"/>
        </w:pict>
      </w:r>
    </w:p>
    <w:p w14:paraId="1029DBD8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 — Continuité des services essentiels</w:t>
      </w:r>
    </w:p>
    <w:p w14:paraId="30E3963B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Les services essentiels sont maintenus sans interruption :</w:t>
      </w:r>
    </w:p>
    <w:p w14:paraId="26072815" w14:textId="77777777" w:rsidR="00102694" w:rsidRPr="00102694" w:rsidRDefault="00102694" w:rsidP="00102694">
      <w:pPr>
        <w:numPr>
          <w:ilvl w:val="0"/>
          <w:numId w:val="100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santé,</w:t>
      </w:r>
    </w:p>
    <w:p w14:paraId="7B996E83" w14:textId="77777777" w:rsidR="00102694" w:rsidRPr="00102694" w:rsidRDefault="00102694" w:rsidP="00102694">
      <w:pPr>
        <w:numPr>
          <w:ilvl w:val="0"/>
          <w:numId w:val="100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sécurité,</w:t>
      </w:r>
    </w:p>
    <w:p w14:paraId="4831A355" w14:textId="77777777" w:rsidR="00102694" w:rsidRPr="00102694" w:rsidRDefault="00102694" w:rsidP="00102694">
      <w:pPr>
        <w:numPr>
          <w:ilvl w:val="0"/>
          <w:numId w:val="100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énergie,</w:t>
      </w:r>
    </w:p>
    <w:p w14:paraId="3353C494" w14:textId="77777777" w:rsidR="00102694" w:rsidRPr="00102694" w:rsidRDefault="00102694" w:rsidP="00102694">
      <w:pPr>
        <w:numPr>
          <w:ilvl w:val="0"/>
          <w:numId w:val="100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eau,</w:t>
      </w:r>
    </w:p>
    <w:p w14:paraId="2FA92D4B" w14:textId="77777777" w:rsidR="00102694" w:rsidRPr="00102694" w:rsidRDefault="00102694" w:rsidP="00102694">
      <w:pPr>
        <w:numPr>
          <w:ilvl w:val="0"/>
          <w:numId w:val="100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communications essentielles,</w:t>
      </w:r>
    </w:p>
    <w:p w14:paraId="083B73AF" w14:textId="77777777" w:rsidR="00102694" w:rsidRPr="00102694" w:rsidRDefault="00102694" w:rsidP="00102694">
      <w:pPr>
        <w:numPr>
          <w:ilvl w:val="0"/>
          <w:numId w:val="100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approvisionnement vital.</w:t>
      </w:r>
    </w:p>
    <w:p w14:paraId="6BD1C774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Toute tentative de sabotage est une faute grave.</w:t>
      </w:r>
    </w:p>
    <w:p w14:paraId="69DDA6E6" w14:textId="77777777" w:rsidR="00102694" w:rsidRPr="00102694" w:rsidRDefault="00000000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>
        <w:rPr>
          <w:rFonts w:ascii="Arial" w:hAnsi="Arial" w:cs="Arial"/>
          <w:b/>
          <w:bCs/>
          <w:sz w:val="24"/>
          <w:szCs w:val="24"/>
          <w:lang w:val="fr-CA"/>
        </w:rPr>
        <w:pict w14:anchorId="3A0661AA">
          <v:rect id="_x0000_i1030" style="width:0;height:1.5pt" o:hralign="center" o:hrstd="t" o:hr="t" fillcolor="#a0a0a0" stroked="f"/>
        </w:pict>
      </w:r>
    </w:p>
    <w:p w14:paraId="7758A5D6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 — Principe de non-chaos juridique</w:t>
      </w:r>
    </w:p>
    <w:p w14:paraId="1EDEEC3E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Aucune norme ne cesse de s’appliquer sans être remplacée par une norme équivalente ou supérieure.</w:t>
      </w:r>
    </w:p>
    <w:p w14:paraId="6919D6C5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Le vide juridique est interdit.</w:t>
      </w:r>
    </w:p>
    <w:p w14:paraId="1F513203" w14:textId="77777777" w:rsidR="00102694" w:rsidRPr="00102694" w:rsidRDefault="00000000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>
        <w:rPr>
          <w:rFonts w:ascii="Arial" w:hAnsi="Arial" w:cs="Arial"/>
          <w:b/>
          <w:bCs/>
          <w:sz w:val="24"/>
          <w:szCs w:val="24"/>
          <w:lang w:val="fr-CA"/>
        </w:rPr>
        <w:pict w14:anchorId="21DD98C4">
          <v:rect id="_x0000_i1031" style="width:0;height:1.5pt" o:hralign="center" o:hrstd="t" o:hr="t" fillcolor="#a0a0a0" stroked="f"/>
        </w:pict>
      </w:r>
    </w:p>
    <w:p w14:paraId="08F86CE4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6 — Supériorité constitutionnelle immédiate</w:t>
      </w:r>
    </w:p>
    <w:p w14:paraId="3D762B77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lastRenderedPageBreak/>
        <w:t>Dès l’entrée en vigueur de la transition, la Constitution du Québec souverain prévaut sur toute norme incompatible.</w:t>
      </w:r>
    </w:p>
    <w:p w14:paraId="796E3664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Les normes incompatibles deviennent inapplicables de plein droit.</w:t>
      </w:r>
    </w:p>
    <w:p w14:paraId="14298315" w14:textId="77777777" w:rsidR="00102694" w:rsidRPr="00102694" w:rsidRDefault="00000000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>
        <w:rPr>
          <w:rFonts w:ascii="Arial" w:hAnsi="Arial" w:cs="Arial"/>
          <w:b/>
          <w:bCs/>
          <w:sz w:val="24"/>
          <w:szCs w:val="24"/>
          <w:lang w:val="fr-CA"/>
        </w:rPr>
        <w:pict w14:anchorId="4D3A6128">
          <v:rect id="_x0000_i1032" style="width:0;height:1.5pt" o:hralign="center" o:hrstd="t" o:hr="t" fillcolor="#a0a0a0" stroked="f"/>
        </w:pict>
      </w:r>
    </w:p>
    <w:p w14:paraId="17966DB6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7 — Interdiction de l’état d’exception transitoire</w:t>
      </w:r>
    </w:p>
    <w:p w14:paraId="00FB919F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La transition ne peut servir de prétexte à l’instauration :</w:t>
      </w:r>
    </w:p>
    <w:p w14:paraId="4E0E4492" w14:textId="77777777" w:rsidR="00102694" w:rsidRPr="00102694" w:rsidRDefault="00102694" w:rsidP="00102694">
      <w:pPr>
        <w:numPr>
          <w:ilvl w:val="0"/>
          <w:numId w:val="101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d’un régime d’exception permanent,</w:t>
      </w:r>
    </w:p>
    <w:p w14:paraId="14697DA5" w14:textId="77777777" w:rsidR="00102694" w:rsidRPr="00102694" w:rsidRDefault="00102694" w:rsidP="00102694">
      <w:pPr>
        <w:numPr>
          <w:ilvl w:val="0"/>
          <w:numId w:val="101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d’une gouvernance par décret,</w:t>
      </w:r>
    </w:p>
    <w:p w14:paraId="2E05D166" w14:textId="77777777" w:rsidR="00102694" w:rsidRPr="00102694" w:rsidRDefault="00102694" w:rsidP="00102694">
      <w:pPr>
        <w:numPr>
          <w:ilvl w:val="0"/>
          <w:numId w:val="101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d’une suspension indéfinie des mécanismes démocratiques.</w:t>
      </w:r>
    </w:p>
    <w:p w14:paraId="303F0136" w14:textId="77777777" w:rsidR="00102694" w:rsidRPr="00102694" w:rsidRDefault="00000000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>
        <w:rPr>
          <w:rFonts w:ascii="Arial" w:hAnsi="Arial" w:cs="Arial"/>
          <w:b/>
          <w:bCs/>
          <w:sz w:val="24"/>
          <w:szCs w:val="24"/>
          <w:lang w:val="fr-CA"/>
        </w:rPr>
        <w:pict w14:anchorId="53AE2016">
          <v:rect id="_x0000_i1033" style="width:0;height:1.5pt" o:hralign="center" o:hrstd="t" o:hr="t" fillcolor="#a0a0a0" stroked="f"/>
        </w:pict>
      </w:r>
    </w:p>
    <w:p w14:paraId="7C1E2F35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8 — Neutralité idéologique de l’État transitoire</w:t>
      </w:r>
    </w:p>
    <w:p w14:paraId="2D06061B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L’État transitoire agit exclusivement pour :</w:t>
      </w:r>
    </w:p>
    <w:p w14:paraId="5B250B67" w14:textId="77777777" w:rsidR="00102694" w:rsidRPr="00102694" w:rsidRDefault="00102694" w:rsidP="00102694">
      <w:pPr>
        <w:numPr>
          <w:ilvl w:val="0"/>
          <w:numId w:val="102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appliquer la Constitution,</w:t>
      </w:r>
    </w:p>
    <w:p w14:paraId="37336734" w14:textId="77777777" w:rsidR="00102694" w:rsidRPr="00102694" w:rsidRDefault="00102694" w:rsidP="00102694">
      <w:pPr>
        <w:numPr>
          <w:ilvl w:val="0"/>
          <w:numId w:val="102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protéger la population,</w:t>
      </w:r>
    </w:p>
    <w:p w14:paraId="4A0B083D" w14:textId="77777777" w:rsidR="00102694" w:rsidRPr="00102694" w:rsidRDefault="00102694" w:rsidP="00102694">
      <w:pPr>
        <w:numPr>
          <w:ilvl w:val="0"/>
          <w:numId w:val="102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préparer les institutions définitives.</w:t>
      </w:r>
    </w:p>
    <w:p w14:paraId="2447D78A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Toute instrumentalisation idéologique est interdite.</w:t>
      </w:r>
    </w:p>
    <w:p w14:paraId="732498A1" w14:textId="77777777" w:rsidR="00102694" w:rsidRPr="00102694" w:rsidRDefault="00000000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>
        <w:rPr>
          <w:rFonts w:ascii="Arial" w:hAnsi="Arial" w:cs="Arial"/>
          <w:b/>
          <w:bCs/>
          <w:sz w:val="24"/>
          <w:szCs w:val="24"/>
          <w:lang w:val="fr-CA"/>
        </w:rPr>
        <w:pict w14:anchorId="5A11BCB0">
          <v:rect id="_x0000_i1034" style="width:0;height:1.5pt" o:hralign="center" o:hrstd="t" o:hr="t" fillcolor="#a0a0a0" stroked="f"/>
        </w:pict>
      </w:r>
    </w:p>
    <w:p w14:paraId="5E004DF9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9 — Transparence intégrale</w:t>
      </w:r>
    </w:p>
    <w:p w14:paraId="4CBC4277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Toute décision transitoire est :</w:t>
      </w:r>
    </w:p>
    <w:p w14:paraId="6D4EB67B" w14:textId="77777777" w:rsidR="00102694" w:rsidRPr="00102694" w:rsidRDefault="00102694" w:rsidP="00102694">
      <w:pPr>
        <w:numPr>
          <w:ilvl w:val="0"/>
          <w:numId w:val="103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motivée,</w:t>
      </w:r>
    </w:p>
    <w:p w14:paraId="7FBB720F" w14:textId="77777777" w:rsidR="00102694" w:rsidRPr="00102694" w:rsidRDefault="00102694" w:rsidP="00102694">
      <w:pPr>
        <w:numPr>
          <w:ilvl w:val="0"/>
          <w:numId w:val="103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documentée,</w:t>
      </w:r>
    </w:p>
    <w:p w14:paraId="5513A082" w14:textId="77777777" w:rsidR="00102694" w:rsidRPr="00102694" w:rsidRDefault="00102694" w:rsidP="00102694">
      <w:pPr>
        <w:numPr>
          <w:ilvl w:val="0"/>
          <w:numId w:val="103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rendue publique,</w:t>
      </w:r>
      <w:r w:rsidRPr="00102694">
        <w:rPr>
          <w:rFonts w:ascii="Arial" w:hAnsi="Arial" w:cs="Arial"/>
          <w:b/>
          <w:bCs/>
          <w:sz w:val="24"/>
          <w:szCs w:val="24"/>
          <w:lang w:val="fr-CA"/>
        </w:rPr>
        <w:br/>
        <w:t>sauf risque immédiat pour la sécurité des personnes.</w:t>
      </w:r>
    </w:p>
    <w:p w14:paraId="6D018D31" w14:textId="77777777" w:rsidR="00102694" w:rsidRPr="00102694" w:rsidRDefault="00000000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>
        <w:rPr>
          <w:rFonts w:ascii="Arial" w:hAnsi="Arial" w:cs="Arial"/>
          <w:b/>
          <w:bCs/>
          <w:sz w:val="24"/>
          <w:szCs w:val="24"/>
          <w:lang w:val="fr-CA"/>
        </w:rPr>
        <w:pict w14:anchorId="75809DD3">
          <v:rect id="_x0000_i1035" style="width:0;height:1.5pt" o:hralign="center" o:hrstd="t" o:hr="t" fillcolor="#a0a0a0" stroked="f"/>
        </w:pict>
      </w:r>
    </w:p>
    <w:p w14:paraId="6F927534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10 — Responsabilité personnelle</w:t>
      </w:r>
    </w:p>
    <w:p w14:paraId="60A73503" w14:textId="77777777" w:rsidR="00102694" w:rsidRPr="00102694" w:rsidRDefault="00102694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lastRenderedPageBreak/>
        <w:t>Les responsables de la transition engagent leur responsabilité personnelle en cas :</w:t>
      </w:r>
    </w:p>
    <w:p w14:paraId="09A9AE4D" w14:textId="77777777" w:rsidR="00102694" w:rsidRPr="00102694" w:rsidRDefault="00102694" w:rsidP="00102694">
      <w:pPr>
        <w:numPr>
          <w:ilvl w:val="0"/>
          <w:numId w:val="104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d’abus,</w:t>
      </w:r>
    </w:p>
    <w:p w14:paraId="4D907D43" w14:textId="77777777" w:rsidR="00102694" w:rsidRPr="00102694" w:rsidRDefault="00102694" w:rsidP="00102694">
      <w:pPr>
        <w:numPr>
          <w:ilvl w:val="0"/>
          <w:numId w:val="104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de dissimulation,</w:t>
      </w:r>
    </w:p>
    <w:p w14:paraId="3B226382" w14:textId="77777777" w:rsidR="00102694" w:rsidRPr="00102694" w:rsidRDefault="00102694" w:rsidP="00102694">
      <w:pPr>
        <w:numPr>
          <w:ilvl w:val="0"/>
          <w:numId w:val="104"/>
        </w:numPr>
        <w:rPr>
          <w:rFonts w:ascii="Arial" w:hAnsi="Arial" w:cs="Arial"/>
          <w:b/>
          <w:bCs/>
          <w:sz w:val="24"/>
          <w:szCs w:val="24"/>
          <w:lang w:val="fr-CA"/>
        </w:rPr>
      </w:pPr>
      <w:r w:rsidRPr="00102694">
        <w:rPr>
          <w:rFonts w:ascii="Arial" w:hAnsi="Arial" w:cs="Arial"/>
          <w:b/>
          <w:bCs/>
          <w:sz w:val="24"/>
          <w:szCs w:val="24"/>
          <w:lang w:val="fr-CA"/>
        </w:rPr>
        <w:t>de contournement constitutionnel.</w:t>
      </w:r>
    </w:p>
    <w:p w14:paraId="315048D8" w14:textId="77777777" w:rsidR="00D460CD" w:rsidRDefault="00000000" w:rsidP="00102694">
      <w:pPr>
        <w:rPr>
          <w:rFonts w:ascii="Arial" w:hAnsi="Arial" w:cs="Arial"/>
          <w:b/>
          <w:bCs/>
          <w:sz w:val="24"/>
          <w:szCs w:val="24"/>
          <w:lang w:val="fr-CA"/>
        </w:rPr>
      </w:pPr>
      <w:r>
        <w:rPr>
          <w:rFonts w:ascii="Arial" w:hAnsi="Arial" w:cs="Arial"/>
          <w:b/>
          <w:bCs/>
          <w:sz w:val="24"/>
          <w:szCs w:val="24"/>
          <w:lang w:val="fr-CA"/>
        </w:rPr>
        <w:pict w14:anchorId="6233AB73">
          <v:rect id="_x0000_i1036" style="width:0;height:1.5pt" o:hralign="center" o:hrstd="t" o:hr="t" fillcolor="#a0a0a0" stroked="f"/>
        </w:pict>
      </w:r>
    </w:p>
    <w:p w14:paraId="70075F68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FB6988">
        <w:rPr>
          <w:rFonts w:ascii="Arial" w:hAnsi="Arial" w:cs="Arial"/>
          <w:b/>
          <w:bCs/>
          <w:sz w:val="24"/>
          <w:szCs w:val="24"/>
          <w:lang w:val="fr-CA"/>
        </w:rPr>
        <w:t>LIVRE II</w:t>
      </w:r>
    </w:p>
    <w:p w14:paraId="65E409EC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FB6988">
        <w:rPr>
          <w:rFonts w:ascii="Arial" w:hAnsi="Arial" w:cs="Arial"/>
          <w:b/>
          <w:bCs/>
          <w:sz w:val="24"/>
          <w:szCs w:val="24"/>
          <w:lang w:val="fr-CA"/>
        </w:rPr>
        <w:t>DES INSTITUTIONS TRANSITOIRES ET DE LEURS LIMITES</w:t>
      </w:r>
    </w:p>
    <w:p w14:paraId="785D875C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11 — Autorité de transition constitutionnelle</w:t>
      </w:r>
    </w:p>
    <w:p w14:paraId="371ED274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Une Autorité de transition constitutionnelle (ATC) est instituée.</w:t>
      </w:r>
    </w:p>
    <w:p w14:paraId="347C73B3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Elle a pour mission exclusive :</w:t>
      </w:r>
    </w:p>
    <w:p w14:paraId="256F5F6A" w14:textId="77777777" w:rsidR="00FB6988" w:rsidRPr="00FB6988" w:rsidRDefault="00FB6988" w:rsidP="00FB6988">
      <w:pPr>
        <w:numPr>
          <w:ilvl w:val="0"/>
          <w:numId w:val="105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d’assurer l’application progressive de la Constitution ;</w:t>
      </w:r>
    </w:p>
    <w:p w14:paraId="3CAC20A0" w14:textId="77777777" w:rsidR="00FB6988" w:rsidRPr="00FB6988" w:rsidRDefault="00FB6988" w:rsidP="00FB6988">
      <w:pPr>
        <w:numPr>
          <w:ilvl w:val="0"/>
          <w:numId w:val="105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de coordonner la continuité des services ;</w:t>
      </w:r>
    </w:p>
    <w:p w14:paraId="326C8007" w14:textId="77777777" w:rsidR="00FB6988" w:rsidRPr="00FB6988" w:rsidRDefault="00FB6988" w:rsidP="00FB6988">
      <w:pPr>
        <w:numPr>
          <w:ilvl w:val="0"/>
          <w:numId w:val="105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de préparer la mise en place des institutions définitives.</w:t>
      </w:r>
    </w:p>
    <w:p w14:paraId="07786796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73454818">
          <v:rect id="_x0000_i1037" style="width:0;height:1.5pt" o:hralign="center" o:hrstd="t" o:hr="t" fillcolor="#a0a0a0" stroked="f"/>
        </w:pict>
      </w:r>
    </w:p>
    <w:p w14:paraId="312A8D35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12 — Caractère temporaire strict</w:t>
      </w:r>
    </w:p>
    <w:p w14:paraId="4877E812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L’ATC est strictement temporaire.</w:t>
      </w:r>
    </w:p>
    <w:p w14:paraId="3B0ECEC2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Sa durée maximale est fixée par la Constitution et ne peut être prolongée que par consultation populaire.</w:t>
      </w:r>
    </w:p>
    <w:p w14:paraId="421EC89C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43EBC172">
          <v:rect id="_x0000_i1038" style="width:0;height:1.5pt" o:hralign="center" o:hrstd="t" o:hr="t" fillcolor="#a0a0a0" stroked="f"/>
        </w:pict>
      </w:r>
    </w:p>
    <w:p w14:paraId="3202E43C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13 — Compétence limitée</w:t>
      </w:r>
    </w:p>
    <w:p w14:paraId="33FAAA4A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L’ATC ne peut :</w:t>
      </w:r>
    </w:p>
    <w:p w14:paraId="3263A037" w14:textId="77777777" w:rsidR="00FB6988" w:rsidRPr="00FB6988" w:rsidRDefault="00FB6988" w:rsidP="00FB6988">
      <w:pPr>
        <w:numPr>
          <w:ilvl w:val="0"/>
          <w:numId w:val="106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modifier la Constitution ;</w:t>
      </w:r>
    </w:p>
    <w:p w14:paraId="330634D3" w14:textId="77777777" w:rsidR="00FB6988" w:rsidRPr="00FB6988" w:rsidRDefault="00FB6988" w:rsidP="00FB6988">
      <w:pPr>
        <w:numPr>
          <w:ilvl w:val="0"/>
          <w:numId w:val="106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créer de nouveaux droits ;</w:t>
      </w:r>
    </w:p>
    <w:p w14:paraId="10254A23" w14:textId="77777777" w:rsidR="00FB6988" w:rsidRPr="00FB6988" w:rsidRDefault="00FB6988" w:rsidP="00FB6988">
      <w:pPr>
        <w:numPr>
          <w:ilvl w:val="0"/>
          <w:numId w:val="106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restreindre des libertés ;</w:t>
      </w:r>
    </w:p>
    <w:p w14:paraId="0199DF22" w14:textId="77777777" w:rsidR="00FB6988" w:rsidRPr="00FB6988" w:rsidRDefault="00FB6988" w:rsidP="00FB6988">
      <w:pPr>
        <w:numPr>
          <w:ilvl w:val="0"/>
          <w:numId w:val="106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conclure des engagements irréversibles.</w:t>
      </w:r>
    </w:p>
    <w:p w14:paraId="0711DA98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lastRenderedPageBreak/>
        <w:pict w14:anchorId="46690EA7">
          <v:rect id="_x0000_i1039" style="width:0;height:1.5pt" o:hralign="center" o:hrstd="t" o:hr="t" fillcolor="#a0a0a0" stroked="f"/>
        </w:pict>
      </w:r>
    </w:p>
    <w:p w14:paraId="52FBB862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14 — Interdiction de concentration du pouvoir</w:t>
      </w:r>
    </w:p>
    <w:p w14:paraId="1DDD71AA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Aucun membre de l’ATC ne peut cumuler :</w:t>
      </w:r>
    </w:p>
    <w:p w14:paraId="535E51AF" w14:textId="77777777" w:rsidR="00FB6988" w:rsidRPr="00FB6988" w:rsidRDefault="00FB6988" w:rsidP="00FB6988">
      <w:pPr>
        <w:numPr>
          <w:ilvl w:val="0"/>
          <w:numId w:val="107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fonctions exécutives ;</w:t>
      </w:r>
    </w:p>
    <w:p w14:paraId="647098FD" w14:textId="77777777" w:rsidR="00FB6988" w:rsidRPr="00FB6988" w:rsidRDefault="00FB6988" w:rsidP="00FB6988">
      <w:pPr>
        <w:numPr>
          <w:ilvl w:val="0"/>
          <w:numId w:val="107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fonctions législatives ;</w:t>
      </w:r>
    </w:p>
    <w:p w14:paraId="4EAA09C3" w14:textId="77777777" w:rsidR="00FB6988" w:rsidRPr="00FB6988" w:rsidRDefault="00FB6988" w:rsidP="00FB6988">
      <w:pPr>
        <w:numPr>
          <w:ilvl w:val="0"/>
          <w:numId w:val="107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fonctions judiciaires.</w:t>
      </w:r>
    </w:p>
    <w:p w14:paraId="6C454E3C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La séparation des pouvoirs demeure effective.</w:t>
      </w:r>
    </w:p>
    <w:p w14:paraId="39D7502E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4763E726">
          <v:rect id="_x0000_i1040" style="width:0;height:1.5pt" o:hralign="center" o:hrstd="t" o:hr="t" fillcolor="#a0a0a0" stroked="f"/>
        </w:pict>
      </w:r>
    </w:p>
    <w:p w14:paraId="142BBC45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15 — Composition pluraliste</w:t>
      </w:r>
    </w:p>
    <w:p w14:paraId="6CE26873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La composition de l’ATC doit assurer :</w:t>
      </w:r>
    </w:p>
    <w:p w14:paraId="44CDE542" w14:textId="77777777" w:rsidR="00FB6988" w:rsidRPr="00FB6988" w:rsidRDefault="00FB6988" w:rsidP="00FB6988">
      <w:pPr>
        <w:numPr>
          <w:ilvl w:val="0"/>
          <w:numId w:val="108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pluralité des points de vue ;</w:t>
      </w:r>
    </w:p>
    <w:p w14:paraId="29E0FAF5" w14:textId="77777777" w:rsidR="00FB6988" w:rsidRPr="00FB6988" w:rsidRDefault="00FB6988" w:rsidP="00FB6988">
      <w:pPr>
        <w:numPr>
          <w:ilvl w:val="0"/>
          <w:numId w:val="108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compétence démontrée ;</w:t>
      </w:r>
    </w:p>
    <w:p w14:paraId="370844A6" w14:textId="77777777" w:rsidR="00FB6988" w:rsidRPr="00FB6988" w:rsidRDefault="00FB6988" w:rsidP="00FB6988">
      <w:pPr>
        <w:numPr>
          <w:ilvl w:val="0"/>
          <w:numId w:val="108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absence de conflit d’intérêts.</w:t>
      </w:r>
    </w:p>
    <w:p w14:paraId="533E5E42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Toute affiliation à des intérêts étrangers ou supranationaux est interdite.</w:t>
      </w:r>
    </w:p>
    <w:p w14:paraId="1AB2EE88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5EA76569">
          <v:rect id="_x0000_i1041" style="width:0;height:1.5pt" o:hralign="center" o:hrstd="t" o:hr="t" fillcolor="#a0a0a0" stroked="f"/>
        </w:pict>
      </w:r>
    </w:p>
    <w:p w14:paraId="5D75A81A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16 — Contrôle permanent</w:t>
      </w:r>
    </w:p>
    <w:p w14:paraId="05BEDF57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L’ATC est soumise :</w:t>
      </w:r>
    </w:p>
    <w:p w14:paraId="068AC3AE" w14:textId="77777777" w:rsidR="00FB6988" w:rsidRPr="00FB6988" w:rsidRDefault="00FB6988" w:rsidP="00FB6988">
      <w:pPr>
        <w:numPr>
          <w:ilvl w:val="0"/>
          <w:numId w:val="109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à un contrôle parlementaire renforcé ;</w:t>
      </w:r>
    </w:p>
    <w:p w14:paraId="1481B119" w14:textId="77777777" w:rsidR="00FB6988" w:rsidRPr="00FB6988" w:rsidRDefault="00FB6988" w:rsidP="00FB6988">
      <w:pPr>
        <w:numPr>
          <w:ilvl w:val="0"/>
          <w:numId w:val="109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à un contrôle judiciaire permanent ;</w:t>
      </w:r>
    </w:p>
    <w:p w14:paraId="4E73B91D" w14:textId="77777777" w:rsidR="00FB6988" w:rsidRPr="00FB6988" w:rsidRDefault="00FB6988" w:rsidP="00FB6988">
      <w:pPr>
        <w:numPr>
          <w:ilvl w:val="0"/>
          <w:numId w:val="109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à un mécanisme de contrôle citoyen.</w:t>
      </w:r>
    </w:p>
    <w:p w14:paraId="48916DBE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56EA475B">
          <v:rect id="_x0000_i1042" style="width:0;height:1.5pt" o:hralign="center" o:hrstd="t" o:hr="t" fillcolor="#a0a0a0" stroked="f"/>
        </w:pict>
      </w:r>
    </w:p>
    <w:p w14:paraId="0E2BF48F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17 — Transparence des travaux</w:t>
      </w:r>
    </w:p>
    <w:p w14:paraId="4751BFF4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délibérations, décisions et documents de l’ATC sont publics par défaut.</w:t>
      </w:r>
    </w:p>
    <w:p w14:paraId="263DE1B6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Toute exception doit être strictement justifiée.</w:t>
      </w:r>
    </w:p>
    <w:p w14:paraId="2F08D670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74C06292">
          <v:rect id="_x0000_i1043" style="width:0;height:1.5pt" o:hralign="center" o:hrstd="t" o:hr="t" fillcolor="#a0a0a0" stroked="f"/>
        </w:pict>
      </w:r>
    </w:p>
    <w:p w14:paraId="01175FEE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lastRenderedPageBreak/>
        <w:t>Article 18 — Responsabilité individuelle</w:t>
      </w:r>
    </w:p>
    <w:p w14:paraId="78C7EDBF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Chaque membre de l’ATC engage sa responsabilité personnelle pour ses décisions.</w:t>
      </w:r>
    </w:p>
    <w:p w14:paraId="28F8B2BF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Aucune immunité générale n’est accordée.</w:t>
      </w:r>
    </w:p>
    <w:p w14:paraId="67EE203A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13926631">
          <v:rect id="_x0000_i1044" style="width:0;height:1.5pt" o:hralign="center" o:hrstd="t" o:hr="t" fillcolor="#a0a0a0" stroked="f"/>
        </w:pict>
      </w:r>
    </w:p>
    <w:p w14:paraId="35573EEB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19 — Interdiction de captation</w:t>
      </w:r>
    </w:p>
    <w:p w14:paraId="6F157BC9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Il est interdit à toute entité privée, multinationale, organisation idéologique ou puissance étrangère d’influencer l’ATC.</w:t>
      </w:r>
    </w:p>
    <w:p w14:paraId="263AB3A0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Toute tentative entraîne des sanctions immédiates.</w:t>
      </w:r>
    </w:p>
    <w:p w14:paraId="3509C04A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72670FAF">
          <v:rect id="_x0000_i1045" style="width:0;height:1.5pt" o:hralign="center" o:hrstd="t" o:hr="t" fillcolor="#a0a0a0" stroked="f"/>
        </w:pict>
      </w:r>
    </w:p>
    <w:p w14:paraId="5222B571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20 — Dissolution automatique</w:t>
      </w:r>
    </w:p>
    <w:p w14:paraId="189792BC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L’ATC est dissoute de plein droit à la fin de la transition constitutionnelle.</w:t>
      </w:r>
    </w:p>
    <w:p w14:paraId="09E4F23E" w14:textId="77777777" w:rsidR="00102694" w:rsidRDefault="00000000" w:rsidP="00102694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76D19B04">
          <v:rect id="_x0000_i1046" style="width:0;height:1.5pt" o:hralign="center" o:hrstd="t" o:hr="t" fillcolor="#a0a0a0" stroked="f"/>
        </w:pict>
      </w:r>
    </w:p>
    <w:p w14:paraId="2F2DF3FD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FB6988">
        <w:rPr>
          <w:rFonts w:ascii="Arial" w:hAnsi="Arial" w:cs="Arial"/>
          <w:b/>
          <w:bCs/>
          <w:sz w:val="24"/>
          <w:szCs w:val="24"/>
          <w:lang w:val="fr-CA"/>
        </w:rPr>
        <w:t>LIVRE III</w:t>
      </w:r>
    </w:p>
    <w:p w14:paraId="10F604FC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FB6988">
        <w:rPr>
          <w:rFonts w:ascii="Arial" w:hAnsi="Arial" w:cs="Arial"/>
          <w:b/>
          <w:bCs/>
          <w:sz w:val="24"/>
          <w:szCs w:val="24"/>
          <w:lang w:val="fr-CA"/>
        </w:rPr>
        <w:t>DE LA TRANSITION JURIDIQUE, DES NORMES ET DE LA SÉCURITÉ DES DROITS</w:t>
      </w:r>
    </w:p>
    <w:p w14:paraId="4929E361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21 — Audit juridique intégral</w:t>
      </w:r>
    </w:p>
    <w:p w14:paraId="6704E40A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Dès l’ouverture de la transition, un audit juridique intégral est déclenché sur :</w:t>
      </w:r>
    </w:p>
    <w:p w14:paraId="41AD51BD" w14:textId="77777777" w:rsidR="00FB6988" w:rsidRPr="00FB6988" w:rsidRDefault="00FB6988" w:rsidP="00FB6988">
      <w:pPr>
        <w:numPr>
          <w:ilvl w:val="0"/>
          <w:numId w:val="110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l’ensemble des lois en vigueur ;</w:t>
      </w:r>
    </w:p>
    <w:p w14:paraId="31258E09" w14:textId="77777777" w:rsidR="00FB6988" w:rsidRPr="00FB6988" w:rsidRDefault="00FB6988" w:rsidP="00FB6988">
      <w:pPr>
        <w:numPr>
          <w:ilvl w:val="0"/>
          <w:numId w:val="110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règlements ;</w:t>
      </w:r>
    </w:p>
    <w:p w14:paraId="08C6C8F6" w14:textId="77777777" w:rsidR="00FB6988" w:rsidRPr="00FB6988" w:rsidRDefault="00FB6988" w:rsidP="00FB6988">
      <w:pPr>
        <w:numPr>
          <w:ilvl w:val="0"/>
          <w:numId w:val="110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contrats publics ;</w:t>
      </w:r>
    </w:p>
    <w:p w14:paraId="4D18491A" w14:textId="77777777" w:rsidR="00FB6988" w:rsidRPr="00FB6988" w:rsidRDefault="00FB6988" w:rsidP="00FB6988">
      <w:pPr>
        <w:numPr>
          <w:ilvl w:val="0"/>
          <w:numId w:val="110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engagements administratifs.</w:t>
      </w:r>
    </w:p>
    <w:p w14:paraId="37B94C14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L’audit vise à identifier toute incompatibilité avec la Constitution.</w:t>
      </w:r>
    </w:p>
    <w:p w14:paraId="5AA868BD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6234DEC3">
          <v:rect id="_x0000_i1047" style="width:0;height:1.5pt" o:hralign="center" o:hrstd="t" o:hr="t" fillcolor="#a0a0a0" stroked="f"/>
        </w:pict>
      </w:r>
    </w:p>
    <w:p w14:paraId="09C713D3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22 — Principe de continuité contrôlée</w:t>
      </w:r>
    </w:p>
    <w:p w14:paraId="35502E1D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normes existantes continuent de s’appliquer tant qu’elles ne sont pas déclarées incompatibles ou remplacées.</w:t>
      </w:r>
    </w:p>
    <w:p w14:paraId="6005EBAB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lastRenderedPageBreak/>
        <w:t>Toute abrogation sans remplacement équivalent est interdite.</w:t>
      </w:r>
    </w:p>
    <w:p w14:paraId="5E2EF6DB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2152D7DA">
          <v:rect id="_x0000_i1048" style="width:0;height:1.5pt" o:hralign="center" o:hrstd="t" o:hr="t" fillcolor="#a0a0a0" stroked="f"/>
        </w:pict>
      </w:r>
    </w:p>
    <w:p w14:paraId="4AC11370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23 — Abrogation ciblée et motivée</w:t>
      </w:r>
    </w:p>
    <w:p w14:paraId="6C138E65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Toute abrogation doit être :</w:t>
      </w:r>
    </w:p>
    <w:p w14:paraId="454AA94F" w14:textId="77777777" w:rsidR="00FB6988" w:rsidRPr="00FB6988" w:rsidRDefault="00FB6988" w:rsidP="00FB6988">
      <w:pPr>
        <w:numPr>
          <w:ilvl w:val="0"/>
          <w:numId w:val="111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ciblée ;</w:t>
      </w:r>
    </w:p>
    <w:p w14:paraId="5C4E15D6" w14:textId="77777777" w:rsidR="00FB6988" w:rsidRPr="00FB6988" w:rsidRDefault="00FB6988" w:rsidP="00FB6988">
      <w:pPr>
        <w:numPr>
          <w:ilvl w:val="0"/>
          <w:numId w:val="111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motivée par écrit ;</w:t>
      </w:r>
    </w:p>
    <w:p w14:paraId="3AA8A04A" w14:textId="77777777" w:rsidR="00FB6988" w:rsidRPr="00FB6988" w:rsidRDefault="00FB6988" w:rsidP="00FB6988">
      <w:pPr>
        <w:numPr>
          <w:ilvl w:val="0"/>
          <w:numId w:val="111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accompagnée d’une norme de remplacement.</w:t>
      </w:r>
    </w:p>
    <w:p w14:paraId="7219FFC9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022F8716">
          <v:rect id="_x0000_i1049" style="width:0;height:1.5pt" o:hralign="center" o:hrstd="t" o:hr="t" fillcolor="#a0a0a0" stroked="f"/>
        </w:pict>
      </w:r>
    </w:p>
    <w:p w14:paraId="6A76B81B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24 — Interdiction de rétroactivité défavorable</w:t>
      </w:r>
    </w:p>
    <w:p w14:paraId="6781C7D6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Aucune mesure transitoire ne peut produire d’effet rétroactif défavorable aux citoyens.</w:t>
      </w:r>
    </w:p>
    <w:p w14:paraId="78DC4963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La sécurité juridique est garantie.</w:t>
      </w:r>
    </w:p>
    <w:p w14:paraId="35F84357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745E1601">
          <v:rect id="_x0000_i1050" style="width:0;height:1.5pt" o:hralign="center" o:hrstd="t" o:hr="t" fillcolor="#a0a0a0" stroked="f"/>
        </w:pict>
      </w:r>
    </w:p>
    <w:p w14:paraId="103C3B7F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25 — Protection des contrats légitimes</w:t>
      </w:r>
    </w:p>
    <w:p w14:paraId="71C33746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contrats légitimes conclus de bonne foi sont respectés.</w:t>
      </w:r>
    </w:p>
    <w:p w14:paraId="692C64D9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contrats abusifs, opaques ou contraires à l’intérêt public peuvent être révisés ou résiliés sans pénalité pour l’État.</w:t>
      </w:r>
    </w:p>
    <w:p w14:paraId="6725D2BD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587F1B5A">
          <v:rect id="_x0000_i1051" style="width:0;height:1.5pt" o:hralign="center" o:hrstd="t" o:hr="t" fillcolor="#a0a0a0" stroked="f"/>
        </w:pict>
      </w:r>
    </w:p>
    <w:p w14:paraId="31128ACE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26 — Continuité judiciaire</w:t>
      </w:r>
    </w:p>
    <w:p w14:paraId="2F63DB20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tribunaux demeurent opérationnels sans interruption.</w:t>
      </w:r>
    </w:p>
    <w:p w14:paraId="24DA2FBF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procédures en cours sont maintenues selon des règles adaptées, sans déni de justice.</w:t>
      </w:r>
    </w:p>
    <w:p w14:paraId="6166730C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1F492756">
          <v:rect id="_x0000_i1052" style="width:0;height:1.5pt" o:hralign="center" o:hrstd="t" o:hr="t" fillcolor="#a0a0a0" stroked="f"/>
        </w:pict>
      </w:r>
    </w:p>
    <w:p w14:paraId="32588A32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27 — Harmonisation normative</w:t>
      </w:r>
    </w:p>
    <w:p w14:paraId="09BA7D27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normes transitoires doivent être harmonisées progressivement avec :</w:t>
      </w:r>
    </w:p>
    <w:p w14:paraId="5260049A" w14:textId="77777777" w:rsidR="00FB6988" w:rsidRPr="00FB6988" w:rsidRDefault="00FB6988" w:rsidP="00FB6988">
      <w:pPr>
        <w:numPr>
          <w:ilvl w:val="0"/>
          <w:numId w:val="112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la Constitution ;</w:t>
      </w:r>
    </w:p>
    <w:p w14:paraId="489D7411" w14:textId="77777777" w:rsidR="00FB6988" w:rsidRPr="00FB6988" w:rsidRDefault="00FB6988" w:rsidP="00FB6988">
      <w:pPr>
        <w:numPr>
          <w:ilvl w:val="0"/>
          <w:numId w:val="112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lastRenderedPageBreak/>
        <w:t>les lois organiques ;</w:t>
      </w:r>
    </w:p>
    <w:p w14:paraId="5B7A8E22" w14:textId="77777777" w:rsidR="00FB6988" w:rsidRPr="00FB6988" w:rsidRDefault="00FB6988" w:rsidP="00FB6988">
      <w:pPr>
        <w:numPr>
          <w:ilvl w:val="0"/>
          <w:numId w:val="112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lois ordinaires ;</w:t>
      </w:r>
    </w:p>
    <w:p w14:paraId="07ABA604" w14:textId="77777777" w:rsidR="00FB6988" w:rsidRPr="00FB6988" w:rsidRDefault="00FB6988" w:rsidP="00FB6988">
      <w:pPr>
        <w:numPr>
          <w:ilvl w:val="0"/>
          <w:numId w:val="112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lois administratives.</w:t>
      </w:r>
    </w:p>
    <w:p w14:paraId="5F0C9E00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5476C756">
          <v:rect id="_x0000_i1053" style="width:0;height:1.5pt" o:hralign="center" o:hrstd="t" o:hr="t" fillcolor="#a0a0a0" stroked="f"/>
        </w:pict>
      </w:r>
    </w:p>
    <w:p w14:paraId="021648D6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28 — Publication obligatoire</w:t>
      </w:r>
    </w:p>
    <w:p w14:paraId="2BF4DD42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Toute modification normative transitoire est publiée immédiatement et accessible au public.</w:t>
      </w:r>
    </w:p>
    <w:p w14:paraId="6BD90A90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6BCA17D0">
          <v:rect id="_x0000_i1054" style="width:0;height:1.5pt" o:hralign="center" o:hrstd="t" o:hr="t" fillcolor="#a0a0a0" stroked="f"/>
        </w:pict>
      </w:r>
    </w:p>
    <w:p w14:paraId="00772223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29 — Droit au recours transitoire</w:t>
      </w:r>
    </w:p>
    <w:p w14:paraId="75655AE0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citoyens disposent de recours effectifs contre toute décision transitoire affectant leurs droits.</w:t>
      </w:r>
    </w:p>
    <w:p w14:paraId="4C5C2C20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43008424">
          <v:rect id="_x0000_i1055" style="width:0;height:1.5pt" o:hralign="center" o:hrstd="t" o:hr="t" fillcolor="#a0a0a0" stroked="f"/>
        </w:pict>
      </w:r>
    </w:p>
    <w:p w14:paraId="0715AA76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30 — Responsabilité juridique transitoire</w:t>
      </w:r>
    </w:p>
    <w:p w14:paraId="65391462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décideurs transitoires engagent leur responsabilité personnelle en cas de violation des droits ou de la Constitution.</w:t>
      </w:r>
    </w:p>
    <w:p w14:paraId="59CFD130" w14:textId="77777777" w:rsidR="00FB6988" w:rsidRDefault="00000000" w:rsidP="00102694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05DA4368">
          <v:rect id="_x0000_i1056" style="width:0;height:1.5pt" o:hralign="center" o:hrstd="t" o:hr="t" fillcolor="#a0a0a0" stroked="f"/>
        </w:pict>
      </w:r>
    </w:p>
    <w:p w14:paraId="1498F342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FB6988">
        <w:rPr>
          <w:rFonts w:ascii="Arial" w:hAnsi="Arial" w:cs="Arial"/>
          <w:b/>
          <w:bCs/>
          <w:sz w:val="24"/>
          <w:szCs w:val="24"/>
          <w:lang w:val="fr-CA"/>
        </w:rPr>
        <w:t>LIVRE IV</w:t>
      </w:r>
    </w:p>
    <w:p w14:paraId="4AB8F621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FB6988">
        <w:rPr>
          <w:rFonts w:ascii="Arial" w:hAnsi="Arial" w:cs="Arial"/>
          <w:b/>
          <w:bCs/>
          <w:sz w:val="24"/>
          <w:szCs w:val="24"/>
          <w:lang w:val="fr-CA"/>
        </w:rPr>
        <w:t>DE LA TRANSITION ÉCONOMIQUE, FINANCIÈRE ET MONÉTAIRE</w:t>
      </w:r>
    </w:p>
    <w:p w14:paraId="34C730F2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31 — Principe de stabilité économique</w:t>
      </w:r>
    </w:p>
    <w:p w14:paraId="58AD8F66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La transition constitutionnelle doit garantir la stabilité économique, la protection de l’épargne des citoyens et la continuité des échanges essentiels.</w:t>
      </w:r>
    </w:p>
    <w:p w14:paraId="156333F1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Aucune décision transitoire ne peut provoquer volontairement une crise économique.</w:t>
      </w:r>
    </w:p>
    <w:p w14:paraId="19CC7002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21589698">
          <v:rect id="_x0000_i1057" style="width:0;height:1.5pt" o:hralign="center" o:hrstd="t" o:hr="t" fillcolor="#a0a0a0" stroked="f"/>
        </w:pict>
      </w:r>
    </w:p>
    <w:p w14:paraId="52F1ACD4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32 — Continuité des moyens de paiement</w:t>
      </w:r>
    </w:p>
    <w:p w14:paraId="1C803262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moyens de paiement existants demeurent valides durant la transition.</w:t>
      </w:r>
    </w:p>
    <w:p w14:paraId="7D19AC9E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Toute modification monétaire est progressive, annoncée publiquement et protégée juridiquement.</w:t>
      </w:r>
    </w:p>
    <w:p w14:paraId="5D00337D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lastRenderedPageBreak/>
        <w:pict w14:anchorId="5E960654">
          <v:rect id="_x0000_i1058" style="width:0;height:1.5pt" o:hralign="center" o:hrstd="t" o:hr="t" fillcolor="#a0a0a0" stroked="f"/>
        </w:pict>
      </w:r>
    </w:p>
    <w:p w14:paraId="6BC4399E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33 — Protection des dépôts et revenus</w:t>
      </w:r>
    </w:p>
    <w:p w14:paraId="61E36239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dépôts bancaires, revenus, pensions et prestations légitimes des citoyens sont intégralement protégés.</w:t>
      </w:r>
    </w:p>
    <w:p w14:paraId="6B3C2069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Toute atteinte constitue une faute grave.</w:t>
      </w:r>
    </w:p>
    <w:p w14:paraId="7CB45813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3C7DBECD">
          <v:rect id="_x0000_i1059" style="width:0;height:1.5pt" o:hralign="center" o:hrstd="t" o:hr="t" fillcolor="#a0a0a0" stroked="f"/>
        </w:pict>
      </w:r>
    </w:p>
    <w:p w14:paraId="2DA3BB87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34 — Mise en place progressive de la banque publique</w:t>
      </w:r>
    </w:p>
    <w:p w14:paraId="7D5DEFCC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La banque publique nationale est mise en place progressivement.</w:t>
      </w:r>
    </w:p>
    <w:p w14:paraId="17C5696F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Durant la transition :</w:t>
      </w:r>
    </w:p>
    <w:p w14:paraId="0B6A98C6" w14:textId="77777777" w:rsidR="00FB6988" w:rsidRPr="00FB6988" w:rsidRDefault="00FB6988" w:rsidP="00FB6988">
      <w:pPr>
        <w:numPr>
          <w:ilvl w:val="0"/>
          <w:numId w:val="113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elle coexiste avec les institutions financières existantes ;</w:t>
      </w:r>
    </w:p>
    <w:p w14:paraId="1373A86B" w14:textId="77777777" w:rsidR="00FB6988" w:rsidRPr="00FB6988" w:rsidRDefault="00FB6988" w:rsidP="00FB6988">
      <w:pPr>
        <w:numPr>
          <w:ilvl w:val="0"/>
          <w:numId w:val="113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elle assume progressivement les fonctions de création monétaire ;</w:t>
      </w:r>
    </w:p>
    <w:p w14:paraId="5710C518" w14:textId="77777777" w:rsidR="00FB6988" w:rsidRPr="00FB6988" w:rsidRDefault="00FB6988" w:rsidP="00FB6988">
      <w:pPr>
        <w:numPr>
          <w:ilvl w:val="0"/>
          <w:numId w:val="113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elle garantit l’accès équitable au crédit essentiel.</w:t>
      </w:r>
    </w:p>
    <w:p w14:paraId="39661AB6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3F0D82BC">
          <v:rect id="_x0000_i1060" style="width:0;height:1.5pt" o:hralign="center" o:hrstd="t" o:hr="t" fillcolor="#a0a0a0" stroked="f"/>
        </w:pict>
      </w:r>
    </w:p>
    <w:p w14:paraId="1D1B8EA9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35 — Encadrement strict des banques privées</w:t>
      </w:r>
    </w:p>
    <w:p w14:paraId="453CBB5E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Durant la transition, les banques privées :</w:t>
      </w:r>
    </w:p>
    <w:p w14:paraId="45ECD40C" w14:textId="77777777" w:rsidR="00FB6988" w:rsidRPr="00FB6988" w:rsidRDefault="00FB6988" w:rsidP="00FB6988">
      <w:pPr>
        <w:numPr>
          <w:ilvl w:val="0"/>
          <w:numId w:val="114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ne peuvent créer de monnaie ;</w:t>
      </w:r>
    </w:p>
    <w:p w14:paraId="298FB477" w14:textId="77777777" w:rsidR="00FB6988" w:rsidRPr="00FB6988" w:rsidRDefault="00FB6988" w:rsidP="00FB6988">
      <w:pPr>
        <w:numPr>
          <w:ilvl w:val="0"/>
          <w:numId w:val="114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ne peuvent imposer de frais abusifs ;</w:t>
      </w:r>
    </w:p>
    <w:p w14:paraId="090B067C" w14:textId="77777777" w:rsidR="00FB6988" w:rsidRPr="00FB6988" w:rsidRDefault="00FB6988" w:rsidP="00FB6988">
      <w:pPr>
        <w:numPr>
          <w:ilvl w:val="0"/>
          <w:numId w:val="114"/>
        </w:num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sont soumises à un contrôle renforcé.</w:t>
      </w:r>
    </w:p>
    <w:p w14:paraId="070480F1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045D2BFC">
          <v:rect id="_x0000_i1061" style="width:0;height:1.5pt" o:hralign="center" o:hrstd="t" o:hr="t" fillcolor="#a0a0a0" stroked="f"/>
        </w:pict>
      </w:r>
    </w:p>
    <w:p w14:paraId="52D35260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36 — Fiscalité transitoire</w:t>
      </w:r>
    </w:p>
    <w:p w14:paraId="100C08E4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La fiscalité est stabilisée durant la transition.</w:t>
      </w:r>
    </w:p>
    <w:p w14:paraId="38BDC867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Aucune hausse brutale de la charge fiscale globale ne peut être imposée.</w:t>
      </w:r>
    </w:p>
    <w:p w14:paraId="63BDEC63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056D132E">
          <v:rect id="_x0000_i1062" style="width:0;height:1.5pt" o:hralign="center" o:hrstd="t" o:hr="t" fillcolor="#a0a0a0" stroked="f"/>
        </w:pict>
      </w:r>
    </w:p>
    <w:p w14:paraId="08226B0F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37 — Lutte transitoire contre l’évasion fiscale</w:t>
      </w:r>
    </w:p>
    <w:p w14:paraId="2B71D0CD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mécanismes de lutte contre l’évasion et l’évitement fiscaux sont renforcés immédiatement.</w:t>
      </w:r>
    </w:p>
    <w:p w14:paraId="486424B6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lastRenderedPageBreak/>
        <w:t>Les paradis fiscaux sont proscrits.</w:t>
      </w:r>
    </w:p>
    <w:p w14:paraId="44E12499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44857AC4">
          <v:rect id="_x0000_i1063" style="width:0;height:1.5pt" o:hralign="center" o:hrstd="t" o:hr="t" fillcolor="#a0a0a0" stroked="f"/>
        </w:pict>
      </w:r>
    </w:p>
    <w:p w14:paraId="0C45CA31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38 — Continuité des échanges commerciaux</w:t>
      </w:r>
    </w:p>
    <w:p w14:paraId="6C6A6DA6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Les échanges commerciaux essentiels sont maintenus.</w:t>
      </w:r>
    </w:p>
    <w:p w14:paraId="49FD6DD1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Toute rupture volontaire d’approvisionnement vital est interdite.</w:t>
      </w:r>
    </w:p>
    <w:p w14:paraId="1A6AD627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4FC38DBD">
          <v:rect id="_x0000_i1064" style="width:0;height:1.5pt" o:hralign="center" o:hrstd="t" o:hr="t" fillcolor="#a0a0a0" stroked="f"/>
        </w:pict>
      </w:r>
    </w:p>
    <w:p w14:paraId="0FA646E0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39 — Protection contre la spéculation transitoire</w:t>
      </w:r>
    </w:p>
    <w:p w14:paraId="78F9B565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Toute spéculation visant à exploiter la transition est interdite et sanctionnée immédiatement.</w:t>
      </w:r>
    </w:p>
    <w:p w14:paraId="1EB0E279" w14:textId="77777777" w:rsidR="00FB6988" w:rsidRPr="00FB6988" w:rsidRDefault="00000000" w:rsidP="00FB6988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1C217204">
          <v:rect id="_x0000_i1065" style="width:0;height:1.5pt" o:hralign="center" o:hrstd="t" o:hr="t" fillcolor="#a0a0a0" stroked="f"/>
        </w:pict>
      </w:r>
    </w:p>
    <w:p w14:paraId="02ECFC53" w14:textId="77777777" w:rsidR="00FB6988" w:rsidRPr="00FB6988" w:rsidRDefault="00FB6988" w:rsidP="00FB6988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40 — Transparence économique</w:t>
      </w:r>
    </w:p>
    <w:p w14:paraId="5898B0C0" w14:textId="77777777" w:rsidR="00FB6988" w:rsidRPr="00FB6988" w:rsidRDefault="00FB6988" w:rsidP="00FB6988">
      <w:pPr>
        <w:rPr>
          <w:rFonts w:ascii="Arial" w:hAnsi="Arial" w:cs="Arial"/>
          <w:sz w:val="24"/>
          <w:szCs w:val="24"/>
          <w:lang w:val="fr-CA"/>
        </w:rPr>
      </w:pPr>
      <w:r w:rsidRPr="00FB6988">
        <w:rPr>
          <w:rFonts w:ascii="Arial" w:hAnsi="Arial" w:cs="Arial"/>
          <w:sz w:val="24"/>
          <w:szCs w:val="24"/>
          <w:lang w:val="fr-CA"/>
        </w:rPr>
        <w:t>Toutes les décisions économiques transitoires sont rendues publiques et justifiées.</w:t>
      </w:r>
    </w:p>
    <w:p w14:paraId="74C1A338" w14:textId="77777777" w:rsidR="00FB6988" w:rsidRDefault="00000000" w:rsidP="00102694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4A1FBB93">
          <v:rect id="_x0000_i1066" style="width:0;height:1.5pt" o:hralign="center" o:hrstd="t" o:hr="t" fillcolor="#a0a0a0" stroked="f"/>
        </w:pict>
      </w:r>
    </w:p>
    <w:p w14:paraId="439F9AA6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BB3DFA">
        <w:rPr>
          <w:rFonts w:ascii="Arial" w:hAnsi="Arial" w:cs="Arial"/>
          <w:b/>
          <w:bCs/>
          <w:sz w:val="24"/>
          <w:szCs w:val="24"/>
          <w:lang w:val="fr-CA"/>
        </w:rPr>
        <w:t>LIVRE V</w:t>
      </w:r>
    </w:p>
    <w:p w14:paraId="5CFC9D28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BB3DFA">
        <w:rPr>
          <w:rFonts w:ascii="Arial" w:hAnsi="Arial" w:cs="Arial"/>
          <w:b/>
          <w:bCs/>
          <w:sz w:val="24"/>
          <w:szCs w:val="24"/>
          <w:lang w:val="fr-CA"/>
        </w:rPr>
        <w:t>DE LA SÉCURITÉ, DE LA PROTECTION DU PEUPLE ET DES MENACES HOSTILES</w:t>
      </w:r>
    </w:p>
    <w:p w14:paraId="6225F2FA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41 — Finalité de la sécurité transitoire</w:t>
      </w:r>
    </w:p>
    <w:p w14:paraId="64E74CCA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La sécurité transitoire a pour unique finalité la protection du peuple, des droits fondamentaux et des institutions constitutionnelles.</w:t>
      </w:r>
    </w:p>
    <w:p w14:paraId="1879D7C6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Elle ne peut être utilisée pour contrôler, intimider ou réprimer l’expression légitime.</w:t>
      </w:r>
    </w:p>
    <w:p w14:paraId="15577A1C" w14:textId="77777777" w:rsidR="00BB3DFA" w:rsidRPr="00BB3DFA" w:rsidRDefault="00000000" w:rsidP="00BB3DFA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3E6BD21D">
          <v:rect id="_x0000_i1067" style="width:0;height:1.5pt" o:hralign="center" o:hrstd="t" o:hr="t" fillcolor="#a0a0a0" stroked="f"/>
        </w:pict>
      </w:r>
    </w:p>
    <w:p w14:paraId="57F439F8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42 — Protection contre les menaces internes et externes</w:t>
      </w:r>
    </w:p>
    <w:p w14:paraId="4F60C8F8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L’État transitoire met en place des mécanismes de protection contre :</w:t>
      </w:r>
    </w:p>
    <w:p w14:paraId="4F0A9ED2" w14:textId="77777777" w:rsidR="00BB3DFA" w:rsidRPr="00BB3DFA" w:rsidRDefault="00BB3DFA" w:rsidP="00BB3DFA">
      <w:pPr>
        <w:numPr>
          <w:ilvl w:val="0"/>
          <w:numId w:val="115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l’ingérence étrangère ;</w:t>
      </w:r>
    </w:p>
    <w:p w14:paraId="657BB820" w14:textId="77777777" w:rsidR="00BB3DFA" w:rsidRPr="00BB3DFA" w:rsidRDefault="00BB3DFA" w:rsidP="00BB3DFA">
      <w:pPr>
        <w:numPr>
          <w:ilvl w:val="0"/>
          <w:numId w:val="115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la capture institutionnelle par des intérêts privés ou idéologiques ;</w:t>
      </w:r>
    </w:p>
    <w:p w14:paraId="56539BA9" w14:textId="77777777" w:rsidR="00BB3DFA" w:rsidRPr="00BB3DFA" w:rsidRDefault="00BB3DFA" w:rsidP="00BB3DFA">
      <w:pPr>
        <w:numPr>
          <w:ilvl w:val="0"/>
          <w:numId w:val="115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lastRenderedPageBreak/>
        <w:t>la criminalité organisée ;</w:t>
      </w:r>
    </w:p>
    <w:p w14:paraId="60877BC8" w14:textId="77777777" w:rsidR="00BB3DFA" w:rsidRPr="00BB3DFA" w:rsidRDefault="00BB3DFA" w:rsidP="00BB3DFA">
      <w:pPr>
        <w:numPr>
          <w:ilvl w:val="0"/>
          <w:numId w:val="115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la corruption systémique.</w:t>
      </w:r>
    </w:p>
    <w:p w14:paraId="48A49C3F" w14:textId="77777777" w:rsidR="00BB3DFA" w:rsidRPr="00BB3DFA" w:rsidRDefault="00000000" w:rsidP="00BB3DFA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496888F6">
          <v:rect id="_x0000_i1068" style="width:0;height:1.5pt" o:hralign="center" o:hrstd="t" o:hr="t" fillcolor="#a0a0a0" stroked="f"/>
        </w:pict>
      </w:r>
    </w:p>
    <w:p w14:paraId="6E0AE8A3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43 — Interdiction de la propagande transitoire</w:t>
      </w:r>
    </w:p>
    <w:p w14:paraId="338BA78E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Toute forme de propagande politique, idéologique ou institutionnelle est interdite durant la transition.</w:t>
      </w:r>
    </w:p>
    <w:p w14:paraId="0FA7D39F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L’information publique doit être factuelle, vérifiable et pluraliste.</w:t>
      </w:r>
    </w:p>
    <w:p w14:paraId="346E36DB" w14:textId="77777777" w:rsidR="00BB3DFA" w:rsidRPr="00BB3DFA" w:rsidRDefault="00000000" w:rsidP="00BB3DFA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4A5B2AD2">
          <v:rect id="_x0000_i1069" style="width:0;height:1.5pt" o:hralign="center" o:hrstd="t" o:hr="t" fillcolor="#a0a0a0" stroked="f"/>
        </w:pict>
      </w:r>
    </w:p>
    <w:p w14:paraId="033B3CF7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44 — Protection contre la capture politique</w:t>
      </w:r>
    </w:p>
    <w:p w14:paraId="129E7533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Il est interdit à tout décideur transitoire :</w:t>
      </w:r>
    </w:p>
    <w:p w14:paraId="6402D21C" w14:textId="77777777" w:rsidR="00BB3DFA" w:rsidRPr="00BB3DFA" w:rsidRDefault="00BB3DFA" w:rsidP="00BB3DFA">
      <w:pPr>
        <w:numPr>
          <w:ilvl w:val="0"/>
          <w:numId w:val="116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de travailler pour des multinationales ;</w:t>
      </w:r>
    </w:p>
    <w:p w14:paraId="5B436FEF" w14:textId="77777777" w:rsidR="00BB3DFA" w:rsidRPr="00BB3DFA" w:rsidRDefault="00BB3DFA" w:rsidP="00BB3DFA">
      <w:pPr>
        <w:numPr>
          <w:ilvl w:val="0"/>
          <w:numId w:val="116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de représenter des intérêts étrangers ;</w:t>
      </w:r>
    </w:p>
    <w:p w14:paraId="452A1604" w14:textId="77777777" w:rsidR="00BB3DFA" w:rsidRPr="00BB3DFA" w:rsidRDefault="00BB3DFA" w:rsidP="00BB3DFA">
      <w:pPr>
        <w:numPr>
          <w:ilvl w:val="0"/>
          <w:numId w:val="116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de promouvoir un ordre idéologique extérieur au peuple.</w:t>
      </w:r>
    </w:p>
    <w:p w14:paraId="7A9B6A65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Toute violation entraîne la destitution immédiate.</w:t>
      </w:r>
    </w:p>
    <w:p w14:paraId="374DA7D1" w14:textId="77777777" w:rsidR="00BB3DFA" w:rsidRPr="00BB3DFA" w:rsidRDefault="00000000" w:rsidP="00BB3DFA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268691E2">
          <v:rect id="_x0000_i1070" style="width:0;height:1.5pt" o:hralign="center" o:hrstd="t" o:hr="t" fillcolor="#a0a0a0" stroked="f"/>
        </w:pict>
      </w:r>
    </w:p>
    <w:p w14:paraId="392BD1F8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45 — Enquêtes indépendantes croisées</w:t>
      </w:r>
    </w:p>
    <w:p w14:paraId="6122F726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En cas d’allégation criminelle :</w:t>
      </w:r>
    </w:p>
    <w:p w14:paraId="157067C4" w14:textId="77777777" w:rsidR="00BB3DFA" w:rsidRPr="00BB3DFA" w:rsidRDefault="00BB3DFA" w:rsidP="00BB3DFA">
      <w:pPr>
        <w:numPr>
          <w:ilvl w:val="0"/>
          <w:numId w:val="117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impliquant les forces policières, l’enquête est confiée à une autorité militaire indépendante ;</w:t>
      </w:r>
    </w:p>
    <w:p w14:paraId="14498074" w14:textId="77777777" w:rsidR="00BB3DFA" w:rsidRPr="00BB3DFA" w:rsidRDefault="00BB3DFA" w:rsidP="00BB3DFA">
      <w:pPr>
        <w:numPr>
          <w:ilvl w:val="0"/>
          <w:numId w:val="117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impliquant les forces militaires, l’enquête est confiée à une autorité policière civile indépendante.</w:t>
      </w:r>
    </w:p>
    <w:p w14:paraId="62D1A919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Aucune enquête interne n’est permise.</w:t>
      </w:r>
    </w:p>
    <w:p w14:paraId="2050FE73" w14:textId="77777777" w:rsidR="00BB3DFA" w:rsidRPr="00BB3DFA" w:rsidRDefault="00000000" w:rsidP="00BB3DFA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13974B8B">
          <v:rect id="_x0000_i1071" style="width:0;height:1.5pt" o:hralign="center" o:hrstd="t" o:hr="t" fillcolor="#a0a0a0" stroked="f"/>
        </w:pict>
      </w:r>
    </w:p>
    <w:p w14:paraId="5E3E3780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46 — Protection renforcée des dénonciateurs</w:t>
      </w:r>
    </w:p>
    <w:p w14:paraId="13E40C69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Toute personne dénonçant des menaces ou abus transitoires bénéficie d’une protection maximale, incluant :</w:t>
      </w:r>
    </w:p>
    <w:p w14:paraId="2EBCC2A1" w14:textId="77777777" w:rsidR="00BB3DFA" w:rsidRPr="00BB3DFA" w:rsidRDefault="00BB3DFA" w:rsidP="00BB3DFA">
      <w:pPr>
        <w:numPr>
          <w:ilvl w:val="0"/>
          <w:numId w:val="118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anonymat ;</w:t>
      </w:r>
    </w:p>
    <w:p w14:paraId="1A8373F5" w14:textId="77777777" w:rsidR="00BB3DFA" w:rsidRPr="00BB3DFA" w:rsidRDefault="00BB3DFA" w:rsidP="00BB3DFA">
      <w:pPr>
        <w:numPr>
          <w:ilvl w:val="0"/>
          <w:numId w:val="118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lastRenderedPageBreak/>
        <w:t>sécurité ;</w:t>
      </w:r>
    </w:p>
    <w:p w14:paraId="40042CD6" w14:textId="77777777" w:rsidR="00BB3DFA" w:rsidRPr="00BB3DFA" w:rsidRDefault="00BB3DFA" w:rsidP="00BB3DFA">
      <w:pPr>
        <w:numPr>
          <w:ilvl w:val="0"/>
          <w:numId w:val="118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protection juridique intégrale.</w:t>
      </w:r>
    </w:p>
    <w:p w14:paraId="7B38D55F" w14:textId="77777777" w:rsidR="00BB3DFA" w:rsidRPr="00BB3DFA" w:rsidRDefault="00000000" w:rsidP="00BB3DFA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2E39CF11">
          <v:rect id="_x0000_i1072" style="width:0;height:1.5pt" o:hralign="center" o:hrstd="t" o:hr="t" fillcolor="#a0a0a0" stroked="f"/>
        </w:pict>
      </w:r>
    </w:p>
    <w:p w14:paraId="4E5E903A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47 — Usage strict et contrôlé de la force</w:t>
      </w:r>
    </w:p>
    <w:p w14:paraId="1CCFDE82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Tout usage de la force doit être :</w:t>
      </w:r>
    </w:p>
    <w:p w14:paraId="6D97E81B" w14:textId="77777777" w:rsidR="00BB3DFA" w:rsidRPr="00BB3DFA" w:rsidRDefault="00BB3DFA" w:rsidP="00BB3DFA">
      <w:pPr>
        <w:numPr>
          <w:ilvl w:val="0"/>
          <w:numId w:val="119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strictement nécessaire ;</w:t>
      </w:r>
    </w:p>
    <w:p w14:paraId="77B04D90" w14:textId="77777777" w:rsidR="00BB3DFA" w:rsidRPr="00BB3DFA" w:rsidRDefault="00BB3DFA" w:rsidP="00BB3DFA">
      <w:pPr>
        <w:numPr>
          <w:ilvl w:val="0"/>
          <w:numId w:val="119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proportionné ;</w:t>
      </w:r>
    </w:p>
    <w:p w14:paraId="419C93F5" w14:textId="77777777" w:rsidR="00BB3DFA" w:rsidRPr="00BB3DFA" w:rsidRDefault="00BB3DFA" w:rsidP="00BB3DFA">
      <w:pPr>
        <w:numPr>
          <w:ilvl w:val="0"/>
          <w:numId w:val="119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documenté ;</w:t>
      </w:r>
    </w:p>
    <w:p w14:paraId="2EE50794" w14:textId="77777777" w:rsidR="00BB3DFA" w:rsidRPr="00BB3DFA" w:rsidRDefault="00BB3DFA" w:rsidP="00BB3DFA">
      <w:pPr>
        <w:numPr>
          <w:ilvl w:val="0"/>
          <w:numId w:val="119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contrôlé a posteriori par une autorité indépendante.</w:t>
      </w:r>
    </w:p>
    <w:p w14:paraId="23608FFC" w14:textId="77777777" w:rsidR="00BB3DFA" w:rsidRPr="00BB3DFA" w:rsidRDefault="00000000" w:rsidP="00BB3DFA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7AC98229">
          <v:rect id="_x0000_i1073" style="width:0;height:1.5pt" o:hralign="center" o:hrstd="t" o:hr="t" fillcolor="#a0a0a0" stroked="f"/>
        </w:pict>
      </w:r>
    </w:p>
    <w:p w14:paraId="4A807A82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48 — Interdiction de surveillance généralisée</w:t>
      </w:r>
    </w:p>
    <w:p w14:paraId="3DE89D66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Toute surveillance de masse est interdite, y compris en période transitoire.</w:t>
      </w:r>
    </w:p>
    <w:p w14:paraId="1FEB3988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Seules des mesures ciblées et judiciairement autorisées sont permises.</w:t>
      </w:r>
    </w:p>
    <w:p w14:paraId="1E0AEA54" w14:textId="77777777" w:rsidR="00BB3DFA" w:rsidRPr="00BB3DFA" w:rsidRDefault="00000000" w:rsidP="00BB3DFA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1F934792">
          <v:rect id="_x0000_i1074" style="width:0;height:1.5pt" o:hralign="center" o:hrstd="t" o:hr="t" fillcolor="#a0a0a0" stroked="f"/>
        </w:pict>
      </w:r>
    </w:p>
    <w:p w14:paraId="23CC5CC7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49 — Protection des libertés fondamentales</w:t>
      </w:r>
    </w:p>
    <w:p w14:paraId="721003F9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Aucune mesure de sécurité transitoire ne peut suspendre :</w:t>
      </w:r>
    </w:p>
    <w:p w14:paraId="6B7564CF" w14:textId="77777777" w:rsidR="00BB3DFA" w:rsidRPr="00BB3DFA" w:rsidRDefault="00BB3DFA" w:rsidP="00BB3DFA">
      <w:pPr>
        <w:numPr>
          <w:ilvl w:val="0"/>
          <w:numId w:val="120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la liberté d’expression ;</w:t>
      </w:r>
    </w:p>
    <w:p w14:paraId="11A9550F" w14:textId="77777777" w:rsidR="00BB3DFA" w:rsidRPr="00BB3DFA" w:rsidRDefault="00BB3DFA" w:rsidP="00BB3DFA">
      <w:pPr>
        <w:numPr>
          <w:ilvl w:val="0"/>
          <w:numId w:val="120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la liberté de conscience ;</w:t>
      </w:r>
    </w:p>
    <w:p w14:paraId="2830DDAB" w14:textId="77777777" w:rsidR="00BB3DFA" w:rsidRPr="00BB3DFA" w:rsidRDefault="00BB3DFA" w:rsidP="00BB3DFA">
      <w:pPr>
        <w:numPr>
          <w:ilvl w:val="0"/>
          <w:numId w:val="120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la liberté de circulation légitime ;</w:t>
      </w:r>
    </w:p>
    <w:p w14:paraId="75B4ABF4" w14:textId="77777777" w:rsidR="00BB3DFA" w:rsidRPr="00BB3DFA" w:rsidRDefault="00BB3DFA" w:rsidP="00BB3DFA">
      <w:pPr>
        <w:numPr>
          <w:ilvl w:val="0"/>
          <w:numId w:val="120"/>
        </w:num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le libre arbitre individuel.</w:t>
      </w:r>
    </w:p>
    <w:p w14:paraId="2F35B0BE" w14:textId="77777777" w:rsidR="00BB3DFA" w:rsidRPr="00BB3DFA" w:rsidRDefault="00000000" w:rsidP="00BB3DFA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702D7C6F">
          <v:rect id="_x0000_i1075" style="width:0;height:1.5pt" o:hralign="center" o:hrstd="t" o:hr="t" fillcolor="#a0a0a0" stroked="f"/>
        </w:pict>
      </w:r>
    </w:p>
    <w:p w14:paraId="39CA41AA" w14:textId="77777777" w:rsidR="00BB3DFA" w:rsidRPr="00BB3DFA" w:rsidRDefault="00BB3DFA" w:rsidP="00BB3DFA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50 — Responsabilité personnelle</w:t>
      </w:r>
    </w:p>
    <w:p w14:paraId="1F45EC07" w14:textId="77777777" w:rsidR="00BB3DFA" w:rsidRPr="00BB3DFA" w:rsidRDefault="00BB3DFA" w:rsidP="00BB3DFA">
      <w:pPr>
        <w:rPr>
          <w:rFonts w:ascii="Arial" w:hAnsi="Arial" w:cs="Arial"/>
          <w:sz w:val="24"/>
          <w:szCs w:val="24"/>
          <w:lang w:val="fr-CA"/>
        </w:rPr>
      </w:pPr>
      <w:r w:rsidRPr="00BB3DFA">
        <w:rPr>
          <w:rFonts w:ascii="Arial" w:hAnsi="Arial" w:cs="Arial"/>
          <w:sz w:val="24"/>
          <w:szCs w:val="24"/>
          <w:lang w:val="fr-CA"/>
        </w:rPr>
        <w:t>Tout abus sécuritaire engage la responsabilité personnelle, civile et pénale des décideurs.</w:t>
      </w:r>
    </w:p>
    <w:p w14:paraId="587C9724" w14:textId="77777777" w:rsidR="00FB6988" w:rsidRDefault="00000000" w:rsidP="00102694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1C0BAAB5">
          <v:rect id="_x0000_i1076" style="width:0;height:1.5pt" o:hralign="center" o:hrstd="t" o:hr="t" fillcolor="#a0a0a0" stroked="f"/>
        </w:pict>
      </w:r>
    </w:p>
    <w:p w14:paraId="3EBF2EAC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2A2186">
        <w:rPr>
          <w:rFonts w:ascii="Arial" w:hAnsi="Arial" w:cs="Arial"/>
          <w:b/>
          <w:bCs/>
          <w:sz w:val="24"/>
          <w:szCs w:val="24"/>
          <w:lang w:val="fr-CA"/>
        </w:rPr>
        <w:t>LIVRE VI</w:t>
      </w:r>
    </w:p>
    <w:p w14:paraId="476E5A38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2A2186">
        <w:rPr>
          <w:rFonts w:ascii="Arial" w:hAnsi="Arial" w:cs="Arial"/>
          <w:b/>
          <w:bCs/>
          <w:sz w:val="24"/>
          <w:szCs w:val="24"/>
          <w:lang w:val="fr-CA"/>
        </w:rPr>
        <w:lastRenderedPageBreak/>
        <w:t>DE LA PARTICIPATION CITOYENNE, DE LA LÉGITIMITÉ ET DE LA FIN DE LA TRANSITION</w:t>
      </w:r>
    </w:p>
    <w:p w14:paraId="6F87F919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51 — Participation citoyenne continue</w:t>
      </w:r>
    </w:p>
    <w:p w14:paraId="4E6C1D5B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La transition constitutionnelle repose sur une participation citoyenne continue, réelle et vérifiable.</w:t>
      </w:r>
    </w:p>
    <w:p w14:paraId="24AF0DD8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Les mécanismes de participation incluent :</w:t>
      </w:r>
    </w:p>
    <w:p w14:paraId="6AB2CC84" w14:textId="77777777" w:rsidR="002A2186" w:rsidRPr="002A2186" w:rsidRDefault="002A2186" w:rsidP="002A2186">
      <w:pPr>
        <w:numPr>
          <w:ilvl w:val="0"/>
          <w:numId w:val="121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consultations publiques obligatoires ;</w:t>
      </w:r>
    </w:p>
    <w:p w14:paraId="685CD4DE" w14:textId="77777777" w:rsidR="002A2186" w:rsidRPr="002A2186" w:rsidRDefault="002A2186" w:rsidP="002A2186">
      <w:pPr>
        <w:numPr>
          <w:ilvl w:val="0"/>
          <w:numId w:val="121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référendums ciblés lorsque requis ;</w:t>
      </w:r>
    </w:p>
    <w:p w14:paraId="4C5F3E96" w14:textId="77777777" w:rsidR="002A2186" w:rsidRPr="002A2186" w:rsidRDefault="002A2186" w:rsidP="002A2186">
      <w:pPr>
        <w:numPr>
          <w:ilvl w:val="0"/>
          <w:numId w:val="121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pétitions opposables selon les modalités prévues par la loi.</w:t>
      </w:r>
    </w:p>
    <w:p w14:paraId="7CF0D695" w14:textId="77777777" w:rsidR="002A2186" w:rsidRPr="002A2186" w:rsidRDefault="00000000" w:rsidP="002A2186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06A0A950">
          <v:rect id="_x0000_i1077" style="width:0;height:1.5pt" o:hralign="center" o:hrstd="t" o:hr="t" fillcolor="#a0a0a0" stroked="f"/>
        </w:pict>
      </w:r>
    </w:p>
    <w:p w14:paraId="3E650704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52 — Information claire et pluraliste</w:t>
      </w:r>
    </w:p>
    <w:p w14:paraId="44CB0C14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L’information transmise au public durant la transition doit être :</w:t>
      </w:r>
    </w:p>
    <w:p w14:paraId="3C9B3D1F" w14:textId="77777777" w:rsidR="002A2186" w:rsidRPr="002A2186" w:rsidRDefault="002A2186" w:rsidP="002A2186">
      <w:pPr>
        <w:numPr>
          <w:ilvl w:val="0"/>
          <w:numId w:val="122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claire ;</w:t>
      </w:r>
    </w:p>
    <w:p w14:paraId="2A84B0A5" w14:textId="77777777" w:rsidR="002A2186" w:rsidRPr="002A2186" w:rsidRDefault="002A2186" w:rsidP="002A2186">
      <w:pPr>
        <w:numPr>
          <w:ilvl w:val="0"/>
          <w:numId w:val="122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factuelle ;</w:t>
      </w:r>
    </w:p>
    <w:p w14:paraId="3F797060" w14:textId="77777777" w:rsidR="002A2186" w:rsidRPr="002A2186" w:rsidRDefault="002A2186" w:rsidP="002A2186">
      <w:pPr>
        <w:numPr>
          <w:ilvl w:val="0"/>
          <w:numId w:val="122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pluraliste ;</w:t>
      </w:r>
    </w:p>
    <w:p w14:paraId="30D8E2D3" w14:textId="77777777" w:rsidR="002A2186" w:rsidRPr="002A2186" w:rsidRDefault="002A2186" w:rsidP="002A2186">
      <w:pPr>
        <w:numPr>
          <w:ilvl w:val="0"/>
          <w:numId w:val="122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exempte de propagande.</w:t>
      </w:r>
    </w:p>
    <w:p w14:paraId="0B828B3A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Toute manipulation de l’information est interdite.</w:t>
      </w:r>
    </w:p>
    <w:p w14:paraId="2A23E9FE" w14:textId="77777777" w:rsidR="002A2186" w:rsidRPr="002A2186" w:rsidRDefault="00000000" w:rsidP="002A2186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5C8C2772">
          <v:rect id="_x0000_i1078" style="width:0;height:1.5pt" o:hralign="center" o:hrstd="t" o:hr="t" fillcolor="#a0a0a0" stroked="f"/>
        </w:pict>
      </w:r>
    </w:p>
    <w:p w14:paraId="3ED47869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53 — Légitimité démocratique</w:t>
      </w:r>
    </w:p>
    <w:p w14:paraId="781C2464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Toute décision structurante prise durant la transition doit être fondée sur une légitimité démocratique vérifiable.</w:t>
      </w:r>
    </w:p>
    <w:p w14:paraId="6AACFEC5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Les décisions irréversibles exigent l’approbation populaire.</w:t>
      </w:r>
    </w:p>
    <w:p w14:paraId="09B6C1E2" w14:textId="77777777" w:rsidR="002A2186" w:rsidRPr="002A2186" w:rsidRDefault="00000000" w:rsidP="002A2186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07D221E6">
          <v:rect id="_x0000_i1079" style="width:0;height:1.5pt" o:hralign="center" o:hrstd="t" o:hr="t" fillcolor="#a0a0a0" stroked="f"/>
        </w:pict>
      </w:r>
    </w:p>
    <w:p w14:paraId="4338A74F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54 — Calendrier de transition public</w:t>
      </w:r>
    </w:p>
    <w:p w14:paraId="6F7761FB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Un calendrier public de transition est établi, détaillant :</w:t>
      </w:r>
    </w:p>
    <w:p w14:paraId="51F6C3AF" w14:textId="77777777" w:rsidR="002A2186" w:rsidRPr="002A2186" w:rsidRDefault="002A2186" w:rsidP="002A2186">
      <w:pPr>
        <w:numPr>
          <w:ilvl w:val="0"/>
          <w:numId w:val="123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les étapes ;</w:t>
      </w:r>
    </w:p>
    <w:p w14:paraId="02BDE0D4" w14:textId="77777777" w:rsidR="002A2186" w:rsidRPr="002A2186" w:rsidRDefault="002A2186" w:rsidP="002A2186">
      <w:pPr>
        <w:numPr>
          <w:ilvl w:val="0"/>
          <w:numId w:val="123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lastRenderedPageBreak/>
        <w:t>les objectifs ;</w:t>
      </w:r>
    </w:p>
    <w:p w14:paraId="4966C6BC" w14:textId="77777777" w:rsidR="002A2186" w:rsidRPr="002A2186" w:rsidRDefault="002A2186" w:rsidP="002A2186">
      <w:pPr>
        <w:numPr>
          <w:ilvl w:val="0"/>
          <w:numId w:val="123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les échéances ;</w:t>
      </w:r>
    </w:p>
    <w:p w14:paraId="06E2EA1A" w14:textId="77777777" w:rsidR="002A2186" w:rsidRPr="002A2186" w:rsidRDefault="002A2186" w:rsidP="002A2186">
      <w:pPr>
        <w:numPr>
          <w:ilvl w:val="0"/>
          <w:numId w:val="123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les mécanismes de validation.</w:t>
      </w:r>
    </w:p>
    <w:p w14:paraId="4A3B9CB8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Toute modification substantielle du calendrier doit être justifiée publiquement.</w:t>
      </w:r>
    </w:p>
    <w:p w14:paraId="6BF81E4D" w14:textId="77777777" w:rsidR="002A2186" w:rsidRPr="002A2186" w:rsidRDefault="00000000" w:rsidP="002A2186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236B3419">
          <v:rect id="_x0000_i1080" style="width:0;height:1.5pt" o:hralign="center" o:hrstd="t" o:hr="t" fillcolor="#a0a0a0" stroked="f"/>
        </w:pict>
      </w:r>
    </w:p>
    <w:p w14:paraId="28AF598C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55 — Évaluations périodiques</w:t>
      </w:r>
    </w:p>
    <w:p w14:paraId="6A0B2726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Des évaluations périodiques indépendantes de la transition sont réalisées.</w:t>
      </w:r>
    </w:p>
    <w:p w14:paraId="48E9CE19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Leurs conclusions sont rendues publiques et opposables.</w:t>
      </w:r>
    </w:p>
    <w:p w14:paraId="4C946122" w14:textId="77777777" w:rsidR="002A2186" w:rsidRPr="002A2186" w:rsidRDefault="00000000" w:rsidP="002A2186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62BA57C1">
          <v:rect id="_x0000_i1081" style="width:0;height:1.5pt" o:hralign="center" o:hrstd="t" o:hr="t" fillcolor="#a0a0a0" stroked="f"/>
        </w:pict>
      </w:r>
    </w:p>
    <w:p w14:paraId="735F3D33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56 — Protection contre la confiscation démocratique</w:t>
      </w:r>
    </w:p>
    <w:p w14:paraId="27BBC44A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Il est interdit de prolonger artificiellement la transition afin de conserver le pouvoir.</w:t>
      </w:r>
    </w:p>
    <w:p w14:paraId="696620F9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Toute tentative de confiscation démocratique est une faute grave.</w:t>
      </w:r>
    </w:p>
    <w:p w14:paraId="0E0BE559" w14:textId="77777777" w:rsidR="002A2186" w:rsidRPr="002A2186" w:rsidRDefault="00000000" w:rsidP="002A2186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21C57B8E">
          <v:rect id="_x0000_i1082" style="width:0;height:1.5pt" o:hralign="center" o:hrstd="t" o:hr="t" fillcolor="#a0a0a0" stroked="f"/>
        </w:pict>
      </w:r>
    </w:p>
    <w:p w14:paraId="796A4897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57 — Achèvement institutionnel</w:t>
      </w:r>
    </w:p>
    <w:p w14:paraId="7D6FD112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La transition est considérée achevée lorsque :</w:t>
      </w:r>
    </w:p>
    <w:p w14:paraId="45B4A86F" w14:textId="77777777" w:rsidR="002A2186" w:rsidRPr="002A2186" w:rsidRDefault="002A2186" w:rsidP="002A2186">
      <w:pPr>
        <w:numPr>
          <w:ilvl w:val="0"/>
          <w:numId w:val="124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les institutions définitives sont pleinement opérationnelles ;</w:t>
      </w:r>
    </w:p>
    <w:p w14:paraId="3EAE7EC5" w14:textId="77777777" w:rsidR="002A2186" w:rsidRPr="002A2186" w:rsidRDefault="002A2186" w:rsidP="002A2186">
      <w:pPr>
        <w:numPr>
          <w:ilvl w:val="0"/>
          <w:numId w:val="124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les normes sont harmonisées ;</w:t>
      </w:r>
    </w:p>
    <w:p w14:paraId="47421A3E" w14:textId="77777777" w:rsidR="002A2186" w:rsidRPr="002A2186" w:rsidRDefault="002A2186" w:rsidP="002A2186">
      <w:pPr>
        <w:numPr>
          <w:ilvl w:val="0"/>
          <w:numId w:val="124"/>
        </w:num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les mécanismes de contrôle sont effectifs.</w:t>
      </w:r>
    </w:p>
    <w:p w14:paraId="4DF58BB9" w14:textId="77777777" w:rsidR="002A2186" w:rsidRPr="002A2186" w:rsidRDefault="00000000" w:rsidP="002A2186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3021B467">
          <v:rect id="_x0000_i1083" style="width:0;height:1.5pt" o:hralign="center" o:hrstd="t" o:hr="t" fillcolor="#a0a0a0" stroked="f"/>
        </w:pict>
      </w:r>
    </w:p>
    <w:p w14:paraId="5FFE11D2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58 — Dissolution des organes transitoires</w:t>
      </w:r>
    </w:p>
    <w:p w14:paraId="30FE886C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À l’achèvement de la transition, tous les organes transitoires sont dissous de plein droit.</w:t>
      </w:r>
    </w:p>
    <w:p w14:paraId="2FC456A0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Aucune prorogation implicite n’est permise.</w:t>
      </w:r>
    </w:p>
    <w:p w14:paraId="1A3C053B" w14:textId="77777777" w:rsidR="002A2186" w:rsidRPr="002A2186" w:rsidRDefault="00000000" w:rsidP="002A2186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1812A7A4">
          <v:rect id="_x0000_i1084" style="width:0;height:1.5pt" o:hralign="center" o:hrstd="t" o:hr="t" fillcolor="#a0a0a0" stroked="f"/>
        </w:pict>
      </w:r>
    </w:p>
    <w:p w14:paraId="0BA15864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59 — Entrée en vigueur complète</w:t>
      </w:r>
    </w:p>
    <w:p w14:paraId="47C8B165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lastRenderedPageBreak/>
        <w:t>L’ensemble des normes constitutionnelles et législatives entre pleinement en vigueur à la fin de la transition.</w:t>
      </w:r>
    </w:p>
    <w:p w14:paraId="794A4AF3" w14:textId="77777777" w:rsidR="002A2186" w:rsidRPr="002A2186" w:rsidRDefault="00000000" w:rsidP="002A2186">
      <w:pPr>
        <w:rPr>
          <w:rFonts w:ascii="Arial" w:hAnsi="Arial" w:cs="Arial"/>
          <w:sz w:val="24"/>
          <w:szCs w:val="24"/>
          <w:lang w:val="fr-CA"/>
        </w:rPr>
      </w:pPr>
      <w:r>
        <w:rPr>
          <w:rFonts w:ascii="Arial" w:hAnsi="Arial" w:cs="Arial"/>
          <w:sz w:val="24"/>
          <w:szCs w:val="24"/>
          <w:lang w:val="fr-CA"/>
        </w:rPr>
        <w:pict w14:anchorId="1EB5F85A">
          <v:rect id="_x0000_i1085" style="width:0;height:1.5pt" o:hralign="center" o:hrstd="t" o:hr="t" fillcolor="#a0a0a0" stroked="f"/>
        </w:pict>
      </w:r>
    </w:p>
    <w:p w14:paraId="322A559F" w14:textId="77777777" w:rsidR="002A2186" w:rsidRPr="002A2186" w:rsidRDefault="002A2186" w:rsidP="002A2186">
      <w:pPr>
        <w:rPr>
          <w:rFonts w:ascii="Arial" w:hAnsi="Arial" w:cs="Arial"/>
          <w:b/>
          <w:bCs/>
          <w:sz w:val="24"/>
          <w:szCs w:val="24"/>
          <w:lang w:val="fr-CA"/>
        </w:rPr>
      </w:pPr>
      <w:r w:rsidRPr="00984EE5">
        <w:rPr>
          <w:lang w:val="fr-CA"/>
        </w:rPr>
        <w:t>Article 60 — Garantie de pérennité</w:t>
      </w:r>
    </w:p>
    <w:p w14:paraId="1D238CA8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Les principes fondamentaux établis durant la transition s’imposent aux institutions futures.</w:t>
      </w:r>
    </w:p>
    <w:p w14:paraId="77D7BEFA" w14:textId="77777777" w:rsidR="002A2186" w:rsidRPr="002A2186" w:rsidRDefault="002A2186" w:rsidP="002A2186">
      <w:pPr>
        <w:rPr>
          <w:rFonts w:ascii="Arial" w:hAnsi="Arial" w:cs="Arial"/>
          <w:sz w:val="24"/>
          <w:szCs w:val="24"/>
          <w:lang w:val="fr-CA"/>
        </w:rPr>
      </w:pPr>
      <w:r w:rsidRPr="002A2186">
        <w:rPr>
          <w:rFonts w:ascii="Arial" w:hAnsi="Arial" w:cs="Arial"/>
          <w:sz w:val="24"/>
          <w:szCs w:val="24"/>
          <w:lang w:val="fr-CA"/>
        </w:rPr>
        <w:t>Toute tentative de remise en cause abusive est interdite.</w:t>
      </w:r>
    </w:p>
    <w:p w14:paraId="2AC674A2" w14:textId="77777777" w:rsidR="00BB3DFA" w:rsidRDefault="00BB3DFA" w:rsidP="00102694">
      <w:pPr>
        <w:rPr>
          <w:rFonts w:ascii="Arial" w:hAnsi="Arial" w:cs="Arial"/>
          <w:sz w:val="24"/>
          <w:szCs w:val="24"/>
          <w:lang w:val="fr-CA"/>
        </w:rPr>
      </w:pPr>
    </w:p>
    <w:sectPr w:rsidR="00BB3D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B0FA0"/>
    <w:multiLevelType w:val="multilevel"/>
    <w:tmpl w:val="3F36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45562A"/>
    <w:multiLevelType w:val="multilevel"/>
    <w:tmpl w:val="C69A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47423B"/>
    <w:multiLevelType w:val="multilevel"/>
    <w:tmpl w:val="3A6EE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1BE780F"/>
    <w:multiLevelType w:val="multilevel"/>
    <w:tmpl w:val="70AE4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203DA5"/>
    <w:multiLevelType w:val="multilevel"/>
    <w:tmpl w:val="4C34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1756C8"/>
    <w:multiLevelType w:val="multilevel"/>
    <w:tmpl w:val="109A6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F47798"/>
    <w:multiLevelType w:val="multilevel"/>
    <w:tmpl w:val="83A6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7FA225F"/>
    <w:multiLevelType w:val="multilevel"/>
    <w:tmpl w:val="A42E1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925B93"/>
    <w:multiLevelType w:val="multilevel"/>
    <w:tmpl w:val="D8EA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9E4E33"/>
    <w:multiLevelType w:val="multilevel"/>
    <w:tmpl w:val="7D08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E4433B"/>
    <w:multiLevelType w:val="multilevel"/>
    <w:tmpl w:val="BC08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D174D87"/>
    <w:multiLevelType w:val="multilevel"/>
    <w:tmpl w:val="0AD6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65511"/>
    <w:multiLevelType w:val="multilevel"/>
    <w:tmpl w:val="89D09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F06153D"/>
    <w:multiLevelType w:val="multilevel"/>
    <w:tmpl w:val="E26E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D63073"/>
    <w:multiLevelType w:val="multilevel"/>
    <w:tmpl w:val="C440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AA397A"/>
    <w:multiLevelType w:val="multilevel"/>
    <w:tmpl w:val="943E9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926A7D"/>
    <w:multiLevelType w:val="multilevel"/>
    <w:tmpl w:val="1C3A2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FB1F17"/>
    <w:multiLevelType w:val="multilevel"/>
    <w:tmpl w:val="B672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7C10CC"/>
    <w:multiLevelType w:val="multilevel"/>
    <w:tmpl w:val="0A6E9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982F17"/>
    <w:multiLevelType w:val="multilevel"/>
    <w:tmpl w:val="5E287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5E5C24"/>
    <w:multiLevelType w:val="multilevel"/>
    <w:tmpl w:val="16C4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C12D07"/>
    <w:multiLevelType w:val="multilevel"/>
    <w:tmpl w:val="330E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40481B"/>
    <w:multiLevelType w:val="multilevel"/>
    <w:tmpl w:val="D8D4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631FEB"/>
    <w:multiLevelType w:val="multilevel"/>
    <w:tmpl w:val="4A840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B54C09"/>
    <w:multiLevelType w:val="multilevel"/>
    <w:tmpl w:val="612A1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523147"/>
    <w:multiLevelType w:val="multilevel"/>
    <w:tmpl w:val="359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BB56D7"/>
    <w:multiLevelType w:val="multilevel"/>
    <w:tmpl w:val="6CC4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D964E8"/>
    <w:multiLevelType w:val="multilevel"/>
    <w:tmpl w:val="C2A00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43A7452"/>
    <w:multiLevelType w:val="multilevel"/>
    <w:tmpl w:val="73A88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6293182"/>
    <w:multiLevelType w:val="multilevel"/>
    <w:tmpl w:val="EFAA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9A318D0"/>
    <w:multiLevelType w:val="multilevel"/>
    <w:tmpl w:val="401E4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7221DF"/>
    <w:multiLevelType w:val="multilevel"/>
    <w:tmpl w:val="37FE7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AF82FB5"/>
    <w:multiLevelType w:val="multilevel"/>
    <w:tmpl w:val="F3BC1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8B2FB0"/>
    <w:multiLevelType w:val="multilevel"/>
    <w:tmpl w:val="6CC68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BF33865"/>
    <w:multiLevelType w:val="multilevel"/>
    <w:tmpl w:val="99DE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F34245"/>
    <w:multiLevelType w:val="multilevel"/>
    <w:tmpl w:val="0980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E86FB4"/>
    <w:multiLevelType w:val="multilevel"/>
    <w:tmpl w:val="4A46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D9F7987"/>
    <w:multiLevelType w:val="multilevel"/>
    <w:tmpl w:val="2200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246987"/>
    <w:multiLevelType w:val="multilevel"/>
    <w:tmpl w:val="504A7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E6470F5"/>
    <w:multiLevelType w:val="multilevel"/>
    <w:tmpl w:val="495A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842E90"/>
    <w:multiLevelType w:val="multilevel"/>
    <w:tmpl w:val="0724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E7390F"/>
    <w:multiLevelType w:val="multilevel"/>
    <w:tmpl w:val="71DA4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FB3200"/>
    <w:multiLevelType w:val="multilevel"/>
    <w:tmpl w:val="E8F2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884F29"/>
    <w:multiLevelType w:val="multilevel"/>
    <w:tmpl w:val="4D7AD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2981C82"/>
    <w:multiLevelType w:val="multilevel"/>
    <w:tmpl w:val="C93ED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3C83ADB"/>
    <w:multiLevelType w:val="multilevel"/>
    <w:tmpl w:val="275C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3D23AEE"/>
    <w:multiLevelType w:val="multilevel"/>
    <w:tmpl w:val="14D6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4DC0C7C"/>
    <w:multiLevelType w:val="multilevel"/>
    <w:tmpl w:val="3CC2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5646F10"/>
    <w:multiLevelType w:val="multilevel"/>
    <w:tmpl w:val="0624F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64774A2"/>
    <w:multiLevelType w:val="multilevel"/>
    <w:tmpl w:val="9A683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6517744"/>
    <w:multiLevelType w:val="multilevel"/>
    <w:tmpl w:val="66B6C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71C70CD"/>
    <w:multiLevelType w:val="multilevel"/>
    <w:tmpl w:val="936C2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38723482"/>
    <w:multiLevelType w:val="multilevel"/>
    <w:tmpl w:val="2056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98F533B"/>
    <w:multiLevelType w:val="multilevel"/>
    <w:tmpl w:val="74DEE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A686133"/>
    <w:multiLevelType w:val="multilevel"/>
    <w:tmpl w:val="3B1E7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D8A070E"/>
    <w:multiLevelType w:val="multilevel"/>
    <w:tmpl w:val="C5EC9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E823367"/>
    <w:multiLevelType w:val="multilevel"/>
    <w:tmpl w:val="71182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FD646FF"/>
    <w:multiLevelType w:val="multilevel"/>
    <w:tmpl w:val="CC9CF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01E11FB"/>
    <w:multiLevelType w:val="multilevel"/>
    <w:tmpl w:val="FE5CC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523EBF"/>
    <w:multiLevelType w:val="multilevel"/>
    <w:tmpl w:val="E820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DD7711"/>
    <w:multiLevelType w:val="multilevel"/>
    <w:tmpl w:val="2836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2101FED"/>
    <w:multiLevelType w:val="multilevel"/>
    <w:tmpl w:val="1486A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3014233"/>
    <w:multiLevelType w:val="multilevel"/>
    <w:tmpl w:val="9C32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4232237"/>
    <w:multiLevelType w:val="multilevel"/>
    <w:tmpl w:val="8ABA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5C424E2"/>
    <w:multiLevelType w:val="multilevel"/>
    <w:tmpl w:val="5E8A5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6834FAD"/>
    <w:multiLevelType w:val="multilevel"/>
    <w:tmpl w:val="A616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6916E83"/>
    <w:multiLevelType w:val="multilevel"/>
    <w:tmpl w:val="CDA2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9731383"/>
    <w:multiLevelType w:val="multilevel"/>
    <w:tmpl w:val="72408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A276BB7"/>
    <w:multiLevelType w:val="multilevel"/>
    <w:tmpl w:val="28AA7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ABB3C18"/>
    <w:multiLevelType w:val="multilevel"/>
    <w:tmpl w:val="69461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B0F4750"/>
    <w:multiLevelType w:val="multilevel"/>
    <w:tmpl w:val="3144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BB05597"/>
    <w:multiLevelType w:val="multilevel"/>
    <w:tmpl w:val="A21C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C407801"/>
    <w:multiLevelType w:val="multilevel"/>
    <w:tmpl w:val="4410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CB6283E"/>
    <w:multiLevelType w:val="multilevel"/>
    <w:tmpl w:val="0F5E0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CF77459"/>
    <w:multiLevelType w:val="multilevel"/>
    <w:tmpl w:val="A0C09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12841A0"/>
    <w:multiLevelType w:val="multilevel"/>
    <w:tmpl w:val="91C26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26D5D63"/>
    <w:multiLevelType w:val="multilevel"/>
    <w:tmpl w:val="BF6E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508511F"/>
    <w:multiLevelType w:val="multilevel"/>
    <w:tmpl w:val="C1E03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591706D"/>
    <w:multiLevelType w:val="multilevel"/>
    <w:tmpl w:val="8F20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71455A8"/>
    <w:multiLevelType w:val="multilevel"/>
    <w:tmpl w:val="CF3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9D3452A"/>
    <w:multiLevelType w:val="multilevel"/>
    <w:tmpl w:val="5374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B2B3E0E"/>
    <w:multiLevelType w:val="multilevel"/>
    <w:tmpl w:val="AA8E7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BDA7B54"/>
    <w:multiLevelType w:val="multilevel"/>
    <w:tmpl w:val="31026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CF45052"/>
    <w:multiLevelType w:val="multilevel"/>
    <w:tmpl w:val="1D90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CFB6410"/>
    <w:multiLevelType w:val="multilevel"/>
    <w:tmpl w:val="0080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DAE154C"/>
    <w:multiLevelType w:val="multilevel"/>
    <w:tmpl w:val="72DE1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DE277A8"/>
    <w:multiLevelType w:val="multilevel"/>
    <w:tmpl w:val="50928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FD82445"/>
    <w:multiLevelType w:val="multilevel"/>
    <w:tmpl w:val="4DD6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2AF2BA9"/>
    <w:multiLevelType w:val="multilevel"/>
    <w:tmpl w:val="63A6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303363B"/>
    <w:multiLevelType w:val="multilevel"/>
    <w:tmpl w:val="6E0AD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3FA4482"/>
    <w:multiLevelType w:val="multilevel"/>
    <w:tmpl w:val="F790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4696CDB"/>
    <w:multiLevelType w:val="multilevel"/>
    <w:tmpl w:val="CCAA3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6697002C"/>
    <w:multiLevelType w:val="multilevel"/>
    <w:tmpl w:val="8D32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6FF1E73"/>
    <w:multiLevelType w:val="multilevel"/>
    <w:tmpl w:val="A53C7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7945E0D"/>
    <w:multiLevelType w:val="multilevel"/>
    <w:tmpl w:val="EB48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8B0659A"/>
    <w:multiLevelType w:val="multilevel"/>
    <w:tmpl w:val="4516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C5836C8"/>
    <w:multiLevelType w:val="multilevel"/>
    <w:tmpl w:val="9AD67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6F8C1B37"/>
    <w:multiLevelType w:val="multilevel"/>
    <w:tmpl w:val="88521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F944244"/>
    <w:multiLevelType w:val="multilevel"/>
    <w:tmpl w:val="FE82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0105EBC"/>
    <w:multiLevelType w:val="multilevel"/>
    <w:tmpl w:val="5C2C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156458C"/>
    <w:multiLevelType w:val="multilevel"/>
    <w:tmpl w:val="BCF8E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18B2424"/>
    <w:multiLevelType w:val="multilevel"/>
    <w:tmpl w:val="56BA9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2DC2345"/>
    <w:multiLevelType w:val="multilevel"/>
    <w:tmpl w:val="A414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3613392"/>
    <w:multiLevelType w:val="multilevel"/>
    <w:tmpl w:val="25BE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6B43A0B"/>
    <w:multiLevelType w:val="multilevel"/>
    <w:tmpl w:val="F0DE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7972BA4"/>
    <w:multiLevelType w:val="multilevel"/>
    <w:tmpl w:val="F392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7E61192"/>
    <w:multiLevelType w:val="multilevel"/>
    <w:tmpl w:val="96608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84B23F0"/>
    <w:multiLevelType w:val="multilevel"/>
    <w:tmpl w:val="DD9C4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8D024B3"/>
    <w:multiLevelType w:val="multilevel"/>
    <w:tmpl w:val="276A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9EB1027"/>
    <w:multiLevelType w:val="multilevel"/>
    <w:tmpl w:val="A4E0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A2B096B"/>
    <w:multiLevelType w:val="multilevel"/>
    <w:tmpl w:val="FAB48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C18715D"/>
    <w:multiLevelType w:val="multilevel"/>
    <w:tmpl w:val="890E7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D307199"/>
    <w:multiLevelType w:val="multilevel"/>
    <w:tmpl w:val="B1A6D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DF85A51"/>
    <w:multiLevelType w:val="multilevel"/>
    <w:tmpl w:val="29D89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E4452BD"/>
    <w:multiLevelType w:val="multilevel"/>
    <w:tmpl w:val="B4BE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4336870">
    <w:abstractNumId w:val="8"/>
  </w:num>
  <w:num w:numId="2" w16cid:durableId="153645559">
    <w:abstractNumId w:val="6"/>
  </w:num>
  <w:num w:numId="3" w16cid:durableId="1033313488">
    <w:abstractNumId w:val="5"/>
  </w:num>
  <w:num w:numId="4" w16cid:durableId="1674841931">
    <w:abstractNumId w:val="4"/>
  </w:num>
  <w:num w:numId="5" w16cid:durableId="91246314">
    <w:abstractNumId w:val="7"/>
  </w:num>
  <w:num w:numId="6" w16cid:durableId="318848174">
    <w:abstractNumId w:val="3"/>
  </w:num>
  <w:num w:numId="7" w16cid:durableId="683555406">
    <w:abstractNumId w:val="2"/>
  </w:num>
  <w:num w:numId="8" w16cid:durableId="1383137327">
    <w:abstractNumId w:val="1"/>
  </w:num>
  <w:num w:numId="9" w16cid:durableId="1104227671">
    <w:abstractNumId w:val="0"/>
  </w:num>
  <w:num w:numId="10" w16cid:durableId="1351298014">
    <w:abstractNumId w:val="90"/>
  </w:num>
  <w:num w:numId="11" w16cid:durableId="1035541045">
    <w:abstractNumId w:val="22"/>
  </w:num>
  <w:num w:numId="12" w16cid:durableId="77139575">
    <w:abstractNumId w:val="32"/>
  </w:num>
  <w:num w:numId="13" w16cid:durableId="875191373">
    <w:abstractNumId w:val="23"/>
  </w:num>
  <w:num w:numId="14" w16cid:durableId="1530098285">
    <w:abstractNumId w:val="68"/>
  </w:num>
  <w:num w:numId="15" w16cid:durableId="648824949">
    <w:abstractNumId w:val="30"/>
  </w:num>
  <w:num w:numId="16" w16cid:durableId="1593581919">
    <w:abstractNumId w:val="94"/>
  </w:num>
  <w:num w:numId="17" w16cid:durableId="557712229">
    <w:abstractNumId w:val="119"/>
  </w:num>
  <w:num w:numId="18" w16cid:durableId="1634556747">
    <w:abstractNumId w:val="108"/>
  </w:num>
  <w:num w:numId="19" w16cid:durableId="1510677707">
    <w:abstractNumId w:val="17"/>
  </w:num>
  <w:num w:numId="20" w16cid:durableId="838695638">
    <w:abstractNumId w:val="66"/>
  </w:num>
  <w:num w:numId="21" w16cid:durableId="1256212405">
    <w:abstractNumId w:val="57"/>
  </w:num>
  <w:num w:numId="22" w16cid:durableId="226721163">
    <w:abstractNumId w:val="53"/>
  </w:num>
  <w:num w:numId="23" w16cid:durableId="1668361237">
    <w:abstractNumId w:val="28"/>
  </w:num>
  <w:num w:numId="24" w16cid:durableId="1625383870">
    <w:abstractNumId w:val="86"/>
  </w:num>
  <w:num w:numId="25" w16cid:durableId="1747415093">
    <w:abstractNumId w:val="61"/>
  </w:num>
  <w:num w:numId="26" w16cid:durableId="1021323053">
    <w:abstractNumId w:val="121"/>
  </w:num>
  <w:num w:numId="27" w16cid:durableId="320503255">
    <w:abstractNumId w:val="46"/>
  </w:num>
  <w:num w:numId="28" w16cid:durableId="1321738609">
    <w:abstractNumId w:val="120"/>
  </w:num>
  <w:num w:numId="29" w16cid:durableId="2004238197">
    <w:abstractNumId w:val="55"/>
  </w:num>
  <w:num w:numId="30" w16cid:durableId="39717107">
    <w:abstractNumId w:val="59"/>
  </w:num>
  <w:num w:numId="31" w16cid:durableId="948705035">
    <w:abstractNumId w:val="15"/>
  </w:num>
  <w:num w:numId="32" w16cid:durableId="1013998794">
    <w:abstractNumId w:val="38"/>
  </w:num>
  <w:num w:numId="33" w16cid:durableId="106243668">
    <w:abstractNumId w:val="100"/>
  </w:num>
  <w:num w:numId="34" w16cid:durableId="1747143291">
    <w:abstractNumId w:val="67"/>
  </w:num>
  <w:num w:numId="35" w16cid:durableId="1276904705">
    <w:abstractNumId w:val="73"/>
  </w:num>
  <w:num w:numId="36" w16cid:durableId="576129821">
    <w:abstractNumId w:val="27"/>
  </w:num>
  <w:num w:numId="37" w16cid:durableId="1127548120">
    <w:abstractNumId w:val="122"/>
  </w:num>
  <w:num w:numId="38" w16cid:durableId="179005338">
    <w:abstractNumId w:val="12"/>
  </w:num>
  <w:num w:numId="39" w16cid:durableId="1376393563">
    <w:abstractNumId w:val="80"/>
  </w:num>
  <w:num w:numId="40" w16cid:durableId="1627738346">
    <w:abstractNumId w:val="97"/>
  </w:num>
  <w:num w:numId="41" w16cid:durableId="282153432">
    <w:abstractNumId w:val="89"/>
  </w:num>
  <w:num w:numId="42" w16cid:durableId="1463840043">
    <w:abstractNumId w:val="19"/>
  </w:num>
  <w:num w:numId="43" w16cid:durableId="1238977103">
    <w:abstractNumId w:val="74"/>
  </w:num>
  <w:num w:numId="44" w16cid:durableId="1559586643">
    <w:abstractNumId w:val="105"/>
  </w:num>
  <w:num w:numId="45" w16cid:durableId="1204752325">
    <w:abstractNumId w:val="37"/>
  </w:num>
  <w:num w:numId="46" w16cid:durableId="1599099725">
    <w:abstractNumId w:val="65"/>
  </w:num>
  <w:num w:numId="47" w16cid:durableId="826479037">
    <w:abstractNumId w:val="118"/>
  </w:num>
  <w:num w:numId="48" w16cid:durableId="1095783603">
    <w:abstractNumId w:val="50"/>
  </w:num>
  <w:num w:numId="49" w16cid:durableId="55905348">
    <w:abstractNumId w:val="29"/>
  </w:num>
  <w:num w:numId="50" w16cid:durableId="813792857">
    <w:abstractNumId w:val="45"/>
  </w:num>
  <w:num w:numId="51" w16cid:durableId="992027848">
    <w:abstractNumId w:val="123"/>
  </w:num>
  <w:num w:numId="52" w16cid:durableId="1765881574">
    <w:abstractNumId w:val="62"/>
  </w:num>
  <w:num w:numId="53" w16cid:durableId="1344163248">
    <w:abstractNumId w:val="35"/>
  </w:num>
  <w:num w:numId="54" w16cid:durableId="1158619421">
    <w:abstractNumId w:val="25"/>
  </w:num>
  <w:num w:numId="55" w16cid:durableId="1165898048">
    <w:abstractNumId w:val="33"/>
  </w:num>
  <w:num w:numId="56" w16cid:durableId="974872270">
    <w:abstractNumId w:val="49"/>
  </w:num>
  <w:num w:numId="57" w16cid:durableId="1350840156">
    <w:abstractNumId w:val="71"/>
  </w:num>
  <w:num w:numId="58" w16cid:durableId="285818453">
    <w:abstractNumId w:val="43"/>
  </w:num>
  <w:num w:numId="59" w16cid:durableId="1190603413">
    <w:abstractNumId w:val="14"/>
  </w:num>
  <w:num w:numId="60" w16cid:durableId="9722819">
    <w:abstractNumId w:val="82"/>
  </w:num>
  <w:num w:numId="61" w16cid:durableId="1659000567">
    <w:abstractNumId w:val="13"/>
  </w:num>
  <w:num w:numId="62" w16cid:durableId="1377314745">
    <w:abstractNumId w:val="116"/>
  </w:num>
  <w:num w:numId="63" w16cid:durableId="1710492948">
    <w:abstractNumId w:val="48"/>
  </w:num>
  <w:num w:numId="64" w16cid:durableId="464281293">
    <w:abstractNumId w:val="113"/>
  </w:num>
  <w:num w:numId="65" w16cid:durableId="1382485235">
    <w:abstractNumId w:val="44"/>
  </w:num>
  <w:num w:numId="66" w16cid:durableId="512187076">
    <w:abstractNumId w:val="112"/>
  </w:num>
  <w:num w:numId="67" w16cid:durableId="856040382">
    <w:abstractNumId w:val="83"/>
  </w:num>
  <w:num w:numId="68" w16cid:durableId="263460576">
    <w:abstractNumId w:val="88"/>
  </w:num>
  <w:num w:numId="69" w16cid:durableId="1591044523">
    <w:abstractNumId w:val="85"/>
  </w:num>
  <w:num w:numId="70" w16cid:durableId="378634194">
    <w:abstractNumId w:val="16"/>
  </w:num>
  <w:num w:numId="71" w16cid:durableId="1793941278">
    <w:abstractNumId w:val="107"/>
  </w:num>
  <w:num w:numId="72" w16cid:durableId="1051225206">
    <w:abstractNumId w:val="78"/>
  </w:num>
  <w:num w:numId="73" w16cid:durableId="1378894684">
    <w:abstractNumId w:val="70"/>
  </w:num>
  <w:num w:numId="74" w16cid:durableId="460347591">
    <w:abstractNumId w:val="101"/>
  </w:num>
  <w:num w:numId="75" w16cid:durableId="1927566056">
    <w:abstractNumId w:val="42"/>
  </w:num>
  <w:num w:numId="76" w16cid:durableId="1315185761">
    <w:abstractNumId w:val="93"/>
  </w:num>
  <w:num w:numId="77" w16cid:durableId="484931251">
    <w:abstractNumId w:val="76"/>
  </w:num>
  <w:num w:numId="78" w16cid:durableId="290064753">
    <w:abstractNumId w:val="109"/>
  </w:num>
  <w:num w:numId="79" w16cid:durableId="2093046272">
    <w:abstractNumId w:val="110"/>
  </w:num>
  <w:num w:numId="80" w16cid:durableId="17125373">
    <w:abstractNumId w:val="114"/>
  </w:num>
  <w:num w:numId="81" w16cid:durableId="961955579">
    <w:abstractNumId w:val="98"/>
  </w:num>
  <w:num w:numId="82" w16cid:durableId="1200821196">
    <w:abstractNumId w:val="69"/>
  </w:num>
  <w:num w:numId="83" w16cid:durableId="62993187">
    <w:abstractNumId w:val="31"/>
  </w:num>
  <w:num w:numId="84" w16cid:durableId="881555835">
    <w:abstractNumId w:val="47"/>
  </w:num>
  <w:num w:numId="85" w16cid:durableId="1150176243">
    <w:abstractNumId w:val="75"/>
  </w:num>
  <w:num w:numId="86" w16cid:durableId="759565792">
    <w:abstractNumId w:val="99"/>
  </w:num>
  <w:num w:numId="87" w16cid:durableId="1671760772">
    <w:abstractNumId w:val="111"/>
  </w:num>
  <w:num w:numId="88" w16cid:durableId="1195388014">
    <w:abstractNumId w:val="103"/>
  </w:num>
  <w:num w:numId="89" w16cid:durableId="1842694720">
    <w:abstractNumId w:val="52"/>
  </w:num>
  <w:num w:numId="90" w16cid:durableId="612129873">
    <w:abstractNumId w:val="51"/>
  </w:num>
  <w:num w:numId="91" w16cid:durableId="299384690">
    <w:abstractNumId w:val="34"/>
  </w:num>
  <w:num w:numId="92" w16cid:durableId="1216694658">
    <w:abstractNumId w:val="60"/>
  </w:num>
  <w:num w:numId="93" w16cid:durableId="1855804908">
    <w:abstractNumId w:val="56"/>
  </w:num>
  <w:num w:numId="94" w16cid:durableId="1629698820">
    <w:abstractNumId w:val="26"/>
  </w:num>
  <w:num w:numId="95" w16cid:durableId="2031493968">
    <w:abstractNumId w:val="72"/>
  </w:num>
  <w:num w:numId="96" w16cid:durableId="1529490477">
    <w:abstractNumId w:val="117"/>
  </w:num>
  <w:num w:numId="97" w16cid:durableId="1630429150">
    <w:abstractNumId w:val="10"/>
  </w:num>
  <w:num w:numId="98" w16cid:durableId="1641768797">
    <w:abstractNumId w:val="20"/>
  </w:num>
  <w:num w:numId="99" w16cid:durableId="1645546957">
    <w:abstractNumId w:val="40"/>
  </w:num>
  <w:num w:numId="100" w16cid:durableId="112553527">
    <w:abstractNumId w:val="84"/>
  </w:num>
  <w:num w:numId="101" w16cid:durableId="1533415107">
    <w:abstractNumId w:val="18"/>
  </w:num>
  <w:num w:numId="102" w16cid:durableId="1189026927">
    <w:abstractNumId w:val="106"/>
  </w:num>
  <w:num w:numId="103" w16cid:durableId="550730753">
    <w:abstractNumId w:val="11"/>
  </w:num>
  <w:num w:numId="104" w16cid:durableId="652372507">
    <w:abstractNumId w:val="21"/>
  </w:num>
  <w:num w:numId="105" w16cid:durableId="749623494">
    <w:abstractNumId w:val="91"/>
  </w:num>
  <w:num w:numId="106" w16cid:durableId="1059062062">
    <w:abstractNumId w:val="102"/>
  </w:num>
  <w:num w:numId="107" w16cid:durableId="245458283">
    <w:abstractNumId w:val="95"/>
  </w:num>
  <w:num w:numId="108" w16cid:durableId="339431409">
    <w:abstractNumId w:val="9"/>
  </w:num>
  <w:num w:numId="109" w16cid:durableId="712194212">
    <w:abstractNumId w:val="39"/>
  </w:num>
  <w:num w:numId="110" w16cid:durableId="431359107">
    <w:abstractNumId w:val="24"/>
  </w:num>
  <w:num w:numId="111" w16cid:durableId="629936811">
    <w:abstractNumId w:val="79"/>
  </w:num>
  <w:num w:numId="112" w16cid:durableId="907613998">
    <w:abstractNumId w:val="87"/>
  </w:num>
  <w:num w:numId="113" w16cid:durableId="1486821308">
    <w:abstractNumId w:val="41"/>
  </w:num>
  <w:num w:numId="114" w16cid:durableId="1232430232">
    <w:abstractNumId w:val="54"/>
  </w:num>
  <w:num w:numId="115" w16cid:durableId="567767301">
    <w:abstractNumId w:val="81"/>
  </w:num>
  <w:num w:numId="116" w16cid:durableId="114760173">
    <w:abstractNumId w:val="36"/>
  </w:num>
  <w:num w:numId="117" w16cid:durableId="1216114709">
    <w:abstractNumId w:val="77"/>
  </w:num>
  <w:num w:numId="118" w16cid:durableId="1007487719">
    <w:abstractNumId w:val="58"/>
  </w:num>
  <w:num w:numId="119" w16cid:durableId="283736216">
    <w:abstractNumId w:val="104"/>
  </w:num>
  <w:num w:numId="120" w16cid:durableId="1761370566">
    <w:abstractNumId w:val="64"/>
  </w:num>
  <w:num w:numId="121" w16cid:durableId="1001588583">
    <w:abstractNumId w:val="96"/>
  </w:num>
  <w:num w:numId="122" w16cid:durableId="442724395">
    <w:abstractNumId w:val="63"/>
  </w:num>
  <w:num w:numId="123" w16cid:durableId="1461336693">
    <w:abstractNumId w:val="115"/>
  </w:num>
  <w:num w:numId="124" w16cid:durableId="431440979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2694"/>
    <w:rsid w:val="0015074B"/>
    <w:rsid w:val="0029639D"/>
    <w:rsid w:val="002A2186"/>
    <w:rsid w:val="00326F90"/>
    <w:rsid w:val="005962BA"/>
    <w:rsid w:val="006950E0"/>
    <w:rsid w:val="008C2081"/>
    <w:rsid w:val="00984EE5"/>
    <w:rsid w:val="009A13CC"/>
    <w:rsid w:val="00A30D52"/>
    <w:rsid w:val="00AA1D8D"/>
    <w:rsid w:val="00B314D4"/>
    <w:rsid w:val="00B47730"/>
    <w:rsid w:val="00B907D8"/>
    <w:rsid w:val="00BB3DFA"/>
    <w:rsid w:val="00BF68CF"/>
    <w:rsid w:val="00CB0664"/>
    <w:rsid w:val="00D460CD"/>
    <w:rsid w:val="00D55B68"/>
    <w:rsid w:val="00DA00F7"/>
    <w:rsid w:val="00F64C8B"/>
    <w:rsid w:val="00FB69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C93920"/>
  <w14:defaultImageDpi w14:val="300"/>
  <w15:docId w15:val="{FF53A0EF-5668-4281-8B9B-BCF91FAFE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15</Pages>
  <Words>2072</Words>
  <Characters>11399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Benoit Cantin</cp:lastModifiedBy>
  <cp:revision>7</cp:revision>
  <dcterms:created xsi:type="dcterms:W3CDTF">2013-12-23T23:15:00Z</dcterms:created>
  <dcterms:modified xsi:type="dcterms:W3CDTF">2026-01-25T02:29:00Z</dcterms:modified>
  <cp:category/>
</cp:coreProperties>
</file>