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color w:val="1F3763"/>
          <w:sz w:val="36"/>
        </w:rPr>
        <w:t>DOCUMENT OFFICIEL</w:t>
      </w:r>
    </w:p>
    <w:p>
      <w:pPr>
        <w:jc w:val="center"/>
      </w:pPr>
      <w:r>
        <w:rPr>
          <w:b/>
          <w:color w:val="1F3763"/>
          <w:sz w:val="56"/>
        </w:rPr>
        <w:t>SYSTÈME NOVA</w:t>
      </w:r>
    </w:p>
    <w:p>
      <w:pPr>
        <w:jc w:val="center"/>
      </w:pPr>
      <w:r>
        <w:rPr>
          <w:b/>
          <w:color w:val="2F5597"/>
          <w:sz w:val="36"/>
        </w:rPr>
        <w:t>LOIS ORDINAIRES &amp; DROIT PUBLIC OPÉRATIONNEL</w:t>
      </w:r>
    </w:p>
    <w:p>
      <w:pPr>
        <w:jc w:val="center"/>
      </w:pPr>
      <w:r>
        <w:rPr>
          <w:i/>
          <w:sz w:val="22"/>
        </w:rPr>
        <w:t>Version officielle consolidée - Projet Nova</w:t>
      </w:r>
    </w:p>
    <w:p>
      <w:pPr>
        <w:pStyle w:val="SmallNote"/>
        <w:jc w:val="center"/>
      </w:pPr>
      <w:r>
        <w:t>Document de consolidation politique, juridique et administrative.</w:t>
      </w:r>
    </w:p>
    <w:p>
      <w:pPr>
        <w:pStyle w:val="SmallNote"/>
        <w:jc w:val="center"/>
      </w:pPr>
      <w:r>
        <w:t>Texte préparatoire destiné à encadrer les lois ordinaires applicables aux citoyens, aux services publics, à l’économie, à la sécurité, au numérique, au logement, à l’immigration et aux politiques nationales.</w:t>
      </w:r>
    </w:p>
    <w:p>
      <w:pPr>
        <w:pStyle w:val="SmallNote"/>
        <w:jc w:val="center"/>
      </w:pPr>
      <w:r>
        <w:t>Ce document doit être lu avec la Constitution, les normes fondamentales, les lois organiques et les lois administratives du Système Nova.</w:t>
      </w:r>
    </w:p>
    <w:p>
      <w:r/>
    </w:p>
    <w:p>
      <w:pPr>
        <w:pStyle w:val="Heading1"/>
      </w:pPr>
      <w:r>
        <w:t>AVIS DE CONSOLIDATION</w:t>
      </w:r>
    </w:p>
    <w:p>
      <w:r>
        <w:t>Le présent document constitue une version consolidée des lois ordinaires et du droit public opérationnel du Système Nova.</w:t>
      </w:r>
    </w:p>
    <w:p>
      <w:r>
        <w:t>Il ne remplace pas la Constitution, les normes fondamentales ni les lois organiques. Il précise les règles de fonctionnement courant dans les matières publiques relevant de l’État, des citoyens, des entreprises, des services essentiels et de l’administration.</w:t>
      </w:r>
    </w:p>
    <w:p>
      <w:r>
        <w:t>Les lois ordinaires doivent toujours être interprétées conformément à la hiérarchie normative du Système Nova : Constitution, normes fondamentales, lois organiques, lois administratives, lois ordinaires, règlements et directives d’application.</w:t>
      </w:r>
    </w:p>
    <w:p>
      <w:r>
        <w:t>Aucune loi ordinaire ne peut servir à contourner la souveraineté populaire, l’indépendance du vote, la transparence, l’intégrité, les droits fondamentaux, le français comme langue commune, la responsabilité financière ou les garanties constitutionnelles.</w:t>
      </w:r>
    </w:p>
    <w:p>
      <w:pPr>
        <w:pStyle w:val="Heading1"/>
      </w:pPr>
      <w:r>
        <w:t>TABLE DE REPÉRAGE GÉNÉRALE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
              <w:rPr>
                <w:rFonts w:ascii="Arial" w:hAnsi="Arial" w:eastAsia="Arial"/>
                <w:b/>
                <w:color w:val="FFFFFF"/>
                <w:sz w:val="17"/>
              </w:rPr>
              <w:t>Partie</w:t>
            </w:r>
          </w:p>
        </w:tc>
        <w:tc>
          <w:tcPr>
            <w:tcW w:type="dxa" w:w="3331"/>
            <w:vAlign w:val="center"/>
            <w:shd w:fill="1F4E79"/>
          </w:tcPr>
          <w:p>
            <w:r/>
            <w:r>
              <w:rPr>
                <w:rFonts w:ascii="Arial" w:hAnsi="Arial" w:eastAsia="Arial"/>
                <w:b/>
                <w:color w:val="FFFFFF"/>
                <w:sz w:val="17"/>
              </w:rPr>
              <w:t>Objet</w:t>
            </w:r>
          </w:p>
        </w:tc>
        <w:tc>
          <w:tcPr>
            <w:tcW w:type="dxa" w:w="3331"/>
            <w:vAlign w:val="center"/>
            <w:shd w:fill="1F4E79"/>
          </w:tcPr>
          <w:p>
            <w:r/>
            <w:r>
              <w:rPr>
                <w:rFonts w:ascii="Arial" w:hAnsi="Arial" w:eastAsia="Arial"/>
                <w:b/>
                <w:color w:val="FFFFFF"/>
                <w:sz w:val="17"/>
              </w:rPr>
              <w:t>Articles</w:t>
            </w:r>
          </w:p>
        </w:tc>
      </w:tr>
      <w:tr>
        <w:tc>
          <w:tcPr>
            <w:tcW w:type="dxa" w:w="3331"/>
            <w:vAlign w:val="center"/>
          </w:tcPr>
          <w:p>
            <w:r/>
            <w:r>
              <w:rPr>
                <w:rFonts w:ascii="Arial" w:hAnsi="Arial" w:eastAsia="Arial"/>
                <w:b w:val="0"/>
                <w:color w:val="000000"/>
                <w:sz w:val="17"/>
              </w:rPr>
              <w:t>I</w:t>
            </w:r>
          </w:p>
        </w:tc>
        <w:tc>
          <w:tcPr>
            <w:tcW w:type="dxa" w:w="3331"/>
            <w:vAlign w:val="center"/>
          </w:tcPr>
          <w:p>
            <w:r/>
            <w:r>
              <w:rPr>
                <w:rFonts w:ascii="Arial" w:hAnsi="Arial" w:eastAsia="Arial"/>
                <w:b w:val="0"/>
                <w:color w:val="000000"/>
                <w:sz w:val="17"/>
              </w:rPr>
              <w:t>Principes, portée et hiérarchie des lois ordinaires</w:t>
            </w:r>
          </w:p>
        </w:tc>
        <w:tc>
          <w:tcPr>
            <w:tcW w:type="dxa" w:w="3331"/>
            <w:vAlign w:val="center"/>
          </w:tcPr>
          <w:p>
            <w:r/>
            <w:r>
              <w:rPr>
                <w:rFonts w:ascii="Arial" w:hAnsi="Arial" w:eastAsia="Arial"/>
                <w:b w:val="0"/>
                <w:color w:val="000000"/>
                <w:sz w:val="17"/>
              </w:rPr>
              <w:t>O-1 à O-10</w:t>
            </w:r>
          </w:p>
        </w:tc>
      </w:tr>
      <w:tr>
        <w:tc>
          <w:tcPr>
            <w:tcW w:type="dxa" w:w="3331"/>
            <w:vAlign w:val="center"/>
          </w:tcPr>
          <w:p>
            <w:r/>
            <w:r>
              <w:rPr>
                <w:rFonts w:ascii="Arial" w:hAnsi="Arial" w:eastAsia="Arial"/>
                <w:b w:val="0"/>
                <w:color w:val="000000"/>
                <w:sz w:val="17"/>
              </w:rPr>
              <w:t>II</w:t>
            </w:r>
          </w:p>
        </w:tc>
        <w:tc>
          <w:tcPr>
            <w:tcW w:type="dxa" w:w="3331"/>
            <w:vAlign w:val="center"/>
          </w:tcPr>
          <w:p>
            <w:r/>
            <w:r>
              <w:rPr>
                <w:rFonts w:ascii="Arial" w:hAnsi="Arial" w:eastAsia="Arial"/>
                <w:b w:val="0"/>
                <w:color w:val="000000"/>
                <w:sz w:val="17"/>
              </w:rPr>
              <w:t>Citoyens, droits courants et relations avec l’État</w:t>
            </w:r>
          </w:p>
        </w:tc>
        <w:tc>
          <w:tcPr>
            <w:tcW w:type="dxa" w:w="3331"/>
            <w:vAlign w:val="center"/>
          </w:tcPr>
          <w:p>
            <w:r/>
            <w:r>
              <w:rPr>
                <w:rFonts w:ascii="Arial" w:hAnsi="Arial" w:eastAsia="Arial"/>
                <w:b w:val="0"/>
                <w:color w:val="000000"/>
                <w:sz w:val="17"/>
              </w:rPr>
              <w:t>O-11 à O-20</w:t>
            </w:r>
          </w:p>
        </w:tc>
      </w:tr>
      <w:tr>
        <w:tc>
          <w:tcPr>
            <w:tcW w:type="dxa" w:w="3331"/>
            <w:vAlign w:val="center"/>
          </w:tcPr>
          <w:p>
            <w:r/>
            <w:r>
              <w:rPr>
                <w:rFonts w:ascii="Arial" w:hAnsi="Arial" w:eastAsia="Arial"/>
                <w:b w:val="0"/>
                <w:color w:val="000000"/>
                <w:sz w:val="17"/>
              </w:rPr>
              <w:t>III</w:t>
            </w:r>
          </w:p>
        </w:tc>
        <w:tc>
          <w:tcPr>
            <w:tcW w:type="dxa" w:w="3331"/>
            <w:vAlign w:val="center"/>
          </w:tcPr>
          <w:p>
            <w:r/>
            <w:r>
              <w:rPr>
                <w:rFonts w:ascii="Arial" w:hAnsi="Arial" w:eastAsia="Arial"/>
                <w:b w:val="0"/>
                <w:color w:val="000000"/>
                <w:sz w:val="17"/>
              </w:rPr>
              <w:t>Services publics et services essentiels</w:t>
            </w:r>
          </w:p>
        </w:tc>
        <w:tc>
          <w:tcPr>
            <w:tcW w:type="dxa" w:w="3331"/>
            <w:vAlign w:val="center"/>
          </w:tcPr>
          <w:p>
            <w:r/>
            <w:r>
              <w:rPr>
                <w:rFonts w:ascii="Arial" w:hAnsi="Arial" w:eastAsia="Arial"/>
                <w:b w:val="0"/>
                <w:color w:val="000000"/>
                <w:sz w:val="17"/>
              </w:rPr>
              <w:t>O-21 à O-30</w:t>
            </w:r>
          </w:p>
        </w:tc>
      </w:tr>
      <w:tr>
        <w:tc>
          <w:tcPr>
            <w:tcW w:type="dxa" w:w="3331"/>
            <w:vAlign w:val="center"/>
          </w:tcPr>
          <w:p>
            <w:r/>
            <w:r>
              <w:rPr>
                <w:rFonts w:ascii="Arial" w:hAnsi="Arial" w:eastAsia="Arial"/>
                <w:b w:val="0"/>
                <w:color w:val="000000"/>
                <w:sz w:val="17"/>
              </w:rPr>
              <w:t>IV</w:t>
            </w:r>
          </w:p>
        </w:tc>
        <w:tc>
          <w:tcPr>
            <w:tcW w:type="dxa" w:w="3331"/>
            <w:vAlign w:val="center"/>
          </w:tcPr>
          <w:p>
            <w:r/>
            <w:r>
              <w:rPr>
                <w:rFonts w:ascii="Arial" w:hAnsi="Arial" w:eastAsia="Arial"/>
                <w:b w:val="0"/>
                <w:color w:val="000000"/>
                <w:sz w:val="17"/>
              </w:rPr>
              <w:t>Santé, éducation et protection sociale</w:t>
            </w:r>
          </w:p>
        </w:tc>
        <w:tc>
          <w:tcPr>
            <w:tcW w:type="dxa" w:w="3331"/>
            <w:vAlign w:val="center"/>
          </w:tcPr>
          <w:p>
            <w:r/>
            <w:r>
              <w:rPr>
                <w:rFonts w:ascii="Arial" w:hAnsi="Arial" w:eastAsia="Arial"/>
                <w:b w:val="0"/>
                <w:color w:val="000000"/>
                <w:sz w:val="17"/>
              </w:rPr>
              <w:t>O-31 à O-40</w:t>
            </w:r>
          </w:p>
        </w:tc>
      </w:tr>
      <w:tr>
        <w:tc>
          <w:tcPr>
            <w:tcW w:type="dxa" w:w="3331"/>
            <w:vAlign w:val="center"/>
          </w:tcPr>
          <w:p>
            <w:r/>
            <w:r>
              <w:rPr>
                <w:rFonts w:ascii="Arial" w:hAnsi="Arial" w:eastAsia="Arial"/>
                <w:b w:val="0"/>
                <w:color w:val="000000"/>
                <w:sz w:val="17"/>
              </w:rPr>
              <w:t>V</w:t>
            </w:r>
          </w:p>
        </w:tc>
        <w:tc>
          <w:tcPr>
            <w:tcW w:type="dxa" w:w="3331"/>
            <w:vAlign w:val="center"/>
          </w:tcPr>
          <w:p>
            <w:r/>
            <w:r>
              <w:rPr>
                <w:rFonts w:ascii="Arial" w:hAnsi="Arial" w:eastAsia="Arial"/>
                <w:b w:val="0"/>
                <w:color w:val="000000"/>
                <w:sz w:val="17"/>
              </w:rPr>
              <w:t>Économie réelle, travail, entreprises et concurrence</w:t>
            </w:r>
          </w:p>
        </w:tc>
        <w:tc>
          <w:tcPr>
            <w:tcW w:type="dxa" w:w="3331"/>
            <w:vAlign w:val="center"/>
          </w:tcPr>
          <w:p>
            <w:r/>
            <w:r>
              <w:rPr>
                <w:rFonts w:ascii="Arial" w:hAnsi="Arial" w:eastAsia="Arial"/>
                <w:b w:val="0"/>
                <w:color w:val="000000"/>
                <w:sz w:val="17"/>
              </w:rPr>
              <w:t>O-41 à O-50</w:t>
            </w:r>
          </w:p>
        </w:tc>
      </w:tr>
      <w:tr>
        <w:tc>
          <w:tcPr>
            <w:tcW w:type="dxa" w:w="3331"/>
            <w:vAlign w:val="center"/>
          </w:tcPr>
          <w:p>
            <w:r/>
            <w:r>
              <w:rPr>
                <w:rFonts w:ascii="Arial" w:hAnsi="Arial" w:eastAsia="Arial"/>
                <w:b w:val="0"/>
                <w:color w:val="000000"/>
                <w:sz w:val="17"/>
              </w:rPr>
              <w:t>VI</w:t>
            </w:r>
          </w:p>
        </w:tc>
        <w:tc>
          <w:tcPr>
            <w:tcW w:type="dxa" w:w="3331"/>
            <w:vAlign w:val="center"/>
          </w:tcPr>
          <w:p>
            <w:r/>
            <w:r>
              <w:rPr>
                <w:rFonts w:ascii="Arial" w:hAnsi="Arial" w:eastAsia="Arial"/>
                <w:b w:val="0"/>
                <w:color w:val="000000"/>
                <w:sz w:val="17"/>
              </w:rPr>
              <w:t>Fiscalité, contribuables et argent public</w:t>
            </w:r>
          </w:p>
        </w:tc>
        <w:tc>
          <w:tcPr>
            <w:tcW w:type="dxa" w:w="3331"/>
            <w:vAlign w:val="center"/>
          </w:tcPr>
          <w:p>
            <w:r/>
            <w:r>
              <w:rPr>
                <w:rFonts w:ascii="Arial" w:hAnsi="Arial" w:eastAsia="Arial"/>
                <w:b w:val="0"/>
                <w:color w:val="000000"/>
                <w:sz w:val="17"/>
              </w:rPr>
              <w:t>O-51 à O-60</w:t>
            </w:r>
          </w:p>
        </w:tc>
      </w:tr>
      <w:tr>
        <w:tc>
          <w:tcPr>
            <w:tcW w:type="dxa" w:w="3331"/>
            <w:vAlign w:val="center"/>
          </w:tcPr>
          <w:p>
            <w:r/>
            <w:r>
              <w:rPr>
                <w:rFonts w:ascii="Arial" w:hAnsi="Arial" w:eastAsia="Arial"/>
                <w:b w:val="0"/>
                <w:color w:val="000000"/>
                <w:sz w:val="17"/>
              </w:rPr>
              <w:t>VII</w:t>
            </w:r>
          </w:p>
        </w:tc>
        <w:tc>
          <w:tcPr>
            <w:tcW w:type="dxa" w:w="3331"/>
            <w:vAlign w:val="center"/>
          </w:tcPr>
          <w:p>
            <w:r/>
            <w:r>
              <w:rPr>
                <w:rFonts w:ascii="Arial" w:hAnsi="Arial" w:eastAsia="Arial"/>
                <w:b w:val="0"/>
                <w:color w:val="000000"/>
                <w:sz w:val="17"/>
              </w:rPr>
              <w:t>Logement, territoire, infrastructures et énergie</w:t>
            </w:r>
          </w:p>
        </w:tc>
        <w:tc>
          <w:tcPr>
            <w:tcW w:type="dxa" w:w="3331"/>
            <w:vAlign w:val="center"/>
          </w:tcPr>
          <w:p>
            <w:r/>
            <w:r>
              <w:rPr>
                <w:rFonts w:ascii="Arial" w:hAnsi="Arial" w:eastAsia="Arial"/>
                <w:b w:val="0"/>
                <w:color w:val="000000"/>
                <w:sz w:val="17"/>
              </w:rPr>
              <w:t>O-61 à O-70</w:t>
            </w:r>
          </w:p>
        </w:tc>
      </w:tr>
      <w:tr>
        <w:tc>
          <w:tcPr>
            <w:tcW w:type="dxa" w:w="3331"/>
            <w:vAlign w:val="center"/>
          </w:tcPr>
          <w:p>
            <w:r/>
            <w:r>
              <w:rPr>
                <w:rFonts w:ascii="Arial" w:hAnsi="Arial" w:eastAsia="Arial"/>
                <w:b w:val="0"/>
                <w:color w:val="000000"/>
                <w:sz w:val="17"/>
              </w:rPr>
              <w:t>VIII</w:t>
            </w:r>
          </w:p>
        </w:tc>
        <w:tc>
          <w:tcPr>
            <w:tcW w:type="dxa" w:w="3331"/>
            <w:vAlign w:val="center"/>
          </w:tcPr>
          <w:p>
            <w:r/>
            <w:r>
              <w:rPr>
                <w:rFonts w:ascii="Arial" w:hAnsi="Arial" w:eastAsia="Arial"/>
                <w:b w:val="0"/>
                <w:color w:val="000000"/>
                <w:sz w:val="17"/>
              </w:rPr>
              <w:t>Immigration, francisation et cohésion sociale</w:t>
            </w:r>
          </w:p>
        </w:tc>
        <w:tc>
          <w:tcPr>
            <w:tcW w:type="dxa" w:w="3331"/>
            <w:vAlign w:val="center"/>
          </w:tcPr>
          <w:p>
            <w:r/>
            <w:r>
              <w:rPr>
                <w:rFonts w:ascii="Arial" w:hAnsi="Arial" w:eastAsia="Arial"/>
                <w:b w:val="0"/>
                <w:color w:val="000000"/>
                <w:sz w:val="17"/>
              </w:rPr>
              <w:t>O-71 à O-80</w:t>
            </w:r>
          </w:p>
        </w:tc>
      </w:tr>
      <w:tr>
        <w:tc>
          <w:tcPr>
            <w:tcW w:type="dxa" w:w="3331"/>
            <w:vAlign w:val="center"/>
          </w:tcPr>
          <w:p>
            <w:r/>
            <w:r>
              <w:rPr>
                <w:rFonts w:ascii="Arial" w:hAnsi="Arial" w:eastAsia="Arial"/>
                <w:b w:val="0"/>
                <w:color w:val="000000"/>
                <w:sz w:val="17"/>
              </w:rPr>
              <w:t>IX</w:t>
            </w:r>
          </w:p>
        </w:tc>
        <w:tc>
          <w:tcPr>
            <w:tcW w:type="dxa" w:w="3331"/>
            <w:vAlign w:val="center"/>
          </w:tcPr>
          <w:p>
            <w:r/>
            <w:r>
              <w:rPr>
                <w:rFonts w:ascii="Arial" w:hAnsi="Arial" w:eastAsia="Arial"/>
                <w:b w:val="0"/>
                <w:color w:val="000000"/>
                <w:sz w:val="17"/>
              </w:rPr>
              <w:t>Justice, sécurité publique et protection des victimes</w:t>
            </w:r>
          </w:p>
        </w:tc>
        <w:tc>
          <w:tcPr>
            <w:tcW w:type="dxa" w:w="3331"/>
            <w:vAlign w:val="center"/>
          </w:tcPr>
          <w:p>
            <w:r/>
            <w:r>
              <w:rPr>
                <w:rFonts w:ascii="Arial" w:hAnsi="Arial" w:eastAsia="Arial"/>
                <w:b w:val="0"/>
                <w:color w:val="000000"/>
                <w:sz w:val="17"/>
              </w:rPr>
              <w:t>O-81 à O-90</w:t>
            </w:r>
          </w:p>
        </w:tc>
      </w:tr>
      <w:tr>
        <w:tc>
          <w:tcPr>
            <w:tcW w:type="dxa" w:w="3331"/>
            <w:vAlign w:val="center"/>
          </w:tcPr>
          <w:p>
            <w:r/>
            <w:r>
              <w:rPr>
                <w:rFonts w:ascii="Arial" w:hAnsi="Arial" w:eastAsia="Arial"/>
                <w:b w:val="0"/>
                <w:color w:val="000000"/>
                <w:sz w:val="17"/>
              </w:rPr>
              <w:t>X</w:t>
            </w:r>
          </w:p>
        </w:tc>
        <w:tc>
          <w:tcPr>
            <w:tcW w:type="dxa" w:w="3331"/>
            <w:vAlign w:val="center"/>
          </w:tcPr>
          <w:p>
            <w:r/>
            <w:r>
              <w:rPr>
                <w:rFonts w:ascii="Arial" w:hAnsi="Arial" w:eastAsia="Arial"/>
                <w:b w:val="0"/>
                <w:color w:val="000000"/>
                <w:sz w:val="17"/>
              </w:rPr>
              <w:t>Numérique, données, IA et cybersécurité</w:t>
            </w:r>
          </w:p>
        </w:tc>
        <w:tc>
          <w:tcPr>
            <w:tcW w:type="dxa" w:w="3331"/>
            <w:vAlign w:val="center"/>
          </w:tcPr>
          <w:p>
            <w:r/>
            <w:r>
              <w:rPr>
                <w:rFonts w:ascii="Arial" w:hAnsi="Arial" w:eastAsia="Arial"/>
                <w:b w:val="0"/>
                <w:color w:val="000000"/>
                <w:sz w:val="17"/>
              </w:rPr>
              <w:t>O-91 à O-100</w:t>
            </w:r>
          </w:p>
        </w:tc>
      </w:tr>
      <w:tr>
        <w:tc>
          <w:tcPr>
            <w:tcW w:type="dxa" w:w="3331"/>
            <w:vAlign w:val="center"/>
          </w:tcPr>
          <w:p>
            <w:r/>
            <w:r>
              <w:rPr>
                <w:rFonts w:ascii="Arial" w:hAnsi="Arial" w:eastAsia="Arial"/>
                <w:b w:val="0"/>
                <w:color w:val="000000"/>
                <w:sz w:val="17"/>
              </w:rPr>
              <w:t>XI</w:t>
            </w:r>
          </w:p>
        </w:tc>
        <w:tc>
          <w:tcPr>
            <w:tcW w:type="dxa" w:w="3331"/>
            <w:vAlign w:val="center"/>
          </w:tcPr>
          <w:p>
            <w:r/>
            <w:r>
              <w:rPr>
                <w:rFonts w:ascii="Arial" w:hAnsi="Arial" w:eastAsia="Arial"/>
                <w:b w:val="0"/>
                <w:color w:val="000000"/>
                <w:sz w:val="17"/>
              </w:rPr>
              <w:t>Environnement responsable et autonomie stratégique</w:t>
            </w:r>
          </w:p>
        </w:tc>
        <w:tc>
          <w:tcPr>
            <w:tcW w:type="dxa" w:w="3331"/>
            <w:vAlign w:val="center"/>
          </w:tcPr>
          <w:p>
            <w:r/>
            <w:r>
              <w:rPr>
                <w:rFonts w:ascii="Arial" w:hAnsi="Arial" w:eastAsia="Arial"/>
                <w:b w:val="0"/>
                <w:color w:val="000000"/>
                <w:sz w:val="17"/>
              </w:rPr>
              <w:t>O-101 à O-110</w:t>
            </w:r>
          </w:p>
        </w:tc>
      </w:tr>
      <w:tr>
        <w:tc>
          <w:tcPr>
            <w:tcW w:type="dxa" w:w="3331"/>
            <w:vAlign w:val="center"/>
          </w:tcPr>
          <w:p>
            <w:r/>
            <w:r>
              <w:rPr>
                <w:rFonts w:ascii="Arial" w:hAnsi="Arial" w:eastAsia="Arial"/>
                <w:b w:val="0"/>
                <w:color w:val="000000"/>
                <w:sz w:val="17"/>
              </w:rPr>
              <w:t>XII</w:t>
            </w:r>
          </w:p>
        </w:tc>
        <w:tc>
          <w:tcPr>
            <w:tcW w:type="dxa" w:w="3331"/>
            <w:vAlign w:val="center"/>
          </w:tcPr>
          <w:p>
            <w:r/>
            <w:r>
              <w:rPr>
                <w:rFonts w:ascii="Arial" w:hAnsi="Arial" w:eastAsia="Arial"/>
                <w:b w:val="0"/>
                <w:color w:val="000000"/>
                <w:sz w:val="17"/>
              </w:rPr>
              <w:t>Application, contrôle et anti-contournement</w:t>
            </w:r>
          </w:p>
        </w:tc>
        <w:tc>
          <w:tcPr>
            <w:tcW w:type="dxa" w:w="3331"/>
            <w:vAlign w:val="center"/>
          </w:tcPr>
          <w:p>
            <w:r/>
            <w:r>
              <w:rPr>
                <w:rFonts w:ascii="Arial" w:hAnsi="Arial" w:eastAsia="Arial"/>
                <w:b w:val="0"/>
                <w:color w:val="000000"/>
                <w:sz w:val="17"/>
              </w:rPr>
              <w:t>O-111 à O-120</w:t>
            </w:r>
          </w:p>
        </w:tc>
      </w:tr>
    </w:tbl>
    <w:p>
      <w:r/>
    </w:p>
    <w:p>
      <w:pPr>
        <w:pStyle w:val="Heading1"/>
      </w:pPr>
      <w:r>
        <w:t>PARTIE I</w:t>
      </w:r>
    </w:p>
    <w:p>
      <w:pPr>
        <w:pStyle w:val="Heading2"/>
      </w:pPr>
      <w:r>
        <w:t>PRINCIPES, PORTÉE ET HIÉRARCHIE DES LOIS ORDINAIRES</w:t>
      </w:r>
    </w:p>
    <w:p>
      <w:pPr>
        <w:pStyle w:val="ArticleTitle"/>
      </w:pPr>
      <w:r>
        <w:t>Article O-1 - Objet des lois ordinaires</w:t>
      </w:r>
    </w:p>
    <w:p>
      <w:r>
        <w:t>Les lois ordinaires du Système Nova encadrent les matières courantes de la vie publique, économique, sociale, administrative, territoriale et numérique du Québec. Elles transforment les principes constitutionnels en règles applicables au fonctionnement quotidien de l’État et de la société.</w:t>
      </w:r>
    </w:p>
    <w:p>
      <w:pPr>
        <w:pStyle w:val="ArticleTitle"/>
      </w:pPr>
      <w:r>
        <w:t>Article O-2 - Respect de la hiérarchie normative</w:t>
      </w:r>
    </w:p>
    <w:p>
      <w:r>
        <w:t>Toute loi ordinaire doit respecter la Constitution, les normes fondamentales, les lois organiques et les lois administratives applicables. Une loi ordinaire incompatible avec une norme supérieure doit être corrigée, suspendue ou invalidée selon les mécanismes prévus.</w:t>
      </w:r>
    </w:p>
    <w:p>
      <w:pPr>
        <w:pStyle w:val="ArticleTitle"/>
      </w:pPr>
      <w:r>
        <w:t>Article O-3 - Interprétation favorable au peuple</w:t>
      </w:r>
    </w:p>
    <w:p>
      <w:r>
        <w:t>Les lois ordinaires doivent être interprétées de manière à protéger le citoyen contre l’arbitraire, l’opacité, la surcharge administrative, la surveillance abusive et le contournement des garanties démocratiques.</w:t>
      </w:r>
    </w:p>
    <w:p>
      <w:pPr>
        <w:pStyle w:val="ArticleTitle"/>
      </w:pPr>
      <w:r>
        <w:t>Article O-4 - Clarté législative</w:t>
      </w:r>
    </w:p>
    <w:p>
      <w:r>
        <w:t>Toute loi ordinaire doit être rédigée dans un langage aussi clair que possible. Les obligations imposées aux citoyens, entreprises, organismes et administrations doivent être compréhensibles, traçables et justifiables.</w:t>
      </w:r>
    </w:p>
    <w:p>
      <w:pPr>
        <w:pStyle w:val="ArticleTitle"/>
      </w:pPr>
      <w:r>
        <w:t>Article O-5 - Évaluation préalable</w:t>
      </w:r>
    </w:p>
    <w:p>
      <w:r>
        <w:t>Toute loi ordinaire importante doit être précédée d’une analyse d’impact portant sur les coûts, les effets administratifs, les effets sur les familles, les régions, les PME, les droits, la langue française et les services essentiels.</w:t>
      </w:r>
    </w:p>
    <w:p>
      <w:pPr>
        <w:pStyle w:val="ArticleTitle"/>
      </w:pPr>
      <w:r>
        <w:t>Article O-6 - Évaluation après adoption</w:t>
      </w:r>
    </w:p>
    <w:p>
      <w:r>
        <w:t>Toute loi ordinaire importante doit être réévaluée après son entrée en vigueur. Les effets non prévus, coûts excessifs, délais, abus ou incohérences doivent être corrigés.</w:t>
      </w:r>
    </w:p>
    <w:p>
      <w:pPr>
        <w:pStyle w:val="ArticleTitle"/>
      </w:pPr>
      <w:r>
        <w:t>Article O-7 - Refus des lois symboliques</w:t>
      </w:r>
    </w:p>
    <w:p>
      <w:r>
        <w:t>Le Système Nova refuse les lois adoptées uniquement pour l’image politique sans mécanisme d’application, budget réaliste, indicateur mesurable ou responsable identifiable.</w:t>
      </w:r>
    </w:p>
    <w:p>
      <w:pPr>
        <w:pStyle w:val="ArticleTitle"/>
      </w:pPr>
      <w:r>
        <w:t>Article O-8 - Principe de proportionnalité</w:t>
      </w:r>
    </w:p>
    <w:p>
      <w:r>
        <w:t>Les obligations imposées par les lois ordinaires doivent être proportionnées à l’objectif poursuivi. L’État ne doit pas imposer une charge excessive lorsqu’une solution plus simple peut atteindre le même résultat.</w:t>
      </w:r>
    </w:p>
    <w:p>
      <w:pPr>
        <w:pStyle w:val="ArticleTitle"/>
      </w:pPr>
      <w:r>
        <w:t>Article O-9 - Responsabilité ministérielle</w:t>
      </w:r>
    </w:p>
    <w:p>
      <w:r>
        <w:t>Chaque loi ordinaire doit relever d’une autorité responsable clairement identifiée. Les responsabilités ne doivent pas être dispersées au point de rendre impossible la reddition de comptes.</w:t>
      </w:r>
    </w:p>
    <w:p>
      <w:pPr>
        <w:pStyle w:val="ArticleTitle"/>
      </w:pPr>
      <w:r>
        <w:t>Article O-10 - Publication citoyenne</w:t>
      </w:r>
    </w:p>
    <w:p>
      <w:r>
        <w:t>Les lois ordinaires importantes doivent être accompagnées d’une version explicative citoyenne afin que le public puisse comprendre les droits, obligations, coûts et recours prévus.</w:t>
      </w:r>
    </w:p>
    <w:p>
      <w:r/>
    </w:p>
    <w:p>
      <w:pPr>
        <w:pStyle w:val="Heading1"/>
      </w:pPr>
      <w:r>
        <w:t>PARTIE II</w:t>
      </w:r>
    </w:p>
    <w:p>
      <w:pPr>
        <w:pStyle w:val="Heading2"/>
      </w:pPr>
      <w:r>
        <w:t>CITOYENS, DROITS COURANTS ET RELATIONS AVEC L’ÉTAT</w:t>
      </w:r>
    </w:p>
    <w:p>
      <w:pPr>
        <w:pStyle w:val="ArticleTitle"/>
      </w:pPr>
      <w:r>
        <w:t>Article O-11 - Droit à une administration compréhensible</w:t>
      </w:r>
    </w:p>
    <w:p>
      <w:r>
        <w:t>Tout citoyen a droit à des communications administratives claires, accessibles et compréhensibles. L’État doit expliquer ses décisions et indiquer les recours disponibles.</w:t>
      </w:r>
    </w:p>
    <w:p>
      <w:pPr>
        <w:pStyle w:val="ArticleTitle"/>
      </w:pPr>
      <w:r>
        <w:t>Article O-12 - Droit à une réponse</w:t>
      </w:r>
    </w:p>
    <w:p>
      <w:r>
        <w:t>Lorsqu’un citoyen présente une demande à l’administration, il doit recevoir une réponse dans un délai raisonnable ou une justification du retard.</w:t>
      </w:r>
    </w:p>
    <w:p>
      <w:pPr>
        <w:pStyle w:val="ArticleTitle"/>
      </w:pPr>
      <w:r>
        <w:t>Article O-13 - Droit au recours humain</w:t>
      </w:r>
    </w:p>
    <w:p>
      <w:r>
        <w:t>Lorsqu’une décision automatisée ou administrative affecte un droit, un revenu, un service essentiel, un statut ou une obligation importante, le citoyen doit avoir accès à une révision humaine.</w:t>
      </w:r>
    </w:p>
    <w:p>
      <w:pPr>
        <w:pStyle w:val="ArticleTitle"/>
      </w:pPr>
      <w:r>
        <w:t>Article O-14 - Droit à la correction des dossiers</w:t>
      </w:r>
    </w:p>
    <w:p>
      <w:r>
        <w:t>Tout citoyen doit pouvoir demander la correction des informations inexactes détenues par l’État, sous réserve des règles de preuve et de sécurité applicables.</w:t>
      </w:r>
    </w:p>
    <w:p>
      <w:pPr>
        <w:pStyle w:val="ArticleTitle"/>
      </w:pPr>
      <w:r>
        <w:t>Article O-15 - Interdiction de l’abus administratif</w:t>
      </w:r>
    </w:p>
    <w:p>
      <w:r>
        <w:t>L’administration ne doit pas imposer au citoyen des demandes répétitives, contradictoires ou excessives lorsque l’État possède déjà les informations nécessaires.</w:t>
      </w:r>
    </w:p>
    <w:p>
      <w:pPr>
        <w:pStyle w:val="ArticleTitle"/>
      </w:pPr>
      <w:r>
        <w:t>Article O-16 - Protection contre la discrimination administrative</w:t>
      </w:r>
    </w:p>
    <w:p>
      <w:r>
        <w:t>Les services publics doivent être rendus selon des critères objectifs, sans favoritisme, discrimination illégale, représailles politiques ou traitement arbitraire.</w:t>
      </w:r>
    </w:p>
    <w:p>
      <w:pPr>
        <w:pStyle w:val="ArticleTitle"/>
      </w:pPr>
      <w:r>
        <w:t>Article O-17 - Droit à l’information publique</w:t>
      </w:r>
    </w:p>
    <w:p>
      <w:r>
        <w:t>Les citoyens doivent pouvoir accéder aux informations d’intérêt public, sous réserve des limites légitimes liées à la vie privée, la sécurité, la justice et l’intégrité des enquêtes.</w:t>
      </w:r>
    </w:p>
    <w:p>
      <w:pPr>
        <w:pStyle w:val="ArticleTitle"/>
      </w:pPr>
      <w:r>
        <w:t>Article O-18 - Respect de la liberté de conscience</w:t>
      </w:r>
    </w:p>
    <w:p>
      <w:r>
        <w:t>Les lois ordinaires ne doivent pas obliger les citoyens à adhérer à une pensée politique, morale ou idéologique déterminée comme condition d’accès aux services essentiels.</w:t>
      </w:r>
    </w:p>
    <w:p>
      <w:pPr>
        <w:pStyle w:val="ArticleTitle"/>
      </w:pPr>
      <w:r>
        <w:t>Article O-19 - Protection des personnes vulnérables</w:t>
      </w:r>
    </w:p>
    <w:p>
      <w:r>
        <w:t>Les lois ordinaires doivent prévoir des mécanismes adaptés pour les aînés, personnes handicapées, personnes en situation de précarité et citoyens ayant des difficultés d’accès aux services.</w:t>
      </w:r>
    </w:p>
    <w:p>
      <w:pPr>
        <w:pStyle w:val="ArticleTitle"/>
      </w:pPr>
      <w:r>
        <w:t>Article O-20 - Égalité devant les règles publiques</w:t>
      </w:r>
    </w:p>
    <w:p>
      <w:r>
        <w:t>Les mêmes règles publiques doivent s’appliquer à tous, sauf distinctions justifiées, proportionnées et publiquement explicables.</w:t>
      </w:r>
    </w:p>
    <w:p>
      <w:r/>
    </w:p>
    <w:p>
      <w:pPr>
        <w:pStyle w:val="Heading1"/>
      </w:pPr>
      <w:r>
        <w:t>PARTIE III</w:t>
      </w:r>
    </w:p>
    <w:p>
      <w:pPr>
        <w:pStyle w:val="Heading2"/>
      </w:pPr>
      <w:r>
        <w:t>SERVICES PUBLICS ET SERVICES ESSENTIELS</w:t>
      </w:r>
    </w:p>
    <w:p>
      <w:pPr>
        <w:pStyle w:val="ArticleTitle"/>
      </w:pPr>
      <w:r>
        <w:t>Article O-21 - Définition opérationnelle</w:t>
      </w:r>
    </w:p>
    <w:p>
      <w:r>
        <w:t>Les services essentiels comprennent notamment la santé, l’éducation, la justice, la sécurité publique, l’eau, l’énergie, les communications critiques, les paiements publics, les infrastructures essentielles et les services administratifs vitaux.</w:t>
      </w:r>
    </w:p>
    <w:p>
      <w:pPr>
        <w:pStyle w:val="ArticleTitle"/>
      </w:pPr>
      <w:r>
        <w:t>Article O-22 - Plans de continuité</w:t>
      </w:r>
    </w:p>
    <w:p>
      <w:r>
        <w:t>Chaque service essentiel doit disposer d’un plan de continuité, de relève, de cybersécurité, de maintien des opérations et de communication publique en cas de crise.</w:t>
      </w:r>
    </w:p>
    <w:p>
      <w:pPr>
        <w:pStyle w:val="ArticleTitle"/>
      </w:pPr>
      <w:r>
        <w:t>Article O-23 - Indicateurs publics</w:t>
      </w:r>
    </w:p>
    <w:p>
      <w:r>
        <w:t>Les délais, ruptures de service, files d’attente, interruptions et résultats des services essentiels doivent être suivis par des indicateurs publics.</w:t>
      </w:r>
    </w:p>
    <w:p>
      <w:pPr>
        <w:pStyle w:val="ArticleTitle"/>
      </w:pPr>
      <w:r>
        <w:t>Article O-24 - Responsable identifiable</w:t>
      </w:r>
    </w:p>
    <w:p>
      <w:r>
        <w:t>Chaque service essentiel doit relever d’un responsable administratif et politique clairement identifié.</w:t>
      </w:r>
    </w:p>
    <w:p>
      <w:pPr>
        <w:pStyle w:val="ArticleTitle"/>
      </w:pPr>
      <w:r>
        <w:t>Article O-25 - Accès humain</w:t>
      </w:r>
    </w:p>
    <w:p>
      <w:r>
        <w:t>Les services essentiels doivent conserver un accès humain raisonnable pour les citoyens qui ne peuvent pas utiliser les outils numériques ou dont la situation exige une intervention réelle.</w:t>
      </w:r>
    </w:p>
    <w:p>
      <w:pPr>
        <w:pStyle w:val="ArticleTitle"/>
      </w:pPr>
      <w:r>
        <w:t>Article O-26 - Services régionaux</w:t>
      </w:r>
    </w:p>
    <w:p>
      <w:r>
        <w:t>Les lois ordinaires doivent tenir compte de la réalité des régions et éviter une centralisation qui rend les services inaccessibles hors des grands centres.</w:t>
      </w:r>
    </w:p>
    <w:p>
      <w:pPr>
        <w:pStyle w:val="ArticleTitle"/>
      </w:pPr>
      <w:r>
        <w:t>Article O-27 - Correction obligatoire</w:t>
      </w:r>
    </w:p>
    <w:p>
      <w:r>
        <w:t>Lorsqu’un service essentiel dépasse des seuils de délais ou de rupture, l’administration doit produire un plan de correction.</w:t>
      </w:r>
    </w:p>
    <w:p>
      <w:pPr>
        <w:pStyle w:val="ArticleTitle"/>
      </w:pPr>
      <w:r>
        <w:t>Article O-28 - Sobriété organisationnelle</w:t>
      </w:r>
    </w:p>
    <w:p>
      <w:r>
        <w:t>La gestion des services essentiels doit réduire les couches administratives inutiles et protéger le temps consacré au service direct.</w:t>
      </w:r>
    </w:p>
    <w:p>
      <w:pPr>
        <w:pStyle w:val="ArticleTitle"/>
      </w:pPr>
      <w:r>
        <w:t>Article O-29 - Priorité aux besoins réels</w:t>
      </w:r>
    </w:p>
    <w:p>
      <w:r>
        <w:t>Les annonces publiques ne doivent pas remplacer l’amélioration réelle des services. Les décisions doivent être fondées sur les besoins mesurés.</w:t>
      </w:r>
    </w:p>
    <w:p>
      <w:pPr>
        <w:pStyle w:val="ArticleTitle"/>
      </w:pPr>
      <w:r>
        <w:t>Article O-30 - Rapport annuel</w:t>
      </w:r>
    </w:p>
    <w:p>
      <w:r>
        <w:t>Un rapport annuel sur les services essentiels doit être présenté aux citoyens, incluant résultats, échecs, délais et correctifs.</w:t>
      </w:r>
    </w:p>
    <w:p>
      <w:r/>
    </w:p>
    <w:p>
      <w:pPr>
        <w:pStyle w:val="Heading1"/>
      </w:pPr>
      <w:r>
        <w:t>PARTIE IV</w:t>
      </w:r>
    </w:p>
    <w:p>
      <w:pPr>
        <w:pStyle w:val="Heading2"/>
      </w:pPr>
      <w:r>
        <w:t>SANTÉ, ÉDUCATION ET PROTECTION SOCIALE</w:t>
      </w:r>
    </w:p>
    <w:p>
      <w:pPr>
        <w:pStyle w:val="ArticleTitle"/>
      </w:pPr>
      <w:r>
        <w:t>Article O-31 - Accès à la première ligne</w:t>
      </w:r>
    </w:p>
    <w:p>
      <w:r>
        <w:t>Les lois ordinaires doivent prioriser l’accès réel à la première ligne en santé, la réduction des délais et l’utilisation efficace des ressources disponibles.</w:t>
      </w:r>
    </w:p>
    <w:p>
      <w:pPr>
        <w:pStyle w:val="ArticleTitle"/>
      </w:pPr>
      <w:r>
        <w:t>Article O-32 - Bureaucratie clinique</w:t>
      </w:r>
    </w:p>
    <w:p>
      <w:r>
        <w:t>Les obligations administratives imposées au personnel de santé doivent être réduites lorsqu’elles diminuent inutilement le temps de soin.</w:t>
      </w:r>
    </w:p>
    <w:p>
      <w:pPr>
        <w:pStyle w:val="ArticleTitle"/>
      </w:pPr>
      <w:r>
        <w:t>Article O-33 - Retour volontaire des retraités</w:t>
      </w:r>
    </w:p>
    <w:p>
      <w:r>
        <w:t>Le retour volontaire de retraités qualifiés dans certains services publics peut être encadré afin de soutenir les services essentiels sans coercition ni surcharge abusive.</w:t>
      </w:r>
    </w:p>
    <w:p>
      <w:pPr>
        <w:pStyle w:val="ArticleTitle"/>
      </w:pPr>
      <w:r>
        <w:t>Article O-34 - Respect du personnel</w:t>
      </w:r>
    </w:p>
    <w:p>
      <w:r>
        <w:t>Les travailleurs des services essentiels doivent être protégés contre l’épuisement systémique, les obligations irréalistes et les réformes imposées sans consultation terrain.</w:t>
      </w:r>
    </w:p>
    <w:p>
      <w:pPr>
        <w:pStyle w:val="ArticleTitle"/>
      </w:pPr>
      <w:r>
        <w:t>Article O-35 - Savoirs essentiels</w:t>
      </w:r>
    </w:p>
    <w:p>
      <w:r>
        <w:t>L’éducation doit transmettre le français, les mathématiques, l’histoire, les sciences, la culture générale, l’éducation civique et les compétences nécessaires à la vie autonome.</w:t>
      </w:r>
    </w:p>
    <w:p>
      <w:pPr>
        <w:pStyle w:val="ArticleTitle"/>
      </w:pPr>
      <w:r>
        <w:t>Article O-36 - Français à l’école</w:t>
      </w:r>
    </w:p>
    <w:p>
      <w:r>
        <w:t>Le français doit demeurer la langue centrale de l’enseignement, de l’intégration, de la vie civique et de la transmission nationale.</w:t>
      </w:r>
    </w:p>
    <w:p>
      <w:pPr>
        <w:pStyle w:val="ArticleTitle"/>
      </w:pPr>
      <w:r>
        <w:t>Article O-37 - Formation professionnelle</w:t>
      </w:r>
    </w:p>
    <w:p>
      <w:r>
        <w:t>Les lois ordinaires doivent valoriser les métiers, la formation professionnelle, l’apprentissage pratique et les secteurs essentiels à l’autonomie économique du Québec.</w:t>
      </w:r>
    </w:p>
    <w:p>
      <w:pPr>
        <w:pStyle w:val="ArticleTitle"/>
      </w:pPr>
      <w:r>
        <w:t>Article O-38 - Protection des enfants</w:t>
      </w:r>
    </w:p>
    <w:p>
      <w:r>
        <w:t>Les services destinés aux enfants doivent prioriser la sécurité, la stabilité, l’apprentissage, la famille, l’intervention rapide et la prévention des ruptures de parcours.</w:t>
      </w:r>
    </w:p>
    <w:p>
      <w:pPr>
        <w:pStyle w:val="ArticleTitle"/>
      </w:pPr>
      <w:r>
        <w:t>Article O-39 - Aînés et maintien à domicile</w:t>
      </w:r>
    </w:p>
    <w:p>
      <w:r>
        <w:t>La politique sociale doit favoriser la dignité des aînés, le maintien à domicile lorsque possible, le soutien aux proches aidants et la surveillance des milieux vulnérables.</w:t>
      </w:r>
    </w:p>
    <w:p>
      <w:pPr>
        <w:pStyle w:val="ArticleTitle"/>
      </w:pPr>
      <w:r>
        <w:t>Article O-40 - Aide sociale responsable</w:t>
      </w:r>
    </w:p>
    <w:p>
      <w:r>
        <w:t>Les mesures de soutien social doivent protéger les personnes vulnérables tout en favorisant l’autonomie, l’insertion, la formation et la dignité.</w:t>
      </w:r>
    </w:p>
    <w:p>
      <w:r/>
    </w:p>
    <w:p>
      <w:pPr>
        <w:pStyle w:val="Heading1"/>
      </w:pPr>
      <w:r>
        <w:t>PARTIE V</w:t>
      </w:r>
    </w:p>
    <w:p>
      <w:pPr>
        <w:pStyle w:val="Heading2"/>
      </w:pPr>
      <w:r>
        <w:t>ÉCONOMIE RÉELLE, TRAVAIL, ENTREPRISES ET CONCURRENCE</w:t>
      </w:r>
    </w:p>
    <w:p>
      <w:pPr>
        <w:pStyle w:val="ArticleTitle"/>
      </w:pPr>
      <w:r>
        <w:t>Article O-41 - Économie productive</w:t>
      </w:r>
    </w:p>
    <w:p>
      <w:r>
        <w:t>Les lois ordinaires doivent favoriser une économie fondée sur le travail, la production, l’entrepreneuriat, les régions, l’énergie, l’agriculture, l’industrie, l’innovation et la transformation locale.</w:t>
      </w:r>
    </w:p>
    <w:p>
      <w:pPr>
        <w:pStyle w:val="ArticleTitle"/>
      </w:pPr>
      <w:r>
        <w:t>Article O-42 - Simplification pour les PME</w:t>
      </w:r>
    </w:p>
    <w:p>
      <w:r>
        <w:t>Les obligations imposées aux PME doivent être révisées afin de réduire la paperasse, accélérer les permis et faciliter la conformité sans affaiblir les protections essentielles.</w:t>
      </w:r>
    </w:p>
    <w:p>
      <w:pPr>
        <w:pStyle w:val="ArticleTitle"/>
      </w:pPr>
      <w:r>
        <w:t>Article O-43 - Paiement rapide</w:t>
      </w:r>
    </w:p>
    <w:p>
      <w:r>
        <w:t>L’État doit payer ses fournisseurs dans des délais raisonnables afin de ne pas transférer sa lenteur administrative aux entreprises.</w:t>
      </w:r>
    </w:p>
    <w:p>
      <w:pPr>
        <w:pStyle w:val="ArticleTitle"/>
      </w:pPr>
      <w:r>
        <w:t>Article O-44 - Concurrence loyale</w:t>
      </w:r>
    </w:p>
    <w:p>
      <w:r>
        <w:t>Les lois ordinaires doivent combattre la collusion, les cartels, les monopoles abusifs, les contrats arrangés et les privilèges économiques injustifiés.</w:t>
      </w:r>
    </w:p>
    <w:p>
      <w:pPr>
        <w:pStyle w:val="ArticleTitle"/>
      </w:pPr>
      <w:r>
        <w:t>Article O-45 - Marché libre responsable</w:t>
      </w:r>
    </w:p>
    <w:p>
      <w:r>
        <w:t>Le marché doit pouvoir fonctionner par l’offre, la demande et l’innovation, tout en étant protégé contre la fraude, l’abus et l’exploitation.</w:t>
      </w:r>
    </w:p>
    <w:p>
      <w:pPr>
        <w:pStyle w:val="ArticleTitle"/>
      </w:pPr>
      <w:r>
        <w:t>Article O-46 - Fin des protections injustifiées</w:t>
      </w:r>
    </w:p>
    <w:p>
      <w:r>
        <w:t>Les régimes de protection économique qui nuisent au consommateur, à la production ou à l’innovation doivent être révisés avec transition, prudence et transparence.</w:t>
      </w:r>
    </w:p>
    <w:p>
      <w:pPr>
        <w:pStyle w:val="ArticleTitle"/>
      </w:pPr>
      <w:r>
        <w:t>Article O-47 - Refus des contre-tarifs automatiques</w:t>
      </w:r>
    </w:p>
    <w:p>
      <w:r>
        <w:t>Le Québec ne doit pas adopter automatiquement des contre-tarifs qui font payer les citoyens sans analyse rigoureuse de leurs effets.</w:t>
      </w:r>
    </w:p>
    <w:p>
      <w:pPr>
        <w:pStyle w:val="ArticleTitle"/>
      </w:pPr>
      <w:r>
        <w:t>Article O-48 - Travail et mérite</w:t>
      </w:r>
    </w:p>
    <w:p>
      <w:r>
        <w:t>Les lois ordinaires doivent valoriser le travail, la compétence, la formation, l’effort, la mobilité volontaire et la progression professionnelle.</w:t>
      </w:r>
    </w:p>
    <w:p>
      <w:pPr>
        <w:pStyle w:val="ArticleTitle"/>
      </w:pPr>
      <w:r>
        <w:t>Article O-49 - Régions économiques</w:t>
      </w:r>
    </w:p>
    <w:p>
      <w:r>
        <w:t>Les politiques économiques doivent tenir compte des ressources, distances, réalités de main-d’œuvre et infrastructures propres aux régions.</w:t>
      </w:r>
    </w:p>
    <w:p>
      <w:pPr>
        <w:pStyle w:val="ArticleTitle"/>
      </w:pPr>
      <w:r>
        <w:t>Article O-50 - Innovation responsable</w:t>
      </w:r>
    </w:p>
    <w:p>
      <w:r>
        <w:t>L’innovation doit être soutenue lorsqu’elle produit des gains réels, respecte les droits, protège les données et renforce l’autonomie du Québec.</w:t>
      </w:r>
    </w:p>
    <w:p>
      <w:r/>
    </w:p>
    <w:p>
      <w:pPr>
        <w:pStyle w:val="Heading1"/>
      </w:pPr>
      <w:r>
        <w:t>PARTIE VI</w:t>
      </w:r>
    </w:p>
    <w:p>
      <w:pPr>
        <w:pStyle w:val="Heading2"/>
      </w:pPr>
      <w:r>
        <w:t>FISCALITÉ, CONTRIBUABLES ET ARGENT PUBLIC</w:t>
      </w:r>
    </w:p>
    <w:p>
      <w:pPr>
        <w:pStyle w:val="ArticleTitle"/>
      </w:pPr>
      <w:r>
        <w:t>Article O-51 - Argent du peuple</w:t>
      </w:r>
    </w:p>
    <w:p>
      <w:r>
        <w:t>L’argent public appartient au peuple. Toute dépense doit être justifiable, traçable et compatible avec l’intérêt public.</w:t>
      </w:r>
    </w:p>
    <w:p>
      <w:pPr>
        <w:pStyle w:val="ArticleTitle"/>
      </w:pPr>
      <w:r>
        <w:t>Article O-52 - Budget citoyen</w:t>
      </w:r>
    </w:p>
    <w:p>
      <w:r>
        <w:t>Le budget de l’État doit être accompagné d’une version citoyenne qui explique les revenus, dépenses, dettes, risques et choix publics.</w:t>
      </w:r>
    </w:p>
    <w:p>
      <w:pPr>
        <w:pStyle w:val="ArticleTitle"/>
      </w:pPr>
      <w:r>
        <w:t>Article O-53 - Inventaire des taxes cachées</w:t>
      </w:r>
    </w:p>
    <w:p>
      <w:r>
        <w:t>Les frais, tarifs, contributions et charges obligatoires assimilables à des taxes doivent être inventoriés, publiés et justifiés.</w:t>
      </w:r>
    </w:p>
    <w:p>
      <w:pPr>
        <w:pStyle w:val="ArticleTitle"/>
      </w:pPr>
      <w:r>
        <w:t>Article O-54 - Dette publique</w:t>
      </w:r>
    </w:p>
    <w:p>
      <w:r>
        <w:t>Le portrait de la dette publique, des engagements futurs et des risques financiers doit être publié de manière compréhensible.</w:t>
      </w:r>
    </w:p>
    <w:p>
      <w:pPr>
        <w:pStyle w:val="ArticleTitle"/>
      </w:pPr>
      <w:r>
        <w:t>Article O-55 - Dépenses extérieures</w:t>
      </w:r>
    </w:p>
    <w:p>
      <w:r>
        <w:t>L’argent des contribuables doit servir d’abord aux besoins du Québec. Les dépenses extérieures doivent être limitées, justifiées, transparentes et compatibles avec l’intérêt national.</w:t>
      </w:r>
    </w:p>
    <w:p>
      <w:pPr>
        <w:pStyle w:val="ArticleTitle"/>
      </w:pPr>
      <w:r>
        <w:t>Article O-56 - Dépenses de prestige</w:t>
      </w:r>
    </w:p>
    <w:p>
      <w:r>
        <w:t>Les dépenses de prestige, voyages de luxe, privilèges injustifiés et avantages opaques doivent être interdits ou strictement encadrés.</w:t>
      </w:r>
    </w:p>
    <w:p>
      <w:pPr>
        <w:pStyle w:val="ArticleTitle"/>
      </w:pPr>
      <w:r>
        <w:t>Article O-57 - Contrats publics</w:t>
      </w:r>
    </w:p>
    <w:p>
      <w:r>
        <w:t>Les contrats publics doivent être publiés, suivis, vérifiables et attribués selon des règles de concurrence, compétence et intégrité.</w:t>
      </w:r>
    </w:p>
    <w:p>
      <w:pPr>
        <w:pStyle w:val="ArticleTitle"/>
      </w:pPr>
      <w:r>
        <w:t>Article O-58 - Paradis fiscaux</w:t>
      </w:r>
    </w:p>
    <w:p>
      <w:r>
        <w:t>L’État doit combattre l’évasion fiscale, les montages abusifs, l’opacité des bénéficiaires réels et la sous-traitance publique vers des structures fiscales douteuses.</w:t>
      </w:r>
    </w:p>
    <w:p>
      <w:pPr>
        <w:pStyle w:val="ArticleTitle"/>
      </w:pPr>
      <w:r>
        <w:t>Article O-59 - Évaluation fiscale</w:t>
      </w:r>
    </w:p>
    <w:p>
      <w:r>
        <w:t>Toute mesure fiscale importante doit être évaluée selon son effet sur les familles, les travailleurs, les PME, les régions et la compétitivité du Québec.</w:t>
      </w:r>
    </w:p>
    <w:p>
      <w:pPr>
        <w:pStyle w:val="ArticleTitle"/>
      </w:pPr>
      <w:r>
        <w:t>Article O-60 - Reddition financière</w:t>
      </w:r>
    </w:p>
    <w:p>
      <w:r>
        <w:t>Les ministères et organismes doivent publier des informations financières permettant de comprendre les écarts entre budgets, dépenses réelles et résultats.</w:t>
      </w:r>
    </w:p>
    <w:p>
      <w:r/>
    </w:p>
    <w:p>
      <w:pPr>
        <w:pStyle w:val="Heading1"/>
      </w:pPr>
      <w:r>
        <w:t>PARTIE VII</w:t>
      </w:r>
    </w:p>
    <w:p>
      <w:pPr>
        <w:pStyle w:val="Heading2"/>
      </w:pPr>
      <w:r>
        <w:t>LOGEMENT, TERRITOIRE, INFRASTRUCTURES ET ÉNERGIE</w:t>
      </w:r>
    </w:p>
    <w:p>
      <w:pPr>
        <w:pStyle w:val="ArticleTitle"/>
      </w:pPr>
      <w:r>
        <w:t>Article O-61 - Logement comme priorité nationale</w:t>
      </w:r>
    </w:p>
    <w:p>
      <w:r>
        <w:t>Les lois ordinaires doivent traiter le logement comme un enjeu de stabilité sociale, de famille, d’immigration, de travail et de développement régional.</w:t>
      </w:r>
    </w:p>
    <w:p>
      <w:pPr>
        <w:pStyle w:val="ArticleTitle"/>
      </w:pPr>
      <w:r>
        <w:t>Article O-62 - Délais de permis</w:t>
      </w:r>
    </w:p>
    <w:p>
      <w:r>
        <w:t>Les délais de permis liés au logement et aux infrastructures doivent être mesurés, publiés et réduits lorsque les obstacles ne sont pas justifiés.</w:t>
      </w:r>
    </w:p>
    <w:p>
      <w:pPr>
        <w:pStyle w:val="ArticleTitle"/>
      </w:pPr>
      <w:r>
        <w:t>Article O-63 - Équilibre locataires-propriétaires</w:t>
      </w:r>
    </w:p>
    <w:p>
      <w:r>
        <w:t>Les lois doivent protéger les locataires contre les abus tout en respectant les propriétaires responsables et la nécessité d’augmenter l’offre.</w:t>
      </w:r>
    </w:p>
    <w:p>
      <w:pPr>
        <w:pStyle w:val="ArticleTitle"/>
      </w:pPr>
      <w:r>
        <w:t>Article O-64 - Aménagement du territoire</w:t>
      </w:r>
    </w:p>
    <w:p>
      <w:r>
        <w:t>L’aménagement doit protéger les terres agricoles, la sécurité hydrique, les milieux essentiels et la cohérence des infrastructures.</w:t>
      </w:r>
    </w:p>
    <w:p>
      <w:pPr>
        <w:pStyle w:val="ArticleTitle"/>
      </w:pPr>
      <w:r>
        <w:t>Article O-65 - Infrastructures critiques</w:t>
      </w:r>
    </w:p>
    <w:p>
      <w:r>
        <w:t>Les infrastructures critiques doivent être inventoriées, entretenues, priorisées et protégées contre la négligence, les coûts excessifs et les risques de rupture.</w:t>
      </w:r>
    </w:p>
    <w:p>
      <w:pPr>
        <w:pStyle w:val="ArticleTitle"/>
      </w:pPr>
      <w:r>
        <w:t>Article O-66 - Maintenance avant prestige</w:t>
      </w:r>
    </w:p>
    <w:p>
      <w:r>
        <w:t>La maintenance des infrastructures essentielles doit passer avant les projets de prestige non nécessaires.</w:t>
      </w:r>
    </w:p>
    <w:p>
      <w:pPr>
        <w:pStyle w:val="ArticleTitle"/>
      </w:pPr>
      <w:r>
        <w:t>Article O-67 - Énergie abordable</w:t>
      </w:r>
    </w:p>
    <w:p>
      <w:r>
        <w:t>L’énergie doit être fiable, abordable, planifiée et utilisée comme avantage stratégique du Québec.</w:t>
      </w:r>
    </w:p>
    <w:p>
      <w:pPr>
        <w:pStyle w:val="ArticleTitle"/>
      </w:pPr>
      <w:r>
        <w:t>Article O-68 - Capacité énergétique</w:t>
      </w:r>
    </w:p>
    <w:p>
      <w:r>
        <w:t>Les projets énergétiques doivent tenir compte de la demande future, de l’industrie, du logement, de l’électrification, des exportations et de la sécurité d’approvisionnement.</w:t>
      </w:r>
    </w:p>
    <w:p>
      <w:pPr>
        <w:pStyle w:val="ArticleTitle"/>
      </w:pPr>
      <w:r>
        <w:t>Article O-69 - Transport critique</w:t>
      </w:r>
    </w:p>
    <w:p>
      <w:r>
        <w:t>Les routes, ports, voies ferroviaires, transports collectifs et corridors régionaux nécessaires à l’économie doivent être protégés.</w:t>
      </w:r>
    </w:p>
    <w:p>
      <w:pPr>
        <w:pStyle w:val="ArticleTitle"/>
      </w:pPr>
      <w:r>
        <w:t>Article O-70 - Plans territoriaux publics</w:t>
      </w:r>
    </w:p>
    <w:p>
      <w:r>
        <w:t>Les grands choix territoriaux doivent être expliqués publiquement afin d’éviter les décisions opaques ou contradictoires.</w:t>
      </w:r>
    </w:p>
    <w:p>
      <w:r/>
    </w:p>
    <w:p>
      <w:pPr>
        <w:pStyle w:val="Heading1"/>
      </w:pPr>
      <w:r>
        <w:t>PARTIE VIII</w:t>
      </w:r>
    </w:p>
    <w:p>
      <w:pPr>
        <w:pStyle w:val="Heading2"/>
      </w:pPr>
      <w:r>
        <w:t>IMMIGRATION, FRANCISATION ET COHÉSION SOCIALE</w:t>
      </w:r>
    </w:p>
    <w:p>
      <w:pPr>
        <w:pStyle w:val="ArticleTitle"/>
      </w:pPr>
      <w:r>
        <w:t>Article O-71 - Capacité d’accueil</w:t>
      </w:r>
    </w:p>
    <w:p>
      <w:r>
        <w:t>Les seuils et programmes d’immigration doivent être liés à la capacité réelle de logement, santé, éducation, francisation, services sociaux, infrastructures et intégration.</w:t>
      </w:r>
    </w:p>
    <w:p>
      <w:pPr>
        <w:pStyle w:val="ArticleTitle"/>
      </w:pPr>
      <w:r>
        <w:t>Article O-72 - Fin du recrutement massif non justifié</w:t>
      </w:r>
    </w:p>
    <w:p>
      <w:r>
        <w:t>Les programmes de recrutement massif d’immigrants ou travailleurs étrangers doivent être suspendus, réduits ou révisés lorsqu’ils ne respectent pas la capacité d’accueil.</w:t>
      </w:r>
    </w:p>
    <w:p>
      <w:pPr>
        <w:pStyle w:val="ArticleTitle"/>
      </w:pPr>
      <w:r>
        <w:t>Article O-73 - Francisation obligatoire et mesurable</w:t>
      </w:r>
    </w:p>
    <w:p>
      <w:r>
        <w:t>La francisation doit être rapide, accessible, mesurable et liée à l’intégration civique et professionnelle.</w:t>
      </w:r>
    </w:p>
    <w:p>
      <w:pPr>
        <w:pStyle w:val="ArticleTitle"/>
      </w:pPr>
      <w:r>
        <w:t>Article O-74 - Intégration civique</w:t>
      </w:r>
    </w:p>
    <w:p>
      <w:r>
        <w:t>Les nouveaux arrivants doivent recevoir une information claire sur les règles communes, le français, les droits, les obligations et les institutions du Québec.</w:t>
      </w:r>
    </w:p>
    <w:p>
      <w:pPr>
        <w:pStyle w:val="ArticleTitle"/>
      </w:pPr>
      <w:r>
        <w:t>Article O-75 - Refus de l’exploitation</w:t>
      </w:r>
    </w:p>
    <w:p>
      <w:r>
        <w:t>Les politiques d’immigration et de travail temporaire ne doivent pas servir à réduire les salaires, contourner la formation locale ou créer une main-d’œuvre dépendante.</w:t>
      </w:r>
    </w:p>
    <w:p>
      <w:pPr>
        <w:pStyle w:val="ArticleTitle"/>
      </w:pPr>
      <w:r>
        <w:t>Article O-76 - Priorité à la formation locale</w:t>
      </w:r>
    </w:p>
    <w:p>
      <w:r>
        <w:t>Avant de recourir à des recrutements externes massifs, l’État doit examiner la formation locale, la requalification, les conditions de travail et la productivité.</w:t>
      </w:r>
    </w:p>
    <w:p>
      <w:pPr>
        <w:pStyle w:val="ArticleTitle"/>
      </w:pPr>
      <w:r>
        <w:t>Article O-77 - Cohésion sociale</w:t>
      </w:r>
    </w:p>
    <w:p>
      <w:r>
        <w:t>Les politiques publiques doivent préserver l’ordre social, la langue commune, le respect des règles communes et la confiance entre citoyens.</w:t>
      </w:r>
    </w:p>
    <w:p>
      <w:pPr>
        <w:pStyle w:val="ArticleTitle"/>
      </w:pPr>
      <w:r>
        <w:t>Article O-78 - Dignité des personnes</w:t>
      </w:r>
    </w:p>
    <w:p>
      <w:r>
        <w:t>Une immigration responsable doit respecter la dignité des citoyens et des nouveaux arrivants, sans mépris ni instrumentalisation.</w:t>
      </w:r>
    </w:p>
    <w:p>
      <w:pPr>
        <w:pStyle w:val="ArticleTitle"/>
      </w:pPr>
      <w:r>
        <w:t>Article O-79 - Données publiques</w:t>
      </w:r>
    </w:p>
    <w:p>
      <w:r>
        <w:t>Les effets de l’immigration sur le logement, les écoles, la santé, la francisation et les services doivent être publiés avec rigueur.</w:t>
      </w:r>
    </w:p>
    <w:p>
      <w:pPr>
        <w:pStyle w:val="ArticleTitle"/>
      </w:pPr>
      <w:r>
        <w:t>Article O-80 - Citoyenneté future</w:t>
      </w:r>
    </w:p>
    <w:p>
      <w:r>
        <w:t>Les lois ordinaires doivent préparer, lorsque requis, les règles de citoyenneté québécoise d’un Québec souverain.</w:t>
      </w:r>
    </w:p>
    <w:p>
      <w:r/>
    </w:p>
    <w:p>
      <w:pPr>
        <w:pStyle w:val="Heading1"/>
      </w:pPr>
      <w:r>
        <w:t>PARTIE IX</w:t>
      </w:r>
    </w:p>
    <w:p>
      <w:pPr>
        <w:pStyle w:val="Heading2"/>
      </w:pPr>
      <w:r>
        <w:t>JUSTICE, SÉCURITÉ PUBLIQUE ET PROTECTION DES VICTIMES</w:t>
      </w:r>
    </w:p>
    <w:p>
      <w:pPr>
        <w:pStyle w:val="ArticleTitle"/>
      </w:pPr>
      <w:r>
        <w:t>Article O-81 - Accès à la justice</w:t>
      </w:r>
    </w:p>
    <w:p>
      <w:r>
        <w:t>La justice doit être plus accessible, plus claire, plus rapide et plus compréhensible pour les citoyens.</w:t>
      </w:r>
    </w:p>
    <w:p>
      <w:pPr>
        <w:pStyle w:val="ArticleTitle"/>
      </w:pPr>
      <w:r>
        <w:t>Article O-82 - Délais judiciaires</w:t>
      </w:r>
    </w:p>
    <w:p>
      <w:r>
        <w:t>Les délais judiciaires doivent être mesurés, publiés et corrigés lorsque des seuils critiques sont dépassés.</w:t>
      </w:r>
    </w:p>
    <w:p>
      <w:pPr>
        <w:pStyle w:val="ArticleTitle"/>
      </w:pPr>
      <w:r>
        <w:t>Article O-83 - Protection des victimes</w:t>
      </w:r>
    </w:p>
    <w:p>
      <w:r>
        <w:t>Les victimes doivent recevoir une information claire, un accompagnement approprié, une protection contre l’intimidation et une considération réelle dans le processus.</w:t>
      </w:r>
    </w:p>
    <w:p>
      <w:pPr>
        <w:pStyle w:val="ArticleTitle"/>
      </w:pPr>
      <w:r>
        <w:t>Article O-84 - Police responsable</w:t>
      </w:r>
    </w:p>
    <w:p>
      <w:r>
        <w:t>La sécurité publique doit protéger les citoyens tout en respectant les droits, la proportionnalité et la reddition de comptes.</w:t>
      </w:r>
    </w:p>
    <w:p>
      <w:pPr>
        <w:pStyle w:val="ArticleTitle"/>
      </w:pPr>
      <w:r>
        <w:t>Article O-85 - Lutte contre la criminalité organisée</w:t>
      </w:r>
    </w:p>
    <w:p>
      <w:r>
        <w:t>Les lois ordinaires doivent combattre la criminalité organisée, la fraude, la corruption, les réseaux violents et les crimes économiques.</w:t>
      </w:r>
    </w:p>
    <w:p>
      <w:pPr>
        <w:pStyle w:val="ArticleTitle"/>
      </w:pPr>
      <w:r>
        <w:t>Article O-86 - Prévention de la récidive</w:t>
      </w:r>
    </w:p>
    <w:p>
      <w:r>
        <w:t>Les politiques pénales doivent inclure prévention, responsabilisation, traitement lorsque pertinent et protection du public.</w:t>
      </w:r>
    </w:p>
    <w:p>
      <w:pPr>
        <w:pStyle w:val="ArticleTitle"/>
      </w:pPr>
      <w:r>
        <w:t>Article O-87 - Refus de l’État policier</w:t>
      </w:r>
    </w:p>
    <w:p>
      <w:r>
        <w:t>La sécurité ne doit jamais servir de prétexte à la surveillance de masse, à la police politique ou à la restriction arbitraire des libertés.</w:t>
      </w:r>
    </w:p>
    <w:p>
      <w:pPr>
        <w:pStyle w:val="ArticleTitle"/>
      </w:pPr>
      <w:r>
        <w:t>Article O-88 - Cybersécurité publique</w:t>
      </w:r>
    </w:p>
    <w:p>
      <w:r>
        <w:t>Les crimes numériques visant citoyens, entreprises et institutions doivent être traités comme une menace sérieuse à la sécurité publique.</w:t>
      </w:r>
    </w:p>
    <w:p>
      <w:pPr>
        <w:pStyle w:val="ArticleTitle"/>
      </w:pPr>
      <w:r>
        <w:t>Article O-89 - Sécurité civile</w:t>
      </w:r>
    </w:p>
    <w:p>
      <w:r>
        <w:t>Les plans d’urgence doivent être mis à jour pour les catastrophes naturelles, crises énergétiques, cyberattaques, ruptures de services et crises sanitaires.</w:t>
      </w:r>
    </w:p>
    <w:p>
      <w:pPr>
        <w:pStyle w:val="ArticleTitle"/>
      </w:pPr>
      <w:r>
        <w:t>Article O-90 - Ordre social équilibré</w:t>
      </w:r>
    </w:p>
    <w:p>
      <w:r>
        <w:t>L’ordre social doit être protégé sans écraser la liberté, la contestation légitime ou la liberté de conscience.</w:t>
      </w:r>
    </w:p>
    <w:p>
      <w:r/>
    </w:p>
    <w:p>
      <w:pPr>
        <w:pStyle w:val="Heading1"/>
      </w:pPr>
      <w:r>
        <w:t>PARTIE X</w:t>
      </w:r>
    </w:p>
    <w:p>
      <w:pPr>
        <w:pStyle w:val="Heading2"/>
      </w:pPr>
      <w:r>
        <w:t>NUMÉRIQUE, DONNÉES, IA ET CYBERSÉCURITÉ</w:t>
      </w:r>
    </w:p>
    <w:p>
      <w:pPr>
        <w:pStyle w:val="ArticleTitle"/>
      </w:pPr>
      <w:r>
        <w:t>Article O-91 - Souveraineté numérique</w:t>
      </w:r>
    </w:p>
    <w:p>
      <w:r>
        <w:t>Le Québec doit contrôler ses systèmes numériques critiques, ses données publiques, ses registres, ses infrastructures d’information et ses dépendances technologiques majeures.</w:t>
      </w:r>
    </w:p>
    <w:p>
      <w:pPr>
        <w:pStyle w:val="ArticleTitle"/>
      </w:pPr>
      <w:r>
        <w:t>Article O-92 - Protection des données personnelles</w:t>
      </w:r>
    </w:p>
    <w:p>
      <w:r>
        <w:t>La collecte de données personnelles doit être minimale, justifiée, sécurisée et contrôlable.</w:t>
      </w:r>
    </w:p>
    <w:p>
      <w:pPr>
        <w:pStyle w:val="ArticleTitle"/>
      </w:pPr>
      <w:r>
        <w:t>Article O-93 - Journalisation des accès</w:t>
      </w:r>
    </w:p>
    <w:p>
      <w:r>
        <w:t>Les accès aux données sensibles doivent être journalisés afin de détecter les abus, fuites ou consultations injustifiées.</w:t>
      </w:r>
    </w:p>
    <w:p>
      <w:pPr>
        <w:pStyle w:val="ArticleTitle"/>
      </w:pPr>
      <w:r>
        <w:t>Article O-94 - Identité numérique limitée</w:t>
      </w:r>
    </w:p>
    <w:p>
      <w:r>
        <w:t>L’identité numérique ne doit pas devenir un instrument obligatoire de contrôle généralisé. Des alternatives humaines et non numériques doivent demeurer disponibles lorsque nécessaire.</w:t>
      </w:r>
    </w:p>
    <w:p>
      <w:pPr>
        <w:pStyle w:val="ArticleTitle"/>
      </w:pPr>
      <w:r>
        <w:t>Article O-95 - IA publique responsable</w:t>
      </w:r>
    </w:p>
    <w:p>
      <w:r>
        <w:t>Toute intelligence artificielle utilisée par l’État doit être explicable, auditée, contestable et soumise à une responsabilité humaine.</w:t>
      </w:r>
    </w:p>
    <w:p>
      <w:pPr>
        <w:pStyle w:val="ArticleTitle"/>
      </w:pPr>
      <w:r>
        <w:t>Article O-96 - Interdiction du score social</w:t>
      </w:r>
    </w:p>
    <w:p>
      <w:r>
        <w:t>Aucun système public ne doit établir un score social général visant à classer les citoyens selon leur comportement politique, social ou idéologique.</w:t>
      </w:r>
    </w:p>
    <w:p>
      <w:pPr>
        <w:pStyle w:val="ArticleTitle"/>
      </w:pPr>
      <w:r>
        <w:t>Article O-97 - Refus de la surveillance de masse</w:t>
      </w:r>
    </w:p>
    <w:p>
      <w:r>
        <w:t>La surveillance de masse des citoyens est interdite, sauf mesures strictement encadrées par la loi, la nécessité, la proportionnalité et l’autorisation indépendante.</w:t>
      </w:r>
    </w:p>
    <w:p>
      <w:pPr>
        <w:pStyle w:val="ArticleTitle"/>
      </w:pPr>
      <w:r>
        <w:t>Article O-98 - Interopérabilité</w:t>
      </w:r>
    </w:p>
    <w:p>
      <w:r>
        <w:t>Les systèmes publics doivent favoriser l’interopérabilité, la portabilité, la maîtrise publique et la réduction des dépendances coûteuses.</w:t>
      </w:r>
    </w:p>
    <w:p>
      <w:pPr>
        <w:pStyle w:val="ArticleTitle"/>
      </w:pPr>
      <w:r>
        <w:t>Article O-99 - Sécurité des systèmes critiques</w:t>
      </w:r>
    </w:p>
    <w:p>
      <w:r>
        <w:t>Les systèmes de santé, élections, finances, identité, justice, énergie et communications doivent être soumis à des audits de sécurité réguliers.</w:t>
      </w:r>
    </w:p>
    <w:p>
      <w:pPr>
        <w:pStyle w:val="ArticleTitle"/>
      </w:pPr>
      <w:r>
        <w:t>Article O-100 - Recours contre l’algorithme</w:t>
      </w:r>
    </w:p>
    <w:p>
      <w:r>
        <w:t>Un citoyen affecté par une décision automatisée importante doit pouvoir obtenir une explication, une révision humaine et un recours effectif.</w:t>
      </w:r>
    </w:p>
    <w:p>
      <w:r/>
    </w:p>
    <w:p>
      <w:pPr>
        <w:pStyle w:val="Heading1"/>
      </w:pPr>
      <w:r>
        <w:t>PARTIE XI</w:t>
      </w:r>
    </w:p>
    <w:p>
      <w:pPr>
        <w:pStyle w:val="Heading2"/>
      </w:pPr>
      <w:r>
        <w:t>ENVIRONNEMENT RESPONSABLE ET AUTONOMIE STRATÉGIQUE</w:t>
      </w:r>
    </w:p>
    <w:p>
      <w:pPr>
        <w:pStyle w:val="ArticleTitle"/>
      </w:pPr>
      <w:r>
        <w:t>Article O-101 - Environnement fondé sur les résultats</w:t>
      </w:r>
    </w:p>
    <w:p>
      <w:r>
        <w:t>La politique environnementale doit être fondée sur des résultats mesurables, non seulement sur des symboles ou obligations coûteuses sans effet réel.</w:t>
      </w:r>
    </w:p>
    <w:p>
      <w:pPr>
        <w:pStyle w:val="ArticleTitle"/>
      </w:pPr>
      <w:r>
        <w:t>Article O-102 - Protection de l’eau</w:t>
      </w:r>
    </w:p>
    <w:p>
      <w:r>
        <w:t>L’eau constitue une ressource stratégique et doit être protégée contre la pollution, la mauvaise gestion et la dépendance externe.</w:t>
      </w:r>
    </w:p>
    <w:p>
      <w:pPr>
        <w:pStyle w:val="ArticleTitle"/>
      </w:pPr>
      <w:r>
        <w:t>Article O-103 - Forêts et ressources</w:t>
      </w:r>
    </w:p>
    <w:p>
      <w:r>
        <w:t>Les ressources naturelles doivent être gérées dans l’intérêt du Québec, avec transformation locale lorsque possible, protection environnementale et retombées régionales.</w:t>
      </w:r>
    </w:p>
    <w:p>
      <w:pPr>
        <w:pStyle w:val="ArticleTitle"/>
      </w:pPr>
      <w:r>
        <w:t>Article O-104 - Pollueur responsable</w:t>
      </w:r>
    </w:p>
    <w:p>
      <w:r>
        <w:t>Les pollueurs doivent assumer les coûts des dommages causés, selon des règles claires, proportionnées et applicables.</w:t>
      </w:r>
    </w:p>
    <w:p>
      <w:pPr>
        <w:pStyle w:val="ArticleTitle"/>
      </w:pPr>
      <w:r>
        <w:t>Article O-105 - Analyse d’impact</w:t>
      </w:r>
    </w:p>
    <w:p>
      <w:r>
        <w:t>Les grands projets doivent faire l’objet d’analyses d’impact économiques, sociaux, environnementaux, linguistiques, territoriaux et énergétiques.</w:t>
      </w:r>
    </w:p>
    <w:p>
      <w:pPr>
        <w:pStyle w:val="ArticleTitle"/>
      </w:pPr>
      <w:r>
        <w:t>Article O-106 - Autonomie alimentaire</w:t>
      </w:r>
    </w:p>
    <w:p>
      <w:r>
        <w:t>Le Québec doit protéger sa capacité alimentaire, agricole, logistique et régionale.</w:t>
      </w:r>
    </w:p>
    <w:p>
      <w:pPr>
        <w:pStyle w:val="ArticleTitle"/>
      </w:pPr>
      <w:r>
        <w:t>Article O-107 - Autonomie énergétique</w:t>
      </w:r>
    </w:p>
    <w:p>
      <w:r>
        <w:t>L’énergie doit être considérée comme un actif stratégique lié à la souveraineté, à l’industrie et à la stabilité sociale.</w:t>
      </w:r>
    </w:p>
    <w:p>
      <w:pPr>
        <w:pStyle w:val="ArticleTitle"/>
      </w:pPr>
      <w:r>
        <w:t>Article O-108 - Stocks et réserves critiques</w:t>
      </w:r>
    </w:p>
    <w:p>
      <w:r>
        <w:t>Le Québec doit identifier les réserves nécessaires en santé, énergie, alimentation, cybersécurité, infrastructures et sécurité civile.</w:t>
      </w:r>
    </w:p>
    <w:p>
      <w:pPr>
        <w:pStyle w:val="ArticleTitle"/>
      </w:pPr>
      <w:r>
        <w:t>Article O-109 - Résilience nationale</w:t>
      </w:r>
    </w:p>
    <w:p>
      <w:r>
        <w:t>Les politiques publiques doivent réduire les vulnérabilités du Québec face aux crises extérieures, ruptures d’approvisionnement et dépendances critiques.</w:t>
      </w:r>
    </w:p>
    <w:p>
      <w:pPr>
        <w:pStyle w:val="ArticleTitle"/>
      </w:pPr>
      <w:r>
        <w:t>Article O-110 - Développement responsable</w:t>
      </w:r>
    </w:p>
    <w:p>
      <w:r>
        <w:t>Le développement économique et environnemental doit être concilié par la preuve, la transparence, la responsabilité et l’intérêt national.</w:t>
      </w:r>
    </w:p>
    <w:p>
      <w:r/>
    </w:p>
    <w:p>
      <w:pPr>
        <w:pStyle w:val="Heading1"/>
      </w:pPr>
      <w:r>
        <w:t>PARTIE XII</w:t>
      </w:r>
    </w:p>
    <w:p>
      <w:pPr>
        <w:pStyle w:val="Heading2"/>
      </w:pPr>
      <w:r>
        <w:t>APPLICATION, CONTRÔLE ET ANTI-CONTOURNEMENT</w:t>
      </w:r>
    </w:p>
    <w:p>
      <w:pPr>
        <w:pStyle w:val="ArticleTitle"/>
      </w:pPr>
      <w:r>
        <w:t>Article O-111 - Applicabilité générale</w:t>
      </w:r>
    </w:p>
    <w:p>
      <w:r>
        <w:t>Les lois ordinaires s’appliquent à l’État, aux organismes publics, aux citoyens, aux entreprises et aux institutions selon les règles de compétence prévues.</w:t>
      </w:r>
    </w:p>
    <w:p>
      <w:pPr>
        <w:pStyle w:val="ArticleTitle"/>
      </w:pPr>
      <w:r>
        <w:t>Article O-112 - Contrôle de conformité</w:t>
      </w:r>
    </w:p>
    <w:p>
      <w:r>
        <w:t>Les lois ordinaires doivent être vérifiées périodiquement afin de s’assurer qu’elles respectent la Constitution, les normes fondamentales et les lois organiques.</w:t>
      </w:r>
    </w:p>
    <w:p>
      <w:pPr>
        <w:pStyle w:val="ArticleTitle"/>
      </w:pPr>
      <w:r>
        <w:t>Article O-113 - Clause anti-contournement</w:t>
      </w:r>
    </w:p>
    <w:p>
      <w:r>
        <w:t>Aucune loi ordinaire ne doit être utilisée pour contourner les garanties supérieures par une règle technique, un règlement, un programme, un contrat ou une directive administrative.</w:t>
      </w:r>
    </w:p>
    <w:p>
      <w:pPr>
        <w:pStyle w:val="ArticleTitle"/>
      </w:pPr>
      <w:r>
        <w:t>Article O-114 - Responsabilité des ministres</w:t>
      </w:r>
    </w:p>
    <w:p>
      <w:r>
        <w:t>Les ministres responsables de lois ordinaires doivent répondre publiquement de leur application, de leurs résultats et de leurs échecs.</w:t>
      </w:r>
    </w:p>
    <w:p>
      <w:pPr>
        <w:pStyle w:val="ArticleTitle"/>
      </w:pPr>
      <w:r>
        <w:t>Article O-115 - Contrôle parlementaire</w:t>
      </w:r>
    </w:p>
    <w:p>
      <w:r>
        <w:t>Le parlement doit pouvoir examiner les effets des lois ordinaires, convoquer les responsables et exiger des corrections.</w:t>
      </w:r>
    </w:p>
    <w:p>
      <w:pPr>
        <w:pStyle w:val="ArticleTitle"/>
      </w:pPr>
      <w:r>
        <w:t>Article O-116 - Contrôle citoyen</w:t>
      </w:r>
    </w:p>
    <w:p>
      <w:r>
        <w:t>Les citoyens doivent pouvoir accéder aux informations nécessaires pour juger l’application des lois ordinaires.</w:t>
      </w:r>
    </w:p>
    <w:p>
      <w:pPr>
        <w:pStyle w:val="ArticleTitle"/>
      </w:pPr>
      <w:r>
        <w:t>Article O-117 - Révision obligatoire</w:t>
      </w:r>
    </w:p>
    <w:p>
      <w:r>
        <w:t>Toute loi ordinaire créant des charges importantes doit prévoir une clause de révision ou une évaluation périodique.</w:t>
      </w:r>
    </w:p>
    <w:p>
      <w:pPr>
        <w:pStyle w:val="ArticleTitle"/>
      </w:pPr>
      <w:r>
        <w:t>Article O-118 - Correction des abus</w:t>
      </w:r>
    </w:p>
    <w:p>
      <w:r>
        <w:t>Lorsqu’une loi ordinaire produit des abus, coûts excessifs ou effets contraires à son objectif, le gouvernement doit proposer des corrections.</w:t>
      </w:r>
    </w:p>
    <w:p>
      <w:pPr>
        <w:pStyle w:val="ArticleTitle"/>
      </w:pPr>
      <w:r>
        <w:t>Article O-119 - Nullité des manœuvres</w:t>
      </w:r>
    </w:p>
    <w:p>
      <w:r>
        <w:t>Toute manœuvre visant à détourner l’esprit d’une norme supérieure par une loi ordinaire doit être réputée contraire au Système Nova.</w:t>
      </w:r>
    </w:p>
    <w:p>
      <w:pPr>
        <w:pStyle w:val="ArticleTitle"/>
      </w:pPr>
      <w:r>
        <w:t>Article O-120 - Clause finale</w:t>
      </w:r>
    </w:p>
    <w:p>
      <w:r>
        <w:t>Le présent document fixe le cadre des lois ordinaires du Système Nova. Il doit être transmis, appliqué et révisé dans le respect de la souveraineté populaire, de la transparence, de l’intégrité, de la liberté, du français, de la responsabilité financière et de l’intérêt national du Québec.</w:t>
      </w:r>
    </w:p>
    <w:p>
      <w:r/>
    </w:p>
    <w:p>
      <w:pPr>
        <w:pStyle w:val="Heading1"/>
      </w:pPr>
      <w:r>
        <w:t>TABLE DE CONCORDANCE ORDINAIRE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r/>
            <w:r>
              <w:rPr>
                <w:rFonts w:ascii="Arial" w:hAnsi="Arial" w:eastAsia="Arial"/>
                <w:b/>
                <w:color w:val="FFFFFF"/>
                <w:sz w:val="17"/>
              </w:rPr>
              <w:t>Axe</w:t>
            </w:r>
          </w:p>
        </w:tc>
        <w:tc>
          <w:tcPr>
            <w:tcW w:type="dxa" w:w="2498"/>
            <w:vAlign w:val="center"/>
            <w:shd w:fill="1F4E79"/>
          </w:tcPr>
          <w:p>
            <w:r/>
            <w:r>
              <w:rPr>
                <w:rFonts w:ascii="Arial" w:hAnsi="Arial" w:eastAsia="Arial"/>
                <w:b/>
                <w:color w:val="FFFFFF"/>
                <w:sz w:val="17"/>
              </w:rPr>
              <w:t>Matière</w:t>
            </w:r>
          </w:p>
        </w:tc>
        <w:tc>
          <w:tcPr>
            <w:tcW w:type="dxa" w:w="2498"/>
            <w:vAlign w:val="center"/>
            <w:shd w:fill="1F4E79"/>
          </w:tcPr>
          <w:p>
            <w:r/>
            <w:r>
              <w:rPr>
                <w:rFonts w:ascii="Arial" w:hAnsi="Arial" w:eastAsia="Arial"/>
                <w:b/>
                <w:color w:val="FFFFFF"/>
                <w:sz w:val="17"/>
              </w:rPr>
              <w:t>Articles</w:t>
            </w:r>
          </w:p>
        </w:tc>
        <w:tc>
          <w:tcPr>
            <w:tcW w:type="dxa" w:w="2498"/>
            <w:vAlign w:val="center"/>
            <w:shd w:fill="1F4E79"/>
          </w:tcPr>
          <w:p>
            <w:r/>
            <w:r>
              <w:rPr>
                <w:rFonts w:ascii="Arial" w:hAnsi="Arial" w:eastAsia="Arial"/>
                <w:b/>
                <w:color w:val="FFFFFF"/>
                <w:sz w:val="17"/>
              </w:rPr>
              <w:t>Norme supérieure liée</w:t>
            </w:r>
          </w:p>
        </w:tc>
      </w:tr>
      <w:tr>
        <w:tc>
          <w:tcPr>
            <w:tcW w:type="dxa" w:w="2498"/>
            <w:vAlign w:val="center"/>
          </w:tcPr>
          <w:p>
            <w:r/>
            <w:r>
              <w:rPr>
                <w:rFonts w:ascii="Arial" w:hAnsi="Arial" w:eastAsia="Arial"/>
                <w:b w:val="0"/>
                <w:color w:val="000000"/>
                <w:sz w:val="17"/>
              </w:rPr>
              <w:t>Droits courants</w:t>
            </w:r>
          </w:p>
        </w:tc>
        <w:tc>
          <w:tcPr>
            <w:tcW w:type="dxa" w:w="2498"/>
            <w:vAlign w:val="center"/>
          </w:tcPr>
          <w:p>
            <w:r/>
            <w:r>
              <w:rPr>
                <w:rFonts w:ascii="Arial" w:hAnsi="Arial" w:eastAsia="Arial"/>
                <w:b w:val="0"/>
                <w:color w:val="000000"/>
                <w:sz w:val="17"/>
              </w:rPr>
              <w:t>Relations citoyen-État</w:t>
            </w:r>
          </w:p>
        </w:tc>
        <w:tc>
          <w:tcPr>
            <w:tcW w:type="dxa" w:w="2498"/>
            <w:vAlign w:val="center"/>
          </w:tcPr>
          <w:p>
            <w:r/>
            <w:r>
              <w:rPr>
                <w:rFonts w:ascii="Arial" w:hAnsi="Arial" w:eastAsia="Arial"/>
                <w:b w:val="0"/>
                <w:color w:val="000000"/>
                <w:sz w:val="17"/>
              </w:rPr>
              <w:t>O-11 à O-20</w:t>
            </w:r>
          </w:p>
        </w:tc>
        <w:tc>
          <w:tcPr>
            <w:tcW w:type="dxa" w:w="2498"/>
            <w:vAlign w:val="center"/>
          </w:tcPr>
          <w:p>
            <w:r/>
            <w:r>
              <w:rPr>
                <w:rFonts w:ascii="Arial" w:hAnsi="Arial" w:eastAsia="Arial"/>
                <w:b w:val="0"/>
                <w:color w:val="000000"/>
                <w:sz w:val="17"/>
              </w:rPr>
              <w:t>Constitution; normes fondamentales</w:t>
            </w:r>
          </w:p>
        </w:tc>
      </w:tr>
      <w:tr>
        <w:tc>
          <w:tcPr>
            <w:tcW w:type="dxa" w:w="2498"/>
            <w:vAlign w:val="center"/>
          </w:tcPr>
          <w:p>
            <w:r/>
            <w:r>
              <w:rPr>
                <w:rFonts w:ascii="Arial" w:hAnsi="Arial" w:eastAsia="Arial"/>
                <w:b w:val="0"/>
                <w:color w:val="000000"/>
                <w:sz w:val="17"/>
              </w:rPr>
              <w:t>Services</w:t>
            </w:r>
          </w:p>
        </w:tc>
        <w:tc>
          <w:tcPr>
            <w:tcW w:type="dxa" w:w="2498"/>
            <w:vAlign w:val="center"/>
          </w:tcPr>
          <w:p>
            <w:r/>
            <w:r>
              <w:rPr>
                <w:rFonts w:ascii="Arial" w:hAnsi="Arial" w:eastAsia="Arial"/>
                <w:b w:val="0"/>
                <w:color w:val="000000"/>
                <w:sz w:val="17"/>
              </w:rPr>
              <w:t>Services essentiels</w:t>
            </w:r>
          </w:p>
        </w:tc>
        <w:tc>
          <w:tcPr>
            <w:tcW w:type="dxa" w:w="2498"/>
            <w:vAlign w:val="center"/>
          </w:tcPr>
          <w:p>
            <w:r/>
            <w:r>
              <w:rPr>
                <w:rFonts w:ascii="Arial" w:hAnsi="Arial" w:eastAsia="Arial"/>
                <w:b w:val="0"/>
                <w:color w:val="000000"/>
                <w:sz w:val="17"/>
              </w:rPr>
              <w:t>O-21 à O-30</w:t>
            </w:r>
          </w:p>
        </w:tc>
        <w:tc>
          <w:tcPr>
            <w:tcW w:type="dxa" w:w="2498"/>
            <w:vAlign w:val="center"/>
          </w:tcPr>
          <w:p>
            <w:r/>
            <w:r>
              <w:rPr>
                <w:rFonts w:ascii="Arial" w:hAnsi="Arial" w:eastAsia="Arial"/>
                <w:b w:val="0"/>
                <w:color w:val="000000"/>
                <w:sz w:val="17"/>
              </w:rPr>
              <w:t>Lois organiques; lois administratives</w:t>
            </w:r>
          </w:p>
        </w:tc>
      </w:tr>
      <w:tr>
        <w:tc>
          <w:tcPr>
            <w:tcW w:type="dxa" w:w="2498"/>
            <w:vAlign w:val="center"/>
          </w:tcPr>
          <w:p>
            <w:r/>
            <w:r>
              <w:rPr>
                <w:rFonts w:ascii="Arial" w:hAnsi="Arial" w:eastAsia="Arial"/>
                <w:b w:val="0"/>
                <w:color w:val="000000"/>
                <w:sz w:val="17"/>
              </w:rPr>
              <w:t>Social</w:t>
            </w:r>
          </w:p>
        </w:tc>
        <w:tc>
          <w:tcPr>
            <w:tcW w:type="dxa" w:w="2498"/>
            <w:vAlign w:val="center"/>
          </w:tcPr>
          <w:p>
            <w:r/>
            <w:r>
              <w:rPr>
                <w:rFonts w:ascii="Arial" w:hAnsi="Arial" w:eastAsia="Arial"/>
                <w:b w:val="0"/>
                <w:color w:val="000000"/>
                <w:sz w:val="17"/>
              </w:rPr>
              <w:t>Santé, éducation, protection sociale</w:t>
            </w:r>
          </w:p>
        </w:tc>
        <w:tc>
          <w:tcPr>
            <w:tcW w:type="dxa" w:w="2498"/>
            <w:vAlign w:val="center"/>
          </w:tcPr>
          <w:p>
            <w:r/>
            <w:r>
              <w:rPr>
                <w:rFonts w:ascii="Arial" w:hAnsi="Arial" w:eastAsia="Arial"/>
                <w:b w:val="0"/>
                <w:color w:val="000000"/>
                <w:sz w:val="17"/>
              </w:rPr>
              <w:t>O-31 à O-40</w:t>
            </w:r>
          </w:p>
        </w:tc>
        <w:tc>
          <w:tcPr>
            <w:tcW w:type="dxa" w:w="2498"/>
            <w:vAlign w:val="center"/>
          </w:tcPr>
          <w:p>
            <w:r/>
            <w:r>
              <w:rPr>
                <w:rFonts w:ascii="Arial" w:hAnsi="Arial" w:eastAsia="Arial"/>
                <w:b w:val="0"/>
                <w:color w:val="000000"/>
                <w:sz w:val="17"/>
              </w:rPr>
              <w:t>Normes fondamentales; lois administratives</w:t>
            </w:r>
          </w:p>
        </w:tc>
      </w:tr>
      <w:tr>
        <w:tc>
          <w:tcPr>
            <w:tcW w:type="dxa" w:w="2498"/>
            <w:vAlign w:val="center"/>
          </w:tcPr>
          <w:p>
            <w:r/>
            <w:r>
              <w:rPr>
                <w:rFonts w:ascii="Arial" w:hAnsi="Arial" w:eastAsia="Arial"/>
                <w:b w:val="0"/>
                <w:color w:val="000000"/>
                <w:sz w:val="17"/>
              </w:rPr>
              <w:t>Économie</w:t>
            </w:r>
          </w:p>
        </w:tc>
        <w:tc>
          <w:tcPr>
            <w:tcW w:type="dxa" w:w="2498"/>
            <w:vAlign w:val="center"/>
          </w:tcPr>
          <w:p>
            <w:r/>
            <w:r>
              <w:rPr>
                <w:rFonts w:ascii="Arial" w:hAnsi="Arial" w:eastAsia="Arial"/>
                <w:b w:val="0"/>
                <w:color w:val="000000"/>
                <w:sz w:val="17"/>
              </w:rPr>
              <w:t>Travail, PME, concurrence</w:t>
            </w:r>
          </w:p>
        </w:tc>
        <w:tc>
          <w:tcPr>
            <w:tcW w:type="dxa" w:w="2498"/>
            <w:vAlign w:val="center"/>
          </w:tcPr>
          <w:p>
            <w:r/>
            <w:r>
              <w:rPr>
                <w:rFonts w:ascii="Arial" w:hAnsi="Arial" w:eastAsia="Arial"/>
                <w:b w:val="0"/>
                <w:color w:val="000000"/>
                <w:sz w:val="17"/>
              </w:rPr>
              <w:t>O-41 à O-50</w:t>
            </w:r>
          </w:p>
        </w:tc>
        <w:tc>
          <w:tcPr>
            <w:tcW w:type="dxa" w:w="2498"/>
            <w:vAlign w:val="center"/>
          </w:tcPr>
          <w:p>
            <w:r/>
            <w:r>
              <w:rPr>
                <w:rFonts w:ascii="Arial" w:hAnsi="Arial" w:eastAsia="Arial"/>
                <w:b w:val="0"/>
                <w:color w:val="000000"/>
                <w:sz w:val="17"/>
              </w:rPr>
              <w:t>Programme électoral; doctrine économique</w:t>
            </w:r>
          </w:p>
        </w:tc>
      </w:tr>
      <w:tr>
        <w:tc>
          <w:tcPr>
            <w:tcW w:type="dxa" w:w="2498"/>
            <w:vAlign w:val="center"/>
          </w:tcPr>
          <w:p>
            <w:r/>
            <w:r>
              <w:rPr>
                <w:rFonts w:ascii="Arial" w:hAnsi="Arial" w:eastAsia="Arial"/>
                <w:b w:val="0"/>
                <w:color w:val="000000"/>
                <w:sz w:val="17"/>
              </w:rPr>
              <w:t>Finances</w:t>
            </w:r>
          </w:p>
        </w:tc>
        <w:tc>
          <w:tcPr>
            <w:tcW w:type="dxa" w:w="2498"/>
            <w:vAlign w:val="center"/>
          </w:tcPr>
          <w:p>
            <w:r/>
            <w:r>
              <w:rPr>
                <w:rFonts w:ascii="Arial" w:hAnsi="Arial" w:eastAsia="Arial"/>
                <w:b w:val="0"/>
                <w:color w:val="000000"/>
                <w:sz w:val="17"/>
              </w:rPr>
              <w:t>Fiscalité et argent public</w:t>
            </w:r>
          </w:p>
        </w:tc>
        <w:tc>
          <w:tcPr>
            <w:tcW w:type="dxa" w:w="2498"/>
            <w:vAlign w:val="center"/>
          </w:tcPr>
          <w:p>
            <w:r/>
            <w:r>
              <w:rPr>
                <w:rFonts w:ascii="Arial" w:hAnsi="Arial" w:eastAsia="Arial"/>
                <w:b w:val="0"/>
                <w:color w:val="000000"/>
                <w:sz w:val="17"/>
              </w:rPr>
              <w:t>O-51 à O-60</w:t>
            </w:r>
          </w:p>
        </w:tc>
        <w:tc>
          <w:tcPr>
            <w:tcW w:type="dxa" w:w="2498"/>
            <w:vAlign w:val="center"/>
          </w:tcPr>
          <w:p>
            <w:r/>
            <w:r>
              <w:rPr>
                <w:rFonts w:ascii="Arial" w:hAnsi="Arial" w:eastAsia="Arial"/>
                <w:b w:val="0"/>
                <w:color w:val="000000"/>
                <w:sz w:val="17"/>
              </w:rPr>
              <w:t>Constitution financière; transparence</w:t>
            </w:r>
          </w:p>
        </w:tc>
      </w:tr>
      <w:tr>
        <w:tc>
          <w:tcPr>
            <w:tcW w:type="dxa" w:w="2498"/>
            <w:vAlign w:val="center"/>
          </w:tcPr>
          <w:p>
            <w:r/>
            <w:r>
              <w:rPr>
                <w:rFonts w:ascii="Arial" w:hAnsi="Arial" w:eastAsia="Arial"/>
                <w:b w:val="0"/>
                <w:color w:val="000000"/>
                <w:sz w:val="17"/>
              </w:rPr>
              <w:t>Territoire</w:t>
            </w:r>
          </w:p>
        </w:tc>
        <w:tc>
          <w:tcPr>
            <w:tcW w:type="dxa" w:w="2498"/>
            <w:vAlign w:val="center"/>
          </w:tcPr>
          <w:p>
            <w:r/>
            <w:r>
              <w:rPr>
                <w:rFonts w:ascii="Arial" w:hAnsi="Arial" w:eastAsia="Arial"/>
                <w:b w:val="0"/>
                <w:color w:val="000000"/>
                <w:sz w:val="17"/>
              </w:rPr>
              <w:t>Logement, infrastructures, énergie</w:t>
            </w:r>
          </w:p>
        </w:tc>
        <w:tc>
          <w:tcPr>
            <w:tcW w:type="dxa" w:w="2498"/>
            <w:vAlign w:val="center"/>
          </w:tcPr>
          <w:p>
            <w:r/>
            <w:r>
              <w:rPr>
                <w:rFonts w:ascii="Arial" w:hAnsi="Arial" w:eastAsia="Arial"/>
                <w:b w:val="0"/>
                <w:color w:val="000000"/>
                <w:sz w:val="17"/>
              </w:rPr>
              <w:t>O-61 à O-70</w:t>
            </w:r>
          </w:p>
        </w:tc>
        <w:tc>
          <w:tcPr>
            <w:tcW w:type="dxa" w:w="2498"/>
            <w:vAlign w:val="center"/>
          </w:tcPr>
          <w:p>
            <w:r/>
            <w:r>
              <w:rPr>
                <w:rFonts w:ascii="Arial" w:hAnsi="Arial" w:eastAsia="Arial"/>
                <w:b w:val="0"/>
                <w:color w:val="000000"/>
                <w:sz w:val="17"/>
              </w:rPr>
              <w:t>Autonomie stratégique</w:t>
            </w:r>
          </w:p>
        </w:tc>
      </w:tr>
      <w:tr>
        <w:tc>
          <w:tcPr>
            <w:tcW w:type="dxa" w:w="2498"/>
            <w:vAlign w:val="center"/>
          </w:tcPr>
          <w:p>
            <w:r/>
            <w:r>
              <w:rPr>
                <w:rFonts w:ascii="Arial" w:hAnsi="Arial" w:eastAsia="Arial"/>
                <w:b w:val="0"/>
                <w:color w:val="000000"/>
                <w:sz w:val="17"/>
              </w:rPr>
              <w:t>Nation</w:t>
            </w:r>
          </w:p>
        </w:tc>
        <w:tc>
          <w:tcPr>
            <w:tcW w:type="dxa" w:w="2498"/>
            <w:vAlign w:val="center"/>
          </w:tcPr>
          <w:p>
            <w:r/>
            <w:r>
              <w:rPr>
                <w:rFonts w:ascii="Arial" w:hAnsi="Arial" w:eastAsia="Arial"/>
                <w:b w:val="0"/>
                <w:color w:val="000000"/>
                <w:sz w:val="17"/>
              </w:rPr>
              <w:t>Immigration, français, cohésion</w:t>
            </w:r>
          </w:p>
        </w:tc>
        <w:tc>
          <w:tcPr>
            <w:tcW w:type="dxa" w:w="2498"/>
            <w:vAlign w:val="center"/>
          </w:tcPr>
          <w:p>
            <w:r/>
            <w:r>
              <w:rPr>
                <w:rFonts w:ascii="Arial" w:hAnsi="Arial" w:eastAsia="Arial"/>
                <w:b w:val="0"/>
                <w:color w:val="000000"/>
                <w:sz w:val="17"/>
              </w:rPr>
              <w:t>O-71 à O-80</w:t>
            </w:r>
          </w:p>
        </w:tc>
        <w:tc>
          <w:tcPr>
            <w:tcW w:type="dxa" w:w="2498"/>
            <w:vAlign w:val="center"/>
          </w:tcPr>
          <w:p>
            <w:r/>
            <w:r>
              <w:rPr>
                <w:rFonts w:ascii="Arial" w:hAnsi="Arial" w:eastAsia="Arial"/>
                <w:b w:val="0"/>
                <w:color w:val="000000"/>
                <w:sz w:val="17"/>
              </w:rPr>
              <w:t>Doctrine nationale; Constitution</w:t>
            </w:r>
          </w:p>
        </w:tc>
      </w:tr>
      <w:tr>
        <w:tc>
          <w:tcPr>
            <w:tcW w:type="dxa" w:w="2498"/>
            <w:vAlign w:val="center"/>
          </w:tcPr>
          <w:p>
            <w:r/>
            <w:r>
              <w:rPr>
                <w:rFonts w:ascii="Arial" w:hAnsi="Arial" w:eastAsia="Arial"/>
                <w:b w:val="0"/>
                <w:color w:val="000000"/>
                <w:sz w:val="17"/>
              </w:rPr>
              <w:t>Sécurité</w:t>
            </w:r>
          </w:p>
        </w:tc>
        <w:tc>
          <w:tcPr>
            <w:tcW w:type="dxa" w:w="2498"/>
            <w:vAlign w:val="center"/>
          </w:tcPr>
          <w:p>
            <w:r/>
            <w:r>
              <w:rPr>
                <w:rFonts w:ascii="Arial" w:hAnsi="Arial" w:eastAsia="Arial"/>
                <w:b w:val="0"/>
                <w:color w:val="000000"/>
                <w:sz w:val="17"/>
              </w:rPr>
              <w:t>Justice et sécurité publique</w:t>
            </w:r>
          </w:p>
        </w:tc>
        <w:tc>
          <w:tcPr>
            <w:tcW w:type="dxa" w:w="2498"/>
            <w:vAlign w:val="center"/>
          </w:tcPr>
          <w:p>
            <w:r/>
            <w:r>
              <w:rPr>
                <w:rFonts w:ascii="Arial" w:hAnsi="Arial" w:eastAsia="Arial"/>
                <w:b w:val="0"/>
                <w:color w:val="000000"/>
                <w:sz w:val="17"/>
              </w:rPr>
              <w:t>O-81 à O-90</w:t>
            </w:r>
          </w:p>
        </w:tc>
        <w:tc>
          <w:tcPr>
            <w:tcW w:type="dxa" w:w="2498"/>
            <w:vAlign w:val="center"/>
          </w:tcPr>
          <w:p>
            <w:r/>
            <w:r>
              <w:rPr>
                <w:rFonts w:ascii="Arial" w:hAnsi="Arial" w:eastAsia="Arial"/>
                <w:b w:val="0"/>
                <w:color w:val="000000"/>
                <w:sz w:val="17"/>
              </w:rPr>
              <w:t>Droits fondamentaux; ordre social</w:t>
            </w:r>
          </w:p>
        </w:tc>
      </w:tr>
      <w:tr>
        <w:tc>
          <w:tcPr>
            <w:tcW w:type="dxa" w:w="2498"/>
            <w:vAlign w:val="center"/>
          </w:tcPr>
          <w:p>
            <w:r/>
            <w:r>
              <w:rPr>
                <w:rFonts w:ascii="Arial" w:hAnsi="Arial" w:eastAsia="Arial"/>
                <w:b w:val="0"/>
                <w:color w:val="000000"/>
                <w:sz w:val="17"/>
              </w:rPr>
              <w:t>Numérique</w:t>
            </w:r>
          </w:p>
        </w:tc>
        <w:tc>
          <w:tcPr>
            <w:tcW w:type="dxa" w:w="2498"/>
            <w:vAlign w:val="center"/>
          </w:tcPr>
          <w:p>
            <w:r/>
            <w:r>
              <w:rPr>
                <w:rFonts w:ascii="Arial" w:hAnsi="Arial" w:eastAsia="Arial"/>
                <w:b w:val="0"/>
                <w:color w:val="000000"/>
                <w:sz w:val="17"/>
              </w:rPr>
              <w:t>Données, IA, cybersécurité</w:t>
            </w:r>
          </w:p>
        </w:tc>
        <w:tc>
          <w:tcPr>
            <w:tcW w:type="dxa" w:w="2498"/>
            <w:vAlign w:val="center"/>
          </w:tcPr>
          <w:p>
            <w:r/>
            <w:r>
              <w:rPr>
                <w:rFonts w:ascii="Arial" w:hAnsi="Arial" w:eastAsia="Arial"/>
                <w:b w:val="0"/>
                <w:color w:val="000000"/>
                <w:sz w:val="17"/>
              </w:rPr>
              <w:t>O-91 à O-100</w:t>
            </w:r>
          </w:p>
        </w:tc>
        <w:tc>
          <w:tcPr>
            <w:tcW w:type="dxa" w:w="2498"/>
            <w:vAlign w:val="center"/>
          </w:tcPr>
          <w:p>
            <w:r/>
            <w:r>
              <w:rPr>
                <w:rFonts w:ascii="Arial" w:hAnsi="Arial" w:eastAsia="Arial"/>
                <w:b w:val="0"/>
                <w:color w:val="000000"/>
                <w:sz w:val="17"/>
              </w:rPr>
              <w:t>Souveraineté numérique</w:t>
            </w:r>
          </w:p>
        </w:tc>
      </w:tr>
      <w:tr>
        <w:tc>
          <w:tcPr>
            <w:tcW w:type="dxa" w:w="2498"/>
            <w:vAlign w:val="center"/>
          </w:tcPr>
          <w:p>
            <w:r/>
            <w:r>
              <w:rPr>
                <w:rFonts w:ascii="Arial" w:hAnsi="Arial" w:eastAsia="Arial"/>
                <w:b w:val="0"/>
                <w:color w:val="000000"/>
                <w:sz w:val="17"/>
              </w:rPr>
              <w:t>Résilience</w:t>
            </w:r>
          </w:p>
        </w:tc>
        <w:tc>
          <w:tcPr>
            <w:tcW w:type="dxa" w:w="2498"/>
            <w:vAlign w:val="center"/>
          </w:tcPr>
          <w:p>
            <w:r/>
            <w:r>
              <w:rPr>
                <w:rFonts w:ascii="Arial" w:hAnsi="Arial" w:eastAsia="Arial"/>
                <w:b w:val="0"/>
                <w:color w:val="000000"/>
                <w:sz w:val="17"/>
              </w:rPr>
              <w:t>Environnement, ressources, réserves</w:t>
            </w:r>
          </w:p>
        </w:tc>
        <w:tc>
          <w:tcPr>
            <w:tcW w:type="dxa" w:w="2498"/>
            <w:vAlign w:val="center"/>
          </w:tcPr>
          <w:p>
            <w:r/>
            <w:r>
              <w:rPr>
                <w:rFonts w:ascii="Arial" w:hAnsi="Arial" w:eastAsia="Arial"/>
                <w:b w:val="0"/>
                <w:color w:val="000000"/>
                <w:sz w:val="17"/>
              </w:rPr>
              <w:t>O-101 à O-110</w:t>
            </w:r>
          </w:p>
        </w:tc>
        <w:tc>
          <w:tcPr>
            <w:tcW w:type="dxa" w:w="2498"/>
            <w:vAlign w:val="center"/>
          </w:tcPr>
          <w:p>
            <w:r/>
            <w:r>
              <w:rPr>
                <w:rFonts w:ascii="Arial" w:hAnsi="Arial" w:eastAsia="Arial"/>
                <w:b w:val="0"/>
                <w:color w:val="000000"/>
                <w:sz w:val="17"/>
              </w:rPr>
              <w:t>Autonomie stratégique</w:t>
            </w:r>
          </w:p>
        </w:tc>
      </w:tr>
      <w:tr>
        <w:tc>
          <w:tcPr>
            <w:tcW w:type="dxa" w:w="2498"/>
            <w:vAlign w:val="center"/>
          </w:tcPr>
          <w:p>
            <w:r/>
            <w:r>
              <w:rPr>
                <w:rFonts w:ascii="Arial" w:hAnsi="Arial" w:eastAsia="Arial"/>
                <w:b w:val="0"/>
                <w:color w:val="000000"/>
                <w:sz w:val="17"/>
              </w:rPr>
              <w:t>Contrôle</w:t>
            </w:r>
          </w:p>
        </w:tc>
        <w:tc>
          <w:tcPr>
            <w:tcW w:type="dxa" w:w="2498"/>
            <w:vAlign w:val="center"/>
          </w:tcPr>
          <w:p>
            <w:r/>
            <w:r>
              <w:rPr>
                <w:rFonts w:ascii="Arial" w:hAnsi="Arial" w:eastAsia="Arial"/>
                <w:b w:val="0"/>
                <w:color w:val="000000"/>
                <w:sz w:val="17"/>
              </w:rPr>
              <w:t>Application et anti-contournement</w:t>
            </w:r>
          </w:p>
        </w:tc>
        <w:tc>
          <w:tcPr>
            <w:tcW w:type="dxa" w:w="2498"/>
            <w:vAlign w:val="center"/>
          </w:tcPr>
          <w:p>
            <w:r/>
            <w:r>
              <w:rPr>
                <w:rFonts w:ascii="Arial" w:hAnsi="Arial" w:eastAsia="Arial"/>
                <w:b w:val="0"/>
                <w:color w:val="000000"/>
                <w:sz w:val="17"/>
              </w:rPr>
              <w:t>O-111 à O-120</w:t>
            </w:r>
          </w:p>
        </w:tc>
        <w:tc>
          <w:tcPr>
            <w:tcW w:type="dxa" w:w="2498"/>
            <w:vAlign w:val="center"/>
          </w:tcPr>
          <w:p>
            <w:r/>
            <w:r>
              <w:rPr>
                <w:rFonts w:ascii="Arial" w:hAnsi="Arial" w:eastAsia="Arial"/>
                <w:b w:val="0"/>
                <w:color w:val="000000"/>
                <w:sz w:val="17"/>
              </w:rPr>
              <w:t>Hiérarchie normative</w:t>
            </w:r>
          </w:p>
        </w:tc>
      </w:tr>
    </w:tbl>
    <w:p>
      <w:pPr>
        <w:pStyle w:val="Heading1"/>
      </w:pPr>
      <w:r>
        <w:t>CLAUSE FINALE DE PROTECTION</w:t>
      </w:r>
    </w:p>
    <w:p>
      <w:r>
        <w:t>Les lois ordinaires du Système Nova constituent le droit public opérationnel du Québec proposé par le Projet Nova.</w:t>
      </w:r>
    </w:p>
    <w:p>
      <w:r>
        <w:t>Elles doivent être appliquées avec cohérence, sobriété, proportionnalité et fidélité aux normes supérieures.</w:t>
      </w:r>
    </w:p>
    <w:p>
      <w:r>
        <w:t>Aucune loi ordinaire, aucun règlement, aucun programme, aucun contrat et aucune directive ne peut servir à contourner la volonté populaire, l’indépendance électorale, la transparence, les droits fondamentaux, la responsabilité financière, le français ou la souveraineté du Québec.</w:t>
      </w:r>
    </w:p>
    <w:p>
      <w:r>
        <w:t>Toute incohérence constatée doit être corrigée selon les mécanismes de contrôle, de révision et de reddition de comptes prévus par le Système Nova.</w:t>
      </w:r>
    </w:p>
    <w:p>
      <w:r/>
    </w:p>
    <w:p>
      <w:pPr>
        <w:pStyle w:val="Heading1"/>
      </w:pPr>
      <w:r>
        <w:t>MISE À JOUR INTÉGRÉE - CORRECTIF STRUCTUREL No 1</w:t>
      </w:r>
    </w:p>
    <w:p>
      <w:pPr>
        <w:pStyle w:val="Heading2"/>
      </w:pPr>
      <w:r>
        <w:t>Police, force de defense, nominations sensibles et enquetes independantes</w:t>
      </w:r>
    </w:p>
    <w:tbl>
      <w:tblPr>
        <w:tblStyle w:val="TableGrid"/>
        <w:tblW w:type="auto" w:w="0"/>
        <w:jc w:val="center"/>
        <w:tblLayout w:type="autofit"/>
        <w:tblLook w:firstColumn="1" w:firstRow="1" w:lastColumn="0" w:lastRow="0" w:noHBand="0" w:noVBand="1" w:val="04A0"/>
      </w:tblPr>
      <w:tblGrid>
        <w:gridCol w:w="9994"/>
      </w:tblGrid>
      <w:tr>
        <w:tc>
          <w:tcPr>
            <w:tcW w:type="dxa" w:w="9994"/>
            <w:shd w:fill="1F4E79"/>
          </w:tcPr>
          <w:p>
            <w:pPr>
              <w:spacing w:after="40" w:before="0"/>
            </w:pPr>
            <w:r>
              <w:rPr>
                <w:color w:val="FFFFFF"/>
              </w:rPr>
            </w:r>
            <w:r>
              <w:rPr>
                <w:b/>
                <w:color w:val="FFFFFF"/>
                <w:sz w:val="17"/>
              </w:rPr>
              <w:t>Statut de la mise a jour</w:t>
            </w:r>
          </w:p>
        </w:tc>
      </w:tr>
      <w:tr>
        <w:tc>
          <w:tcPr>
            <w:tcW w:type="dxa" w:w="9994"/>
            <w:shd w:fill="EAF2F8"/>
          </w:tcPr>
          <w:p>
            <w:pPr>
              <w:spacing w:after="40" w:before="0"/>
            </w:pPr>
            <w:r>
              <w:t>La présente mise à jour intégrée porte sur la sécurité publique, la police, l'armée, les nominations sensibles, la reddition de comptes citoyenne et les enquêtes indépendantes. Elle précise les principes applicables sans remplacer les autres dispositions du document, qui demeurent en vigueur lorsqu'elles sont compatibles avec cette mise à jour.</w:t>
            </w:r>
          </w:p>
        </w:tc>
      </w:tr>
    </w:tbl>
    <w:p/>
    <w:p>
      <w:pPr>
        <w:pStyle w:val="Heading2"/>
      </w:pPr>
      <w:r>
        <w:t>Principes generaux intègres</w:t>
      </w:r>
    </w:p>
    <w:p>
      <w:pPr>
        <w:pStyle w:val="ListBullet"/>
      </w:pPr>
      <w:r>
        <w:t>Fin des quotas de contraventions et interdiction des revenus policiers deguises.</w:t>
      </w:r>
    </w:p>
    <w:p>
      <w:pPr>
        <w:pStyle w:val="ListBullet"/>
      </w:pPr>
      <w:r>
        <w:t>Recentrage de la police sur la criminalite reelle, les gangs criminalises, les gangs de rue et le crime organise.</w:t>
      </w:r>
    </w:p>
    <w:p>
      <w:pPr>
        <w:pStyle w:val="ListBullet"/>
      </w:pPr>
      <w:r>
        <w:t>Role de la force de defense limite a la protection du territoire, des frontieres, des infrastructures critiques et au soutien de crise majeure.</w:t>
      </w:r>
    </w:p>
    <w:p>
      <w:pPr>
        <w:pStyle w:val="ListBullet"/>
      </w:pPr>
      <w:r>
        <w:t>Creation ou reconnaissance d un organisme civil independant pour enqueter sur les abus graves.</w:t>
      </w:r>
    </w:p>
    <w:p>
      <w:pPr>
        <w:pStyle w:val="ListBullet"/>
      </w:pPr>
      <w:r>
        <w:t>Separation obligatoire des fonctions : enqueter, poursuivre, juger.</w:t>
      </w:r>
    </w:p>
    <w:p>
      <w:pPr>
        <w:pStyle w:val="ListBullet"/>
      </w:pPr>
      <w:r>
        <w:t>Processus independant, transparent et verifiable pour les nominations sensibles.</w:t>
      </w:r>
    </w:p>
    <w:p>
      <w:pPr>
        <w:pStyle w:val="ListBullet"/>
      </w:pPr>
      <w:r>
        <w:t>Fiche publique de reddition de comptes citoyenne pour les fonctions publiques majeures, sans score social.</w:t>
      </w:r>
    </w:p>
    <w:p>
      <w:pPr>
        <w:pStyle w:val="ListBullet"/>
      </w:pPr>
      <w:r>
        <w:t>Protection contre la corruption, la collusion, l ingerence politique et les nominations partisanes.</w:t>
      </w:r>
    </w:p>
    <w:p>
      <w:pPr>
        <w:pStyle w:val="Heading2"/>
      </w:pPr>
      <w:r>
        <w:t>Priorites de droit public operationnel en securite</w:t>
      </w:r>
    </w:p>
    <w:p>
      <w:pPr>
        <w:pStyle w:val="ListBullet"/>
      </w:pPr>
      <w:r>
        <w:t>Les politiques ordinaires de securite publique doivent prioriser la criminalite reelle plutot que la perception de revenus par contraventions.</w:t>
      </w:r>
    </w:p>
    <w:p>
      <w:pPr>
        <w:pStyle w:val="ListBullet"/>
      </w:pPr>
      <w:r>
        <w:t>Les priorites incluent les gangs criminalises, les gangs de rue, le crime organise, le trafic de drogues et d armes, les crimes violents, l exploitation des personnes, la corruption, la fraude organisee et la cybercriminalite.</w:t>
      </w:r>
    </w:p>
    <w:p>
      <w:pPr>
        <w:pStyle w:val="ListBullet"/>
      </w:pPr>
      <w:r>
        <w:t>La prevention et la repression doivent etre accompagnees d une protection effective des victimes, des familles, des commerces, des quartiers et des regions.</w:t>
      </w:r>
    </w:p>
    <w:p>
      <w:pPr>
        <w:pStyle w:val="Heading2"/>
      </w:pPr>
      <w:r>
        <w:t>Infractions institutionnelles et abus de pouvoir</w:t>
      </w:r>
    </w:p>
    <w:p>
      <w:pPr>
        <w:pStyle w:val="ListBullet"/>
      </w:pPr>
      <w:r>
        <w:t>Doivent etre encadres par la loi les abus de pouvoir, la falsification de rapports, la dissimulation de conflits d interets, les nominations partisanes cachees, la collusion et l ingerence politique dans la justice, la police ou les enquetes.</w:t>
      </w:r>
    </w:p>
    <w:p>
      <w:pPr>
        <w:pStyle w:val="ListBullet"/>
      </w:pPr>
      <w:r>
        <w:t>Les lanceurs d alerte policiers, militaires, judiciaires et administratifs doivent etre proteges lorsqu ils signalent de bonne foi un abus grave.</w:t>
      </w:r>
    </w:p>
    <w:p>
      <w:pPr>
        <w:pStyle w:val="ListBullet"/>
      </w:pPr>
      <w:r>
        <w:t>Les sanctions doivent viser autant les auteurs directs que les dirigeants qui ont couvert, encourage ou tolere les fautes graves.</w:t>
      </w:r>
    </w:p>
    <w:p>
      <w:pPr>
        <w:pStyle w:val="Heading2"/>
      </w:pPr>
      <w:r>
        <w:t>Formule de synthese normative</w:t>
      </w:r>
    </w:p>
    <w:p>
      <w:pPr>
        <w:jc w:val="center"/>
      </w:pPr>
      <w:r>
        <w:rPr>
          <w:b/>
          <w:sz w:val="24"/>
        </w:rPr>
        <w:t>La police protege les citoyens.</w:t>
        <w:br/>
        <w:t>L armee protege le territoire.</w:t>
        <w:br/>
        <w:t>Les organismes independants enquetent sur les abus.</w:t>
        <w:br/>
        <w:t>Les tribunaux independants jugent.</w:t>
        <w:br/>
        <w:t>Le peuple controle les institutions.</w:t>
        <w:br/>
        <w:t>Le gouvernement ne doit jamais controler seul ceux qui doivent le surveiller.</w:t>
      </w:r>
    </w:p>
    <w:p>
      <w:r/>
    </w:p>
    <w:p>
      <w:pPr>
        <w:pStyle w:val="Heading1"/>
      </w:pPr>
      <w:r>
        <w:t>Mise a jour intègree - mise a jour intègree no 2</w:t>
      </w:r>
    </w:p>
    <w:p>
      <w:pPr>
        <w:spacing w:after="120"/>
      </w:pPr>
      <w:r>
        <w:t>Le present document (Lois ordinaires et droit public opérationnel) est reemis avec integration directe des orientations de l mise a jour intègree no 2. Les dispositions anterieures incompatibles, trop brutales ou formulees sous l ancien nom SCQ sont reputees corrigees par les formulations ci-dessous.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rPr>
              <w:t>Axe intègre</w:t>
            </w:r>
          </w:p>
        </w:tc>
        <w:tc>
          <w:tcPr>
            <w:tcW w:type="dxa" w:w="3360"/>
            <w:shd w:fill="D9EAF2"/>
          </w:tcPr>
          <w:p>
            <w:r>
              <w:rPr>
                <w:b/>
              </w:rPr>
              <w:t>Regle officielle</w:t>
            </w:r>
          </w:p>
        </w:tc>
        <w:tc>
          <w:tcPr>
            <w:tcW w:type="dxa" w:w="3360"/>
            <w:shd w:fill="D9EAF2"/>
          </w:tcPr>
          <w:p>
            <w:r>
              <w:rPr>
                <w:b/>
              </w:rPr>
              <w:t>Effet dans le projet</w:t>
            </w:r>
          </w:p>
        </w:tc>
      </w:tr>
      <w:tr>
        <w:tc>
          <w:tcPr>
            <w:tcW w:type="dxa" w:w="3360"/>
            <w:vAlign w:val="top"/>
          </w:tcPr>
          <w:p>
            <w:r>
              <w:rPr>
                <w:sz w:val="18"/>
              </w:rPr>
              <w:t>Territoire</w:t>
            </w:r>
          </w:p>
        </w:tc>
        <w:tc>
          <w:tcPr>
            <w:tcW w:type="dxa" w:w="3360"/>
            <w:vAlign w:val="top"/>
          </w:tcPr>
          <w:p>
            <w:r>
              <w:rPr>
                <w:sz w:val="18"/>
              </w:rPr>
              <w:t>Deux paliers principaux et pouvoir local fort.</w:t>
            </w:r>
          </w:p>
        </w:tc>
        <w:tc>
          <w:tcPr>
            <w:tcW w:type="dxa" w:w="3360"/>
            <w:vAlign w:val="top"/>
          </w:tcPr>
          <w:p>
            <w:r>
              <w:rPr>
                <w:sz w:val="18"/>
              </w:rPr>
              <w:t>Reduction de la centralisation et des megastructures eloignees.</w:t>
            </w:r>
          </w:p>
        </w:tc>
      </w:tr>
      <w:tr>
        <w:tc>
          <w:tcPr>
            <w:tcW w:type="dxa" w:w="3360"/>
            <w:vAlign w:val="top"/>
          </w:tcPr>
          <w:p>
            <w:r>
              <w:rPr>
                <w:sz w:val="18"/>
              </w:rPr>
              <w:t>MRC et grandes villes</w:t>
            </w:r>
          </w:p>
        </w:tc>
        <w:tc>
          <w:tcPr>
            <w:tcW w:type="dxa" w:w="3360"/>
            <w:vAlign w:val="top"/>
          </w:tcPr>
          <w:p>
            <w:r>
              <w:rPr>
                <w:sz w:val="18"/>
              </w:rPr>
              <w:t>Maintien coordonnateur, audits, redéploiement.</w:t>
            </w:r>
          </w:p>
        </w:tc>
        <w:tc>
          <w:tcPr>
            <w:tcW w:type="dxa" w:w="3360"/>
            <w:vAlign w:val="top"/>
          </w:tcPr>
          <w:p>
            <w:r>
              <w:rPr>
                <w:sz w:val="18"/>
              </w:rPr>
              <w:t>Pas d abolition brutale; retour graduel des pouvoirs de proximite.</w:t>
            </w:r>
          </w:p>
        </w:tc>
      </w:tr>
      <w:tr>
        <w:tc>
          <w:tcPr>
            <w:tcW w:type="dxa" w:w="3360"/>
            <w:vAlign w:val="top"/>
          </w:tcPr>
          <w:p>
            <w:r>
              <w:rPr>
                <w:sz w:val="18"/>
              </w:rPr>
              <w:t>Laicite</w:t>
            </w:r>
          </w:p>
        </w:tc>
        <w:tc>
          <w:tcPr>
            <w:tcW w:type="dxa" w:w="3360"/>
            <w:vAlign w:val="top"/>
          </w:tcPr>
          <w:p>
            <w:r>
              <w:rPr>
                <w:sz w:val="18"/>
              </w:rPr>
              <w:t>Neutralite de l Etat; prieres collectives interdites dans la voie publique.</w:t>
            </w:r>
          </w:p>
        </w:tc>
        <w:tc>
          <w:tcPr>
            <w:tcW w:type="dxa" w:w="3360"/>
            <w:vAlign w:val="top"/>
          </w:tcPr>
          <w:p>
            <w:r>
              <w:rPr>
                <w:sz w:val="18"/>
              </w:rPr>
              <w:t>Protection de l espace commun sans créer d Etat religieux.</w:t>
            </w:r>
          </w:p>
        </w:tc>
      </w:tr>
      <w:tr>
        <w:tc>
          <w:tcPr>
            <w:tcW w:type="dxa" w:w="3360"/>
            <w:vAlign w:val="top"/>
          </w:tcPr>
          <w:p>
            <w:r>
              <w:rPr>
                <w:sz w:val="18"/>
              </w:rPr>
              <w:t>Langue</w:t>
            </w:r>
          </w:p>
        </w:tc>
        <w:tc>
          <w:tcPr>
            <w:tcW w:type="dxa" w:w="3360"/>
            <w:vAlign w:val="top"/>
          </w:tcPr>
          <w:p>
            <w:r>
              <w:rPr>
                <w:sz w:val="18"/>
              </w:rPr>
              <w:t>Francais officiel, commun et institutionnel.</w:t>
            </w:r>
          </w:p>
        </w:tc>
        <w:tc>
          <w:tcPr>
            <w:tcW w:type="dxa" w:w="3360"/>
            <w:vAlign w:val="top"/>
          </w:tcPr>
          <w:p>
            <w:r>
              <w:rPr>
                <w:sz w:val="18"/>
              </w:rPr>
              <w:t>Aucune decentralisation ne peut affaiblir le francais.</w:t>
            </w:r>
          </w:p>
        </w:tc>
      </w:tr>
      <w:tr>
        <w:tc>
          <w:tcPr>
            <w:tcW w:type="dxa" w:w="3360"/>
            <w:vAlign w:val="top"/>
          </w:tcPr>
          <w:p>
            <w:r>
              <w:rPr>
                <w:sz w:val="18"/>
              </w:rPr>
              <w:t>Faits et science</w:t>
            </w:r>
          </w:p>
        </w:tc>
        <w:tc>
          <w:tcPr>
            <w:tcW w:type="dxa" w:w="3360"/>
            <w:vAlign w:val="top"/>
          </w:tcPr>
          <w:p>
            <w:r>
              <w:rPr>
                <w:sz w:val="18"/>
              </w:rPr>
              <w:t>Politiques fondees sur donnees probantes et realite biologique lorsque pertinente.</w:t>
            </w:r>
          </w:p>
        </w:tc>
        <w:tc>
          <w:tcPr>
            <w:tcW w:type="dxa" w:w="3360"/>
            <w:vAlign w:val="top"/>
          </w:tcPr>
          <w:p>
            <w:r>
              <w:rPr>
                <w:sz w:val="18"/>
              </w:rPr>
              <w:t>Refus des decisions emotives ou ideologiques.</w:t>
            </w:r>
          </w:p>
        </w:tc>
      </w:tr>
      <w:tr>
        <w:tc>
          <w:tcPr>
            <w:tcW w:type="dxa" w:w="3360"/>
            <w:vAlign w:val="top"/>
          </w:tcPr>
          <w:p>
            <w:r>
              <w:rPr>
                <w:sz w:val="18"/>
              </w:rPr>
              <w:t>Pronoms</w:t>
            </w:r>
          </w:p>
        </w:tc>
        <w:tc>
          <w:tcPr>
            <w:tcW w:type="dxa" w:w="3360"/>
            <w:vAlign w:val="top"/>
          </w:tcPr>
          <w:p>
            <w:r>
              <w:rPr>
                <w:sz w:val="18"/>
              </w:rPr>
              <w:t>Aucune sanction legale pour le simple non-usage.</w:t>
            </w:r>
          </w:p>
        </w:tc>
        <w:tc>
          <w:tcPr>
            <w:tcW w:type="dxa" w:w="3360"/>
            <w:vAlign w:val="top"/>
          </w:tcPr>
          <w:p>
            <w:r>
              <w:rPr>
                <w:sz w:val="18"/>
              </w:rPr>
              <w:t>Respect mutuel sans langage obligatoire impose par l Etat.</w:t>
            </w:r>
          </w:p>
        </w:tc>
      </w:tr>
      <w:tr>
        <w:tc>
          <w:tcPr>
            <w:tcW w:type="dxa" w:w="3360"/>
            <w:vAlign w:val="top"/>
          </w:tcPr>
          <w:p>
            <w:r>
              <w:rPr>
                <w:sz w:val="18"/>
              </w:rPr>
              <w:t>Familles batisseuses</w:t>
            </w:r>
          </w:p>
        </w:tc>
        <w:tc>
          <w:tcPr>
            <w:tcW w:type="dxa" w:w="3360"/>
            <w:vAlign w:val="top"/>
          </w:tcPr>
          <w:p>
            <w:r>
              <w:rPr>
                <w:sz w:val="18"/>
              </w:rPr>
              <w:t>Reconnaissance patrimoniale volontaire.</w:t>
            </w:r>
          </w:p>
        </w:tc>
        <w:tc>
          <w:tcPr>
            <w:tcW w:type="dxa" w:w="3360"/>
            <w:vAlign w:val="top"/>
          </w:tcPr>
          <w:p>
            <w:r>
              <w:rPr>
                <w:sz w:val="18"/>
              </w:rPr>
              <w:t>Memoire nationale sans privilege civique individuel.</w:t>
            </w:r>
          </w:p>
        </w:tc>
      </w:tr>
      <w:tr>
        <w:tc>
          <w:tcPr>
            <w:tcW w:type="dxa" w:w="3360"/>
            <w:vAlign w:val="top"/>
          </w:tcPr>
          <w:p>
            <w:r>
              <w:rPr>
                <w:sz w:val="18"/>
              </w:rPr>
              <w:t>Elus</w:t>
            </w:r>
          </w:p>
        </w:tc>
        <w:tc>
          <w:tcPr>
            <w:tcW w:type="dxa" w:w="3360"/>
            <w:vAlign w:val="top"/>
          </w:tcPr>
          <w:p>
            <w:r>
              <w:rPr>
                <w:sz w:val="18"/>
              </w:rPr>
              <w:t>Hausses encadrees par reddition publique.</w:t>
            </w:r>
          </w:p>
        </w:tc>
        <w:tc>
          <w:tcPr>
            <w:tcW w:type="dxa" w:w="3360"/>
            <w:vAlign w:val="top"/>
          </w:tcPr>
          <w:p>
            <w:r>
              <w:rPr>
                <w:sz w:val="18"/>
              </w:rPr>
              <w:t>Fin des auto-augmentations et meilleure responsabilite.</w:t>
            </w:r>
          </w:p>
        </w:tc>
      </w:tr>
    </w:tbl>
    <w:p/>
    <w:p>
      <w:pPr>
        <w:pStyle w:val="Heading2"/>
      </w:pPr>
      <w:r>
        <w:rPr>
          <w:b/>
          <w:color w:val="006666"/>
          <w:sz w:val="26"/>
        </w:rPr>
        <w:t>Livre additionnel - Municipalites, banlieues, quartiers et democratie locale</w:t>
      </w:r>
    </w:p>
    <w:p>
      <w:pPr>
        <w:pStyle w:val="ListNumber"/>
        <w:spacing w:after="40"/>
      </w:pPr>
      <w:r>
        <w:rPr>
          <w:sz w:val="21"/>
        </w:rPr>
        <w:t>Les citoyens d un territoire local disposent d un droit d initiative pour demander l audit d une fusion, d une structure municipale ou d une decision centralisatrice.</w:t>
      </w:r>
    </w:p>
    <w:p>
      <w:pPr>
        <w:pStyle w:val="ListNumber"/>
        <w:spacing w:after="40"/>
      </w:pPr>
      <w:r>
        <w:rPr>
          <w:sz w:val="21"/>
        </w:rPr>
        <w:t>Un referendum local peut etre tenu lorsqu une demande atteint le seuil democratique fixe par la loi.</w:t>
      </w:r>
    </w:p>
    <w:p>
      <w:pPr>
        <w:pStyle w:val="ListNumber"/>
        <w:spacing w:after="40"/>
      </w:pPr>
      <w:r>
        <w:rPr>
          <w:sz w:val="21"/>
        </w:rPr>
        <w:t>Les budgets municipaux doivent etre publies par secteur ou territoire lorsque la structure municipale comprend plusieurs communautes distinctes.</w:t>
      </w:r>
    </w:p>
    <w:p>
      <w:pPr>
        <w:pStyle w:val="ListNumber"/>
        <w:spacing w:after="40"/>
      </w:pPr>
      <w:r>
        <w:rPr>
          <w:sz w:val="21"/>
        </w:rPr>
        <w:t>Les services de proximite sont presumes locaux, sauf preuve contraire liee a l efficacite, la securite ou l interet public general.</w:t>
      </w:r>
    </w:p>
    <w:p>
      <w:pPr>
        <w:pStyle w:val="Heading2"/>
      </w:pPr>
      <w:r>
        <w:rPr>
          <w:b/>
          <w:color w:val="006666"/>
          <w:sz w:val="26"/>
        </w:rPr>
        <w:t>Livre additionnel - Laicite de l espace commun</w:t>
      </w:r>
    </w:p>
    <w:p>
      <w:pPr>
        <w:pStyle w:val="ListNumber"/>
        <w:spacing w:after="40"/>
      </w:pPr>
      <w:r>
        <w:rPr>
          <w:sz w:val="21"/>
        </w:rPr>
        <w:t>Les pratiques religieuses collectives doivent se tenir dans les lieux de culte, proprietes privees ou espaces autorises sans occupation abusive de la voie publique.</w:t>
      </w:r>
    </w:p>
    <w:p>
      <w:pPr>
        <w:pStyle w:val="ListNumber"/>
        <w:spacing w:after="40"/>
      </w:pPr>
      <w:r>
        <w:rPr>
          <w:sz w:val="21"/>
        </w:rPr>
        <w:t>Nul ne peut bloquer une rue, un trottoir, un parc, une entree publique ou un service par une activite religieuse non autorisee.</w:t>
      </w:r>
    </w:p>
    <w:p>
      <w:pPr>
        <w:pStyle w:val="ListNumber"/>
        <w:spacing w:after="40"/>
      </w:pPr>
      <w:r>
        <w:rPr>
          <w:sz w:val="21"/>
        </w:rPr>
        <w:t>Les symboles patrimoniaux historiques du Quebec sont traites comme patrimoine culturel et non comme autorite religieuse.</w:t>
      </w:r>
    </w:p>
    <w:p>
      <w:pPr>
        <w:pStyle w:val="ListNumber"/>
        <w:spacing w:after="40"/>
      </w:pPr>
      <w:r>
        <w:rPr>
          <w:sz w:val="21"/>
        </w:rPr>
        <w:t>La langue francaise demeure obligatoire dans les communications officielles et les services publics, sous reserve des exceptions legales strictes.</w:t>
      </w:r>
    </w:p>
    <w:p>
      <w:pPr>
        <w:pStyle w:val="Heading2"/>
      </w:pPr>
      <w:r>
        <w:rPr>
          <w:b/>
          <w:color w:val="006666"/>
          <w:sz w:val="26"/>
        </w:rPr>
        <w:t>Livre additionnel - Science, sexe biologique et protection des personnes</w:t>
      </w:r>
    </w:p>
    <w:p>
      <w:pPr>
        <w:pStyle w:val="ListNumber"/>
        <w:spacing w:after="40"/>
      </w:pPr>
      <w:r>
        <w:rPr>
          <w:sz w:val="21"/>
        </w:rPr>
        <w:t>Les politiques de sante, sport, statistiques, refuges, prisons, vestiaires, securite et protection des mineurs doivent tenir compte du sexe biologique lorsque pertinent.</w:t>
      </w:r>
    </w:p>
    <w:p>
      <w:pPr>
        <w:pStyle w:val="ListNumber"/>
        <w:spacing w:after="40"/>
      </w:pPr>
      <w:r>
        <w:rPr>
          <w:sz w:val="21"/>
        </w:rPr>
        <w:t>Le respect de la dignite personnelle est obligatoire, mais l Etat ne peut imposer une reconnaissance juridique illimitee de genres multiples lorsque cela nuit a la clarte des politiques publiques.</w:t>
      </w:r>
    </w:p>
    <w:p>
      <w:pPr>
        <w:pStyle w:val="ListNumber"/>
        <w:spacing w:after="40"/>
      </w:pPr>
      <w:r>
        <w:rPr>
          <w:sz w:val="21"/>
        </w:rPr>
        <w:t>Aucune sanction legale ne peut etre fondee uniquement sur le simple non-usage d un pronom demande.</w:t>
      </w:r>
    </w:p>
    <w:p>
      <w:pPr>
        <w:pStyle w:val="ListNumber"/>
        <w:spacing w:after="40"/>
      </w:pPr>
      <w:r>
        <w:rPr>
          <w:sz w:val="21"/>
        </w:rPr>
        <w:t>Les decisions touchant les mineurs doivent privilegier la prudence, l information complete, le role parental et un accompagnement professionnel non militant.</w:t>
      </w:r>
    </w:p>
    <w:p>
      <w:pPr>
        <w:pStyle w:val="Heading2"/>
      </w:pPr>
      <w:r>
        <w:rPr>
          <w:b/>
          <w:color w:val="006666"/>
          <w:sz w:val="26"/>
        </w:rPr>
        <w:t>Livre additionnel - Remuneration des elus et fiche de reddition</w:t>
      </w:r>
    </w:p>
    <w:p>
      <w:pPr>
        <w:pStyle w:val="ListNumber"/>
        <w:spacing w:after="40"/>
      </w:pPr>
      <w:r>
        <w:rPr>
          <w:sz w:val="21"/>
        </w:rPr>
        <w:t>Toute augmentation des elus est interdite pour le mandat en cours si elle resulte d un vote des elus concernes.</w:t>
      </w:r>
    </w:p>
    <w:p>
      <w:pPr>
        <w:pStyle w:val="ListNumber"/>
        <w:spacing w:after="40"/>
      </w:pPr>
      <w:r>
        <w:rPr>
          <w:sz w:val="21"/>
        </w:rPr>
        <w:t>Une hausse superieure a l indexation de base exige une recommandation independante et une possibilite de contestation citoyenne.</w:t>
      </w:r>
    </w:p>
    <w:p>
      <w:pPr>
        <w:pStyle w:val="ListNumber"/>
        <w:spacing w:after="40"/>
      </w:pPr>
      <w:r>
        <w:rPr>
          <w:sz w:val="21"/>
        </w:rPr>
        <w:t>La fiche publique de chaque elu contient au minimum : presence, votes, promesses, depenses, conflits d interets, reponses aux citoyens et participation aux consultations.</w:t>
      </w:r>
    </w:p>
    <w:p>
      <w:pPr>
        <w:pStyle w:val="ListNumber"/>
        <w:spacing w:after="40"/>
      </w:pPr>
      <w:r>
        <w:rPr>
          <w:sz w:val="21"/>
        </w:rPr>
        <w:t>La fiche publique peut servir a bloquer une hausse, declencher une verification ou nourrir un processus de revocation, mais elle ne retire aucun droit civil automatiquement.</w:t>
      </w:r>
    </w:p>
    <w:p>
      <w:pPr>
        <w:pStyle w:val="Heading2"/>
      </w:pPr>
      <w:r>
        <w:rPr>
          <w:b/>
          <w:color w:val="006666"/>
          <w:sz w:val="26"/>
        </w:rPr>
        <w:t>Clause finale d integration</w:t>
      </w:r>
    </w:p>
    <w:p>
      <w:pPr>
        <w:spacing w:after="120"/>
      </w:pPr>
      <w:r>
        <w:t>Toute interpretation future du present document doit tenir compte des orientations intègrees ci-dessus. En cas de contradiction avec une formulation anterieure, la version mise a jour par l mise a jour intègree no 2 prevaut politiquement, doctrinalement et administrativement dans le corpus Projet Nova, sous reserve des procedures juridiques officielles applicables.</w:t>
      </w:r>
    </w:p>
    <w:p>
      <w:r/>
    </w:p>
    <w:p>
      <w:pPr>
        <w:pStyle w:val="Heading1"/>
      </w:pPr>
      <w:r>
        <w:t>Mise a jour intègree directement au texte - version 1.2</w:t>
      </w:r>
    </w:p>
    <w:p>
      <w:r>
        <w:t>La presente version intègre directement les normes issues des mises a jour internes, des documents d integration et des deux classeurs de publications Facebook. Ces elements ne sont pas traites comme un correctif intégré separe: ils deviennent des principes, engagements, dispositions ou outils de communication du Projet Nova selon leur nature.</w:t>
      </w:r>
    </w:p>
    <w:p>
      <w:pPr>
        <w:pStyle w:val="Heading2"/>
      </w:pPr>
      <w:r>
        <w:t>Axes intègres</w:t>
      </w:r>
    </w:p>
    <w:p>
      <w:pPr>
        <w:pStyle w:val="ListBullet"/>
      </w:pPr>
      <w:r>
        <w:t>Gouvernance par competence, mandats clairs, objectifs mesurables et reddition de comptes publique.</w:t>
      </w:r>
    </w:p>
    <w:p>
      <w:pPr>
        <w:pStyle w:val="ListBullet"/>
      </w:pPr>
      <w:r>
        <w:t>Etat simple, transparent, proche des citoyens et resistant aux derives bureaucratiques.</w:t>
      </w:r>
    </w:p>
    <w:p>
      <w:pPr>
        <w:pStyle w:val="ListBullet"/>
      </w:pPr>
      <w:r>
        <w:t>Pouvoir local de proximite: municipalites, banlieues, quartiers, villages et communautes locales.</w:t>
      </w:r>
    </w:p>
    <w:p>
      <w:pPr>
        <w:pStyle w:val="ListBullet"/>
      </w:pPr>
      <w:r>
        <w:t>MRC maintenues a titre de coordination, mais auditees, simplifiees et redéployees vers les communautes de proximite lorsque pertinent.</w:t>
      </w:r>
    </w:p>
    <w:p>
      <w:pPr>
        <w:pStyle w:val="ListBullet"/>
      </w:pPr>
      <w:r>
        <w:t>Revision democratique des fusions et megastructures municipales par audit, consultation et referendum local.</w:t>
      </w:r>
    </w:p>
    <w:p>
      <w:pPr>
        <w:pStyle w:val="ListBullet"/>
      </w:pPr>
      <w:r>
        <w:t>Laicite institutionnelle stricte, neutralite de l Etat, interdiction d occupation religieuse de la voie publique, respect de la culture historique quebecoise et de ses racines laiques/chretiennes sans religion d Etat.</w:t>
      </w:r>
    </w:p>
    <w:p>
      <w:pPr>
        <w:pStyle w:val="ListBullet"/>
      </w:pPr>
      <w:r>
        <w:t>Francais comme langue officielle, commune, publique, administrative et civique du Quebec.</w:t>
      </w:r>
    </w:p>
    <w:p>
      <w:pPr>
        <w:pStyle w:val="ListBullet"/>
      </w:pPr>
      <w:r>
        <w:t>Decision publique fondee sur les faits, les donnees probantes, la science, la realite biologique lorsque pertinente et la liberte de conscience.</w:t>
      </w:r>
    </w:p>
    <w:p>
      <w:pPr>
        <w:pStyle w:val="ListBullet"/>
      </w:pPr>
      <w:r>
        <w:t>Refus du langage ideologique obligatoire: respect mutuel demande, mais aucune sanction pour refus d employer une formulation imposee.</w:t>
      </w:r>
    </w:p>
    <w:p>
      <w:pPr>
        <w:pStyle w:val="ListBullet"/>
      </w:pPr>
      <w:r>
        <w:t>Reconnaissance patrimoniale des familles batisseuses du Quebec et des peuples fondateurs dans un cadre d egalite civique.</w:t>
      </w:r>
    </w:p>
    <w:p>
      <w:pPr>
        <w:pStyle w:val="ListBullet"/>
      </w:pPr>
      <w:r>
        <w:t>Refus du credit social generalise; creation d une fiche publique de reddition de comptes citoyenne applicable aux elus.</w:t>
      </w:r>
    </w:p>
    <w:p>
      <w:pPr>
        <w:pStyle w:val="ListBullet"/>
      </w:pPr>
      <w:r>
        <w:t>Aucune augmentation de remuneration des elus sans evaluation citoyenne, justification publique et mecanisme independant; les elus ne peuvent pas se voter eux-memes leurs augmentations.</w:t>
      </w:r>
    </w:p>
    <w:p>
      <w:pPr>
        <w:pStyle w:val="ListBullet"/>
      </w:pPr>
      <w:r>
        <w:t>Technologie, intelligence artificielle et plateformes publiques sous controle humain, audit, transparence, explicabilite et droit a une alternative humaine.</w:t>
      </w:r>
    </w:p>
    <w:p>
      <w:pPr>
        <w:pStyle w:val="ListBullet"/>
      </w:pPr>
      <w:r>
        <w:t>Protection contre la manipulation de l information, la desinformation, les crises instrumentalisees, les urgences permanentes et les normes cachees.</w:t>
      </w:r>
    </w:p>
    <w:p>
      <w:pPr>
        <w:pStyle w:val="ListBullet"/>
      </w:pPr>
      <w:r>
        <w:t>Eau, energie, telecommunications essentielles, logement, sante, securite et acces aux services publics comme priorites de dignite et de stabilite.</w:t>
      </w:r>
    </w:p>
    <w:p>
      <w:pPr>
        <w:pStyle w:val="ListBullet"/>
      </w:pPr>
      <w:r>
        <w:t>Actions politiques pacifiques uniquement: petitions, consultations, referendums, recours, debats publics et manifestations encadrees.</w:t>
      </w:r>
    </w:p>
    <w:p>
      <w:pPr>
        <w:pStyle w:val="Heading2"/>
      </w:pPr>
      <w:r>
        <w:t>Intégration des classeurs Facebook</w:t>
      </w:r>
    </w:p>
    <w:p>
      <w:r>
        <w:t>Les deux classeurs transmis ont ete intègres au corpus: 213 normes ou propositions de normes publiques et 31 messages de communication citoyenne. Les textes complets sont consolides dans le Kit Facebook et reseaux sociaux - version 1.2, tandis que leurs principes structurants sont intègres dans les documents politiques, juridiques et administratifs pertinents.</w:t>
      </w:r>
    </w:p>
    <w:p>
      <w:pPr>
        <w:pStyle w:val="Heading2"/>
      </w:pPr>
      <w:r>
        <w:t>Dispositions ordinaires intègrees</w:t>
      </w:r>
    </w:p>
    <w:p>
      <w:pPr>
        <w:pStyle w:val="ListBullet"/>
      </w:pPr>
      <w:r>
        <w:t>Protection de l eau potable gratuite et accessible dans les lieux publics essentiels, selon les capacites techniques.</w:t>
      </w:r>
    </w:p>
    <w:p>
      <w:pPr>
        <w:pStyle w:val="ListBullet"/>
      </w:pPr>
      <w:r>
        <w:t>Protection contre les frais caches dans les telecommunications, l energie, les services essentiels et les contrats de consommation.</w:t>
      </w:r>
    </w:p>
    <w:p>
      <w:pPr>
        <w:pStyle w:val="ListBullet"/>
      </w:pPr>
      <w:r>
        <w:t>Encadrement des prix abusifs, de la speculation immobiliere, des hausses injustifiees et du transfert artificiel des couts vers les citoyens.</w:t>
      </w:r>
    </w:p>
    <w:p>
      <w:pPr>
        <w:pStyle w:val="ListBullet"/>
      </w:pPr>
      <w:r>
        <w:t>Reconnaissance de l energie, du logement, des telecommunications essentielles et de la sante comme priorites de stabilite sociale.</w:t>
      </w:r>
    </w:p>
    <w:p>
      <w:pPr>
        <w:pStyle w:val="ListBullet"/>
      </w:pPr>
      <w:r>
        <w:t>Libre-echange commercial encadre avec le Canada et les Etats-Unis dans le respect de la souverainete, des producteurs locaux et de l interet national.</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chantiers accélérés</w:t>
      </w:r>
    </w:p>
    <w:p>
      <w:pPr>
        <w:spacing w:after="120"/>
      </w:pPr>
      <w:r>
        <w:t>Le Projet Nova intègre une règle directe : toute infrastructure publique doit être construite pour durer, avec des matériaux de qualité supérieure, une méthode scientifique, une gestion de chantier disciplinée et une transparence complète des coûts.</w:t>
      </w:r>
    </w:p>
    <w:p>
      <w:pPr>
        <w:pStyle w:val="Heading2"/>
      </w:pPr>
      <w:r>
        <w:t>Principe directeur</w:t>
      </w:r>
    </w:p>
    <w:p>
      <w:pPr>
        <w:spacing w:after="120"/>
      </w:pPr>
      <w:r>
        <w:t>Lorsqu'un gouvernement construit une infrastructure publique, il doit construire pour durer, terminer rapidement, protéger l'argent public et limiter les nuisances pour la population. Le principe Nova est clair : mieux construire une fois que reconstruire sans fin.</w:t>
      </w:r>
    </w:p>
    <w:p>
      <w:pPr>
        <w:pStyle w:val="Heading2"/>
      </w:pPr>
      <w:r>
        <w:t>Matériaux de qualité supérieure</w:t>
      </w:r>
    </w:p>
    <w:p>
      <w:pPr>
        <w:spacing w:after="120"/>
      </w:pPr>
      <w:r>
        <w:t>Pour tout projet public majeur, l'État doit prioriser des matériaux durables, éprouvés, adaptés au climat du Québec et choisis selon la science, l'ingénierie et le coût total du cycle de vie.</w:t>
      </w:r>
    </w:p>
    <w:p>
      <w:pPr>
        <w:spacing w:after="120"/>
      </w:pPr>
      <w:r>
        <w:t>La qualité supérieure signifie : haute durabilité, haute résistance, haute fiabilité, entretien réduit, traçabilité technique et performance vérifiable. Elle ne signifie pas acheter aveuglément le produit le plus cher.</w:t>
      </w:r>
    </w:p>
    <w:p>
      <w:pPr>
        <w:spacing w:after="120"/>
      </w:pPr>
      <w:r>
        <w:t>Aucun matériau de moindre qualité ne peut être choisi uniquement pour réduire le coût initial si ce choix augmente les réparations, raccourcit la durée de vie ou crée des dépenses futures prévisibles.</w:t>
      </w:r>
    </w:p>
    <w:p>
      <w:pPr>
        <w:pStyle w:val="Heading2"/>
      </w:pPr>
      <w:r>
        <w:t>Méthode scientifique et coût total de cycle de vie</w:t>
      </w:r>
    </w:p>
    <w:p>
      <w:pPr>
        <w:spacing w:after="120"/>
      </w:pPr>
      <w:r>
        <w:t>Chaque infrastructure majeure doit être évaluée selon son cycle complet : conception, construction, entretien, réparation, remplacement, impact sur la circulation, interruption de service, coûts indirects et durée de vie prévue.</w:t>
      </w:r>
    </w:p>
    <w:p>
      <w:pPr>
        <w:spacing w:after="120"/>
      </w:pPr>
      <w:r>
        <w:t>Les choix techniques doivent tenir compte du gel-dégel, de l'eau, du sel, des charges lourdes, des hivers québécois, des risques climatiques, de l'usure intensive et de la sécurité publique.</w:t>
      </w:r>
    </w:p>
    <w:p>
      <w:pPr>
        <w:spacing w:after="120"/>
      </w:pPr>
      <w:r>
        <w:t>Les études, critères de sélection, justifications techniques, échéanciers et hypothèses de durée de vie doivent être conservés, auditables et rendus publics lorsque la sécurité ne s'y oppose pas.</w:t>
      </w:r>
    </w:p>
    <w:p>
      <w:pPr>
        <w:pStyle w:val="Heading2"/>
      </w:pPr>
      <w:r>
        <w:t>Fin des chantiers dispersés et incomplets</w:t>
      </w:r>
    </w:p>
    <w:p>
      <w:pPr>
        <w:spacing w:after="120"/>
      </w:pPr>
      <w:r>
        <w:t>L'État ne doit pas ouvrir simultanément un nombre excessif de chantiers publics si cette dispersion empêche de terminer rapidement les projets déjà commencés.</w:t>
      </w:r>
    </w:p>
    <w:p>
      <w:pPr>
        <w:spacing w:after="120"/>
      </w:pPr>
      <w:r>
        <w:t>Avant d'ouvrir un nouveau chantier public majeur, le gouvernement doit évaluer les chantiers actifs, les ressources disponibles, le taux d'achèvement, les contraintes logistiques et l'effet sur la population.</w:t>
      </w:r>
    </w:p>
    <w:p>
      <w:pPr>
        <w:spacing w:after="120"/>
      </w:pPr>
      <w:r>
        <w:t>Sauf urgence réelle, danger pour la sécurité publique ou nécessité stratégique démontrée, la priorité doit être de terminer le maximum de chantiers déjà ouverts avant d'en lancer de nouveaux.</w:t>
      </w:r>
    </w:p>
    <w:p>
      <w:pPr>
        <w:pStyle w:val="Heading2"/>
      </w:pPr>
      <w:r>
        <w:t>Travail continu lorsque justifié</w:t>
      </w:r>
    </w:p>
    <w:p>
      <w:pPr>
        <w:spacing w:after="120"/>
      </w:pPr>
      <w:r>
        <w:t>Pour les infrastructures critiques ou les chantiers causant des perturbations importantes, le travail en continu peut être imposé ou autorisé lorsque cela réduit significativement les délais, les coûts indirects et les nuisances publiques.</w:t>
      </w:r>
    </w:p>
    <w:p>
      <w:pPr>
        <w:spacing w:after="120"/>
      </w:pPr>
      <w:r>
        <w:t>Le travail continu doit se faire par équipes en rotation, sans épuisement des travailleurs, avec respect strict de la santé et sécurité, supervision technique permanente, contrôle de qualité et mesures raisonnables de réduction du bruit dans les zones résidentielles.</w:t>
      </w:r>
    </w:p>
    <w:p>
      <w:pPr>
        <w:pStyle w:val="Heading2"/>
      </w:pPr>
      <w:r>
        <w:t>Transparence, marchés publics et responsabilité</w:t>
      </w:r>
    </w:p>
    <w:p>
      <w:pPr>
        <w:spacing w:after="120"/>
      </w:pPr>
      <w:r>
        <w:t>Tout projet public majeur doit disposer d'un responsable identifiable, d'un échéancier public, d'étapes mesurables, d'un budget de référence, d'une justification des matériaux et d'un mécanisme de reddition de comptes.</w:t>
      </w:r>
    </w:p>
    <w:p>
      <w:pPr>
        <w:spacing w:after="120"/>
      </w:pPr>
      <w:r>
        <w:t>Les appels d'offres doivent intégrer la qualité, la durabilité, la compétence, le calendrier, les garanties, la capacité réelle d'exécution et le coût total du cycle de vie, et non seulement le prix initial le plus bas.</w:t>
      </w:r>
    </w:p>
    <w:p>
      <w:pPr>
        <w:spacing w:after="120"/>
      </w:pPr>
      <w:r>
        <w:t>Aucune entreprise ne doit obtenir un avantage par collusion, favoritisme, sous-traitance opaque, modification tardive du devis ou interprétation abusive des critères techniques.</w:t>
      </w:r>
    </w:p>
    <w:p>
      <w:pPr>
        <w:spacing w:after="120"/>
      </w:pPr>
      <w:r>
        <w:t>Un chantier public ne doit pas devenir une excuse permanente pour gaspiller, retarder, improviser ou enrichir des intérêts privés au détriment des citoyens.</w:t>
      </w:r>
    </w:p>
    <w:p>
      <w:pPr>
        <w:spacing w:after="120"/>
      </w:pPr>
      <w:r>
        <w:t>Formule officielle : Projet Nova - mieux construire, finir plus vite, gaspiller moins.</w:t>
      </w:r>
    </w:p>
    <w:p>
      <w:pPr>
        <w:pStyle w:val="Heading1"/>
      </w:pPr>
      <w:r>
        <w:t>Révocation citoyenne des décideurs publics</w:t>
      </w:r>
    </w:p>
    <w:p>
      <w:pPr>
        <w:spacing w:after="120"/>
      </w:pPr>
      <w:r>
        <w:t>Les décideurs publics ne sont pas intouchables. Si un élu, gestionnaire, responsable administratif, dirigeant d'organisme ou décideur nommé ne sert plus correctement l'intérêt public, les citoyens doivent pouvoir déclencher une procédure de révocation encadrée. Le pouvoir appartient au peuple, pas aux postes.</w:t>
      </w:r>
    </w:p>
    <w:p>
      <w:pPr>
        <w:pStyle w:val="Heading2"/>
      </w:pPr>
      <w:r>
        <w:t>Principe général</w:t>
      </w:r>
    </w:p>
    <w:p>
      <w:pPr>
        <w:spacing w:after="120"/>
      </w:pPr>
      <w:r>
        <w:t>Aucun élu, dirigeant public, gestionnaire d'organisme, responsable administratif ou décideur nommé ne doit devenir intouchable pendant la durée de son mandat. Le pouvoir public demeure un mandat de service, non un droit acquis contre les citoyens.</w:t>
      </w:r>
    </w:p>
    <w:p>
      <w:pPr>
        <w:pStyle w:val="Heading2"/>
      </w:pPr>
      <w:r>
        <w:t>Droit de révocation citoyenne</w:t>
      </w:r>
    </w:p>
    <w:p>
      <w:pPr>
        <w:spacing w:after="120"/>
      </w:pPr>
      <w:r>
        <w:t>Lorsqu'un décideur public ne remplit pas adéquatement ses fonctions, agit avec négligence grave, accumule des échecs injustifiés, refuse la reddition de comptes, abuse de son pouvoir, ment au public, se place en conflit d'intérêts, tolère la corruption, compromet l'intérêt public ou rompt gravement la confiance citoyenne, les citoyens concernés peuvent déclencher une procédure de révocation démocratique.</w:t>
      </w:r>
    </w:p>
    <w:p>
      <w:pPr>
        <w:pStyle w:val="Heading2"/>
      </w:pPr>
      <w:r>
        <w:t>Limites contre les abus</w:t>
      </w:r>
    </w:p>
    <w:p>
      <w:pPr>
        <w:spacing w:after="120"/>
      </w:pPr>
      <w:r>
        <w:t>La révocation citoyenne ne peut pas servir à punir une opinion, un vote de conscience, un désaccord politique normal, une décision impopulaire mais légalement justifiée, une pression partisane ou une campagne de vengeance.</w:t>
      </w:r>
    </w:p>
    <w:p>
      <w:pPr>
        <w:spacing w:after="120"/>
      </w:pPr>
      <w:r>
        <w:t>Elle doit viser des motifs sérieux : incompétence manifeste, inefficacité persistante, faute grave, abus de pouvoir, corruption, conflit d'intérêts, refus de transparence, manquement au devoir, rupture de confiance publique ou mauvaise gestion grave.</w:t>
      </w:r>
    </w:p>
    <w:p>
      <w:pPr>
        <w:pStyle w:val="Heading2"/>
      </w:pPr>
      <w:r>
        <w:t>Procédure obligatoire</w:t>
      </w:r>
    </w:p>
    <w:p>
      <w:pPr>
        <w:spacing w:after="120"/>
      </w:pPr>
      <w:r>
        <w:t>Toute procédure de révocation doit comprendre une pétition citoyenne formelle, un seuil minimal de signatures vérifiées, une publication claire des motifs, un droit de réponse pour la personne visée, une vérification indépendante de la validité de la demande, un délai raisonnable d'information publique, un vote citoyen lorsque le seuil est atteint, puis une décision finale prise par les citoyens concernés.</w:t>
      </w:r>
    </w:p>
    <w:p>
      <w:pPr>
        <w:pStyle w:val="Heading2"/>
      </w:pPr>
      <w:r>
        <w:t>Seuils et stabilité</w:t>
      </w:r>
    </w:p>
    <w:p>
      <w:pPr>
        <w:spacing w:after="120"/>
      </w:pPr>
      <w:r>
        <w:t>Les seuils de signatures, les délais, les preuves minimales et les conditions de vote doivent être assez élevés pour empêcher les campagnes abusives, mais assez accessibles pour que le peuple puisse réellement retirer un décideur qui ne sert plus correctement l'intérêt public.</w:t>
      </w:r>
    </w:p>
    <w:p>
      <w:pPr>
        <w:pStyle w:val="Heading2"/>
      </w:pPr>
      <w:r>
        <w:t>Clause anti-contournement</w:t>
      </w:r>
    </w:p>
    <w:p>
      <w:pPr>
        <w:spacing w:after="120"/>
      </w:pPr>
      <w:r>
        <w:t>Aucune autorité ne peut neutraliser, retarder abusivement ou contourner une procédure de révocation citoyenne par règlement, décret, contrat, nomination temporaire, transfert de fonction, restructuration administrative, état d'urgence, interprétation partisane ou manoeuvre institutionnelle.</w:t>
      </w:r>
    </w:p>
    <w:p>
      <w:pPr>
        <w:spacing w:after="120"/>
      </w:pPr>
      <w:r>
        <w:t>Toute loi, directive, contrat, nomination, restructuration ou délégation ayant pour effet réel de supprimer, neutraliser, retarder abusivement ou rendre illusoire le droit de révocation est nulle de plein droit.</w:t>
      </w:r>
    </w:p>
    <w:p>
      <w:pPr>
        <w:pStyle w:val="Heading2"/>
      </w:pPr>
      <w:r>
        <w:t>Protection contre les campagnes abusives</w:t>
      </w:r>
    </w:p>
    <w:p>
      <w:pPr>
        <w:spacing w:after="120"/>
      </w:pPr>
      <w:r>
        <w:t>La loi doit prévoir des protections contre les campagnes mensongères, répétitives, financées par des intérêts cachés, fondées sur de fausses informations ou utilisées comme harcèlement politique. Les signatures doivent être vérifiées par une autorité électorale indépendante, et le financement de toute campagne de révocation doit être public, transparent, limité et auditable.</w:t>
      </w:r>
    </w:p>
    <w:p>
      <w:pPr>
        <w:pStyle w:val="Heading2"/>
      </w:pPr>
      <w:r>
        <w:t>Effet juridique</w:t>
      </w:r>
    </w:p>
    <w:p>
      <w:pPr>
        <w:spacing w:after="120"/>
      </w:pPr>
      <w:r>
        <w:t>Lorsqu'une révocation est approuvée par les citoyens selon la procédure prévue, le mandat de la personne visée prend fin. Une succession, une nomination intérimaire ou une élection de remplacement doit alors être organisée selon les règles prévues par la loi.</w:t>
      </w:r>
    </w:p>
    <w:p>
      <w:pPr>
        <w:pStyle w:val="Heading2"/>
      </w:pPr>
      <w:r>
        <w:t>Responsabilité démocratique</w:t>
      </w:r>
    </w:p>
    <w:p>
      <w:pPr>
        <w:spacing w:after="120"/>
      </w:pPr>
      <w:r>
        <w:t>Le principe est simple : le pouvoir appartient au peuple. Si un décideur ne fait pas son travail, refuse de corriger ses erreurs ou trahit la confiance publique, le peuple doit pouvoir le remplacer de façon ordonnée, transparente et démocratique.</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80" w:after="40"/>
    </w:pPr>
    <w:rPr>
      <w:rFonts w:ascii="Arial" w:hAnsi="Arial" w:eastAsia="Arial"/>
      <w:b/>
      <w:color w:val="1F4E79"/>
      <w:sz w:val="21"/>
    </w:rPr>
  </w:style>
  <w:style w:type="paragraph" w:customStyle="1" w:styleId="SmallNote">
    <w:name w:val="SmallNote"/>
    <w:rPr>
      <w:rFonts w:ascii="Arial" w:hAnsi="Arial" w:eastAsia="Arial"/>
      <w:i/>
      <w:color w:val="5A5A5A"/>
      <w:sz w:val="17"/>
    </w:r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Lois Ordinaires</dc:title>
  <dc:subject>Lois ordinaires consolidees</dc:subject>
  <dc:creator>Projet Nova</dc:creator>
  <cp:keywords>Projet Nova, Systeme Nova, lois ordinaires, droit public, Quebec</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