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comparaison et d’intégration - Projet Nova V1.6</w:t>
      </w:r>
    </w:p>
    <w:p>
      <w:r>
        <w:t>Objet : comparer les deux archives fournies, identifier les écarts, intégrer les éléments utiles dans les versions officielles et retirer la logique de documents séparés.</w:t>
      </w:r>
    </w:p>
    <w:p>
      <w:pPr>
        <w:pStyle w:val="Heading1"/>
      </w:pPr>
      <w:r>
        <w:t>1. Archives comparées</w:t>
      </w:r>
    </w:p>
    <w:p>
      <w:r>
        <w:t>Archive A : Projet_Nova_V1_6_Complet_DOCX_PDF_Reprise.zip</w:t>
      </w:r>
    </w:p>
    <w:p>
      <w:r>
        <w:t>Archive B : Projet_Nova_V1_6_Complet_Corrige.zip</w:t>
      </w:r>
    </w:p>
    <w:p>
      <w:r>
        <w:t>Base retenue : l’archive corrigée, car elle contient les formulations V1.6 les plus récentes et les sections de révocation citoyenne les plus structurées. Les éléments complémentaires de l’archive de reprise ont été conservés lorsqu’ils renforçaient la protection contre l’arbitraire, les campagnes abusives ou le contournement institutionnel.</w:t>
      </w:r>
    </w:p>
    <w:p>
      <w:pPr>
        <w:pStyle w:val="Heading1"/>
      </w:pPr>
      <w:r>
        <w:t>2. Écarts principaux détectés</w:t>
      </w:r>
    </w:p>
    <w:p>
      <w:pPr>
        <w:pStyle w:val="ListBullet"/>
      </w:pPr>
      <w:r>
        <w:t>L’archive de reprise contenait un document interne de reprise absent de l’archive corrigée.</w:t>
      </w:r>
    </w:p>
    <w:p>
      <w:pPr>
        <w:pStyle w:val="ListBullet"/>
      </w:pPr>
      <w:r>
        <w:t>L’archive de reprise utilisait encore plusieurs formulations des formulations de version antérieure ou des titres liés à des documents ajoutés séparément.</w:t>
      </w:r>
    </w:p>
    <w:p>
      <w:pPr>
        <w:pStyle w:val="ListBullet"/>
      </w:pPr>
      <w:r>
        <w:t>L’archive corrigée contenait une version V1.6 plus complète, mais conservait encore des intitulés de documents séparés dans plusieurs fichiers officiels.</w:t>
      </w:r>
    </w:p>
    <w:p>
      <w:pPr>
        <w:pStyle w:val="ListBullet"/>
      </w:pPr>
      <w:r>
        <w:t>Plusieurs documents officiels affichaient encore des références antérieures : des références de versions antérieures ou des mentions de travail non finalisé.</w:t>
      </w:r>
    </w:p>
    <w:p>
      <w:pPr>
        <w:pStyle w:val="ListBullet"/>
      </w:pPr>
      <w:r>
        <w:t>Les contenus sur les infrastructures durables et la révocation citoyenne étaient présents, mais sous forme de sections ajoutées plutôt que pleinement officialisées dans le corpus.</w:t>
      </w:r>
    </w:p>
    <w:p>
      <w:pPr>
        <w:pStyle w:val="Heading1"/>
      </w:pPr>
      <w:r>
        <w:t>3. Corrections appliquées</w:t>
      </w:r>
    </w:p>
    <w:p>
      <w:pPr>
        <w:pStyle w:val="ListBullet"/>
      </w:pPr>
      <w:r>
        <w:t>Suppression des fichiers séparés d’ajout correctif dans le dossier officiel livré.</w:t>
      </w:r>
    </w:p>
    <w:p>
      <w:pPr>
        <w:pStyle w:val="ListBullet"/>
      </w:pPr>
      <w:r>
        <w:t>Intégration directe des principes d’infrastructures durables et de chantiers accélérés dans les documents officiels.</w:t>
      </w:r>
    </w:p>
    <w:p>
      <w:pPr>
        <w:pStyle w:val="ListBullet"/>
      </w:pPr>
      <w:r>
        <w:t>Intégration directe du mécanisme de révocation citoyenne des décideurs publics dans les documents officiels.</w:t>
      </w:r>
    </w:p>
    <w:p>
      <w:pPr>
        <w:pStyle w:val="ListBullet"/>
      </w:pPr>
      <w:r>
        <w:t>Fusion des meilleures formulations des deux archives : protection du vote de conscience, protection contre les campagnes de vengeance, seuils sérieux, vérification indépendante, droit de réponse, vote citoyen, clause anti-contournement et financement transparent.</w:t>
      </w:r>
    </w:p>
    <w:p>
      <w:pPr>
        <w:pStyle w:val="ListBullet"/>
      </w:pPr>
      <w:r>
        <w:t>Harmonisation des références de version vers V1.6 officielle intégrée.</w:t>
      </w:r>
    </w:p>
    <w:p>
      <w:pPr>
        <w:pStyle w:val="ListBullet"/>
      </w:pPr>
      <w:r>
        <w:t>Retrait des marqueurs de type document séparé dans les versions officielles.</w:t>
      </w:r>
    </w:p>
    <w:p>
      <w:pPr>
        <w:pStyle w:val="ListBullet"/>
      </w:pPr>
      <w:r>
        <w:t>Conservation de la logique essentielle : souveraineté populaire, transparence, anti-contournement, anti-corruption, interdiction des OGM, services essentiels, infrastructures durables, révocation citoyenne et argent public au service du peuple.</w:t>
      </w:r>
    </w:p>
    <w:p>
      <w:pPr>
        <w:pStyle w:val="Heading1"/>
      </w:pPr>
      <w:r>
        <w:t>4. Documents officiels produits</w:t>
      </w:r>
    </w:p>
    <w:p>
      <w:pPr>
        <w:pStyle w:val="ListBullet"/>
      </w:pPr>
      <w:r>
        <w:t>Constitution_V1_6</w:t>
      </w:r>
    </w:p>
    <w:p>
      <w:pPr>
        <w:pStyle w:val="ListBullet"/>
      </w:pPr>
      <w:r>
        <w:t>Lois_Organiques_V1_6</w:t>
      </w:r>
    </w:p>
    <w:p>
      <w:pPr>
        <w:pStyle w:val="ListBullet"/>
      </w:pPr>
      <w:r>
        <w:t>Lois_Administratives_V1_6</w:t>
      </w:r>
    </w:p>
    <w:p>
      <w:pPr>
        <w:pStyle w:val="ListBullet"/>
      </w:pPr>
      <w:r>
        <w:t>Lois_Ordinaires_V1_6</w:t>
      </w:r>
    </w:p>
    <w:p>
      <w:pPr>
        <w:pStyle w:val="ListBullet"/>
      </w:pPr>
      <w:r>
        <w:t>Reglements_V1_6</w:t>
      </w:r>
    </w:p>
    <w:p>
      <w:pPr>
        <w:pStyle w:val="ListBullet"/>
      </w:pPr>
      <w:r>
        <w:t>Programme_V1_6</w:t>
      </w:r>
    </w:p>
    <w:p>
      <w:pPr>
        <w:pStyle w:val="ListBullet"/>
      </w:pPr>
      <w:r>
        <w:t>Manifeste_V1_6</w:t>
      </w:r>
    </w:p>
    <w:p>
      <w:pPr>
        <w:pStyle w:val="ListBullet"/>
      </w:pPr>
      <w:r>
        <w:t>Livre_Nova_V1_6</w:t>
      </w:r>
    </w:p>
    <w:p>
      <w:pPr>
        <w:pStyle w:val="ListBullet"/>
      </w:pPr>
      <w:r>
        <w:t>FAQ_V1_6</w:t>
      </w:r>
    </w:p>
    <w:p>
      <w:pPr>
        <w:pStyle w:val="ListBullet"/>
      </w:pPr>
      <w:r>
        <w:t>Index_V1_6</w:t>
      </w:r>
    </w:p>
    <w:p>
      <w:pPr>
        <w:pStyle w:val="ListBullet"/>
      </w:pPr>
      <w:r>
        <w:t>Rapport_Intégration_V1_6</w:t>
      </w:r>
    </w:p>
    <w:p>
      <w:pPr>
        <w:pStyle w:val="ListBullet"/>
      </w:pPr>
      <w:r>
        <w:t>Registre_Risques_V1_6</w:t>
      </w:r>
    </w:p>
    <w:p>
      <w:pPr>
        <w:pStyle w:val="Heading1"/>
      </w:pPr>
      <w:r>
        <w:t>5. Décision éditoriale</w:t>
      </w:r>
    </w:p>
    <w:p>
      <w:r>
        <w:t>Tant que le Projet Nova demeure en construction, les nouvelles idées ne doivent plus être publiées comme documents séparés. Elles doivent être intégrées directement dans les documents officiels en cours de construction, puis la version globale doit être renumérotée et archivée.</w:t>
      </w:r>
    </w:p>
    <w:p>
      <w:pPr>
        <w:pStyle w:val="Heading1"/>
      </w:pPr>
      <w:r>
        <w:t>6. Recommandation pour le site web</w:t>
      </w:r>
    </w:p>
    <w:p>
      <w:r>
        <w:t>Mettre en ligne uniquement les PDF officiels intégrés : Manifeste, Programme, Livre Nova, FAQ, Constitution, Lois organiques, Lois administratives, Lois ordinaires, Règlements, Registre des risques, Rapport d’intégration et Index. Garder les DOCX comme fichiers de travail internes.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comparaison et intégration V1.6</dc:title>
  <dc:subject/>
  <dc:creator>Projet 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