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p>
    <w:p>
      <w:r/>
    </w:p>
    <w:p>
      <w:pPr>
        <w:pStyle w:val="Heading1"/>
      </w:pPr>
      <w:r>
        <w:t>Registre des risques et correctifs - version officielle V1.6</w:t>
      </w:r>
    </w:p>
    <w:p>
      <w:pPr>
        <w:spacing w:after="120"/>
      </w:pPr>
      <w:r>
        <w:t>Ce registre ajoute les risques issus de l’audit approfondi et des sujets précédents, avec les correctifs intégrés au corpus version officielle V1.6.</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shd w:fill="0B1F33"/>
          </w:tcPr>
          <w:p>
            <w:r/>
            <w:r>
              <w:rPr>
                <w:b/>
                <w:color w:val="FFFFFF"/>
                <w:sz w:val="18"/>
              </w:rPr>
              <w:t>Sujet</w:t>
            </w:r>
          </w:p>
        </w:tc>
        <w:tc>
          <w:tcPr>
            <w:tcW w:type="dxa" w:w="3360"/>
            <w:vAlign w:val="center"/>
            <w:shd w:fill="0B1F33"/>
          </w:tcPr>
          <w:p>
            <w:r/>
            <w:r>
              <w:rPr>
                <w:b/>
                <w:color w:val="FFFFFF"/>
                <w:sz w:val="18"/>
              </w:rPr>
              <w:t>Risque</w:t>
            </w:r>
          </w:p>
        </w:tc>
        <w:tc>
          <w:tcPr>
            <w:tcW w:type="dxa" w:w="3360"/>
            <w:vAlign w:val="center"/>
            <w:shd w:fill="0B1F33"/>
          </w:tcPr>
          <w:p>
            <w:r/>
            <w:r>
              <w:rPr>
                <w:b/>
                <w:color w:val="FFFFFF"/>
                <w:sz w:val="18"/>
              </w:rPr>
              <w:t>Correctif/protection</w:t>
            </w:r>
          </w:p>
        </w:tc>
      </w:tr>
      <w:tr>
        <w:tc>
          <w:tcPr>
            <w:tcW w:type="dxa" w:w="3360"/>
            <w:vAlign w:val="center"/>
            <w:shd w:fill="E6EEF2"/>
          </w:tcPr>
          <w:p>
            <w:r/>
            <w:r>
              <w:rPr>
                <w:b w:val="0"/>
                <w:color w:val="000000"/>
                <w:sz w:val="18"/>
              </w:rPr>
              <w:t>Risque d'image</w:t>
            </w:r>
          </w:p>
        </w:tc>
        <w:tc>
          <w:tcPr>
            <w:tcW w:type="dxa" w:w="3360"/>
            <w:vAlign w:val="center"/>
          </w:tcPr>
          <w:p>
            <w:r/>
            <w:r>
              <w:rPr>
                <w:b w:val="0"/>
                <w:color w:val="000000"/>
                <w:sz w:val="18"/>
              </w:rPr>
              <w:t>Anciens documents SCQ et versions 1.0/1.2 mélangées</w:t>
            </w:r>
          </w:p>
        </w:tc>
        <w:tc>
          <w:tcPr>
            <w:tcW w:type="dxa" w:w="3360"/>
            <w:vAlign w:val="center"/>
          </w:tcPr>
          <w:p>
            <w:r/>
            <w:r>
              <w:rPr>
                <w:b w:val="0"/>
                <w:color w:val="000000"/>
                <w:sz w:val="18"/>
              </w:rPr>
              <w:t>Uniformiser Projet Nova / Parti Nova, version officielle V1.6, index maître et registre de versions.</w:t>
            </w:r>
          </w:p>
        </w:tc>
      </w:tr>
      <w:tr>
        <w:tc>
          <w:tcPr>
            <w:tcW w:type="dxa" w:w="3360"/>
            <w:vAlign w:val="center"/>
            <w:shd w:fill="E6EEF2"/>
          </w:tcPr>
          <w:p>
            <w:r/>
            <w:r>
              <w:rPr>
                <w:b w:val="0"/>
                <w:color w:val="000000"/>
                <w:sz w:val="18"/>
              </w:rPr>
              <w:t>Financement non essentiel</w:t>
            </w:r>
          </w:p>
        </w:tc>
        <w:tc>
          <w:tcPr>
            <w:tcW w:type="dxa" w:w="3360"/>
            <w:vAlign w:val="center"/>
          </w:tcPr>
          <w:p>
            <w:r/>
            <w:r>
              <w:rPr>
                <w:b w:val="0"/>
                <w:color w:val="000000"/>
                <w:sz w:val="18"/>
              </w:rPr>
              <w:t>Contradiction entre soutien à la culture et refus des subventions</w:t>
            </w:r>
          </w:p>
        </w:tc>
        <w:tc>
          <w:tcPr>
            <w:tcW w:type="dxa" w:w="3360"/>
            <w:vAlign w:val="center"/>
          </w:tcPr>
          <w:p>
            <w:r/>
            <w:r>
              <w:rPr>
                <w:b w:val="0"/>
                <w:color w:val="000000"/>
                <w:sz w:val="18"/>
              </w:rPr>
              <w:t>Distinguer patrimoine/accès public essentiel de financement commercial privé.</w:t>
            </w:r>
          </w:p>
        </w:tc>
      </w:tr>
      <w:tr>
        <w:tc>
          <w:tcPr>
            <w:tcW w:type="dxa" w:w="3360"/>
            <w:vAlign w:val="center"/>
            <w:shd w:fill="E6EEF2"/>
          </w:tcPr>
          <w:p>
            <w:r/>
            <w:r>
              <w:rPr>
                <w:b w:val="0"/>
                <w:color w:val="000000"/>
                <w:sz w:val="18"/>
              </w:rPr>
              <w:t>Laïcité et droits</w:t>
            </w:r>
          </w:p>
        </w:tc>
        <w:tc>
          <w:tcPr>
            <w:tcW w:type="dxa" w:w="3360"/>
            <w:vAlign w:val="center"/>
          </w:tcPr>
          <w:p>
            <w:r/>
            <w:r>
              <w:rPr>
                <w:b w:val="0"/>
                <w:color w:val="000000"/>
                <w:sz w:val="18"/>
              </w:rPr>
              <w:t>Formulations trop larges pouvant cibler des personnes</w:t>
            </w:r>
          </w:p>
        </w:tc>
        <w:tc>
          <w:tcPr>
            <w:tcW w:type="dxa" w:w="3360"/>
            <w:vAlign w:val="center"/>
          </w:tcPr>
          <w:p>
            <w:r/>
            <w:r>
              <w:rPr>
                <w:b w:val="0"/>
                <w:color w:val="000000"/>
                <w:sz w:val="18"/>
              </w:rPr>
              <w:t>Neutralité institutionnelle, voie publique, lieux de culte/propriétés privées; contrôle juridique avant publication.</w:t>
            </w:r>
          </w:p>
        </w:tc>
      </w:tr>
      <w:tr>
        <w:tc>
          <w:tcPr>
            <w:tcW w:type="dxa" w:w="3360"/>
            <w:vAlign w:val="center"/>
            <w:shd w:fill="E6EEF2"/>
          </w:tcPr>
          <w:p>
            <w:r/>
            <w:r>
              <w:rPr>
                <w:b w:val="0"/>
                <w:color w:val="000000"/>
                <w:sz w:val="18"/>
              </w:rPr>
              <w:t>Identité de genre</w:t>
            </w:r>
          </w:p>
        </w:tc>
        <w:tc>
          <w:tcPr>
            <w:tcW w:type="dxa" w:w="3360"/>
            <w:vAlign w:val="center"/>
          </w:tcPr>
          <w:p>
            <w:r/>
            <w:r>
              <w:rPr>
                <w:b w:val="0"/>
                <w:color w:val="000000"/>
                <w:sz w:val="18"/>
              </w:rPr>
              <w:t>Risque juridique et médiatique</w:t>
            </w:r>
          </w:p>
        </w:tc>
        <w:tc>
          <w:tcPr>
            <w:tcW w:type="dxa" w:w="3360"/>
            <w:vAlign w:val="center"/>
          </w:tcPr>
          <w:p>
            <w:r/>
            <w:r>
              <w:rPr>
                <w:b w:val="0"/>
                <w:color w:val="000000"/>
                <w:sz w:val="18"/>
              </w:rPr>
              <w:t>Formulation: sexe biologique pour domaines objectifs + dignité et droits civils + liberté de conscience.</w:t>
            </w:r>
          </w:p>
        </w:tc>
      </w:tr>
      <w:tr>
        <w:tc>
          <w:tcPr>
            <w:tcW w:type="dxa" w:w="3360"/>
            <w:vAlign w:val="center"/>
            <w:shd w:fill="E6EEF2"/>
          </w:tcPr>
          <w:p>
            <w:r/>
            <w:r>
              <w:rPr>
                <w:b w:val="0"/>
                <w:color w:val="000000"/>
                <w:sz w:val="18"/>
              </w:rPr>
              <w:t>Municipalités</w:t>
            </w:r>
          </w:p>
        </w:tc>
        <w:tc>
          <w:tcPr>
            <w:tcW w:type="dxa" w:w="3360"/>
            <w:vAlign w:val="center"/>
          </w:tcPr>
          <w:p>
            <w:r/>
            <w:r>
              <w:rPr>
                <w:b w:val="0"/>
                <w:color w:val="000000"/>
                <w:sz w:val="18"/>
              </w:rPr>
              <w:t>Abolition brutale des MRC ou grandes villes</w:t>
            </w:r>
          </w:p>
        </w:tc>
        <w:tc>
          <w:tcPr>
            <w:tcW w:type="dxa" w:w="3360"/>
            <w:vAlign w:val="center"/>
          </w:tcPr>
          <w:p>
            <w:r/>
            <w:r>
              <w:rPr>
                <w:b w:val="0"/>
                <w:color w:val="000000"/>
                <w:sz w:val="18"/>
              </w:rPr>
              <w:t>Audit, référendums locaux, redéploiement progressif, continuité des services.</w:t>
            </w:r>
          </w:p>
        </w:tc>
      </w:tr>
      <w:tr>
        <w:tc>
          <w:tcPr>
            <w:tcW w:type="dxa" w:w="3360"/>
            <w:vAlign w:val="center"/>
            <w:shd w:fill="E6EEF2"/>
          </w:tcPr>
          <w:p>
            <w:r/>
            <w:r>
              <w:rPr>
                <w:b w:val="0"/>
                <w:color w:val="000000"/>
                <w:sz w:val="18"/>
              </w:rPr>
              <w:t>Citoyenneté</w:t>
            </w:r>
          </w:p>
        </w:tc>
        <w:tc>
          <w:tcPr>
            <w:tcW w:type="dxa" w:w="3360"/>
            <w:vAlign w:val="center"/>
          </w:tcPr>
          <w:p>
            <w:r/>
            <w:r>
              <w:rPr>
                <w:b w:val="0"/>
                <w:color w:val="000000"/>
                <w:sz w:val="18"/>
              </w:rPr>
              <w:t>Règles trop rigides contestables</w:t>
            </w:r>
          </w:p>
        </w:tc>
        <w:tc>
          <w:tcPr>
            <w:tcW w:type="dxa" w:w="3360"/>
            <w:vAlign w:val="center"/>
          </w:tcPr>
          <w:p>
            <w:r/>
            <w:r>
              <w:rPr>
                <w:b w:val="0"/>
                <w:color w:val="000000"/>
                <w:sz w:val="18"/>
              </w:rPr>
              <w:t>Proportionnalité, recours, juristes spécialisés, phases transitoires.</w:t>
            </w:r>
          </w:p>
        </w:tc>
      </w:tr>
      <w:tr>
        <w:tc>
          <w:tcPr>
            <w:tcW w:type="dxa" w:w="3360"/>
            <w:vAlign w:val="center"/>
            <w:shd w:fill="E6EEF2"/>
          </w:tcPr>
          <w:p>
            <w:r/>
            <w:r>
              <w:rPr>
                <w:b w:val="0"/>
                <w:color w:val="000000"/>
                <w:sz w:val="18"/>
              </w:rPr>
              <w:t>Données</w:t>
            </w:r>
          </w:p>
        </w:tc>
        <w:tc>
          <w:tcPr>
            <w:tcW w:type="dxa" w:w="3360"/>
            <w:vAlign w:val="center"/>
          </w:tcPr>
          <w:p>
            <w:r/>
            <w:r>
              <w:rPr>
                <w:b w:val="0"/>
                <w:color w:val="000000"/>
                <w:sz w:val="18"/>
              </w:rPr>
              <w:t>Fuites de membres/soutiens/candidats</w:t>
            </w:r>
          </w:p>
        </w:tc>
        <w:tc>
          <w:tcPr>
            <w:tcW w:type="dxa" w:w="3360"/>
            <w:vAlign w:val="center"/>
          </w:tcPr>
          <w:p>
            <w:r/>
            <w:r>
              <w:rPr>
                <w:b w:val="0"/>
                <w:color w:val="000000"/>
                <w:sz w:val="18"/>
              </w:rPr>
              <w:t>Registre, minimisation, chiffrement, accès restreint, suppression, responsable de protection.</w:t>
            </w:r>
          </w:p>
        </w:tc>
      </w:tr>
      <w:tr>
        <w:tc>
          <w:tcPr>
            <w:tcW w:type="dxa" w:w="3360"/>
            <w:vAlign w:val="center"/>
            <w:shd w:fill="E6EEF2"/>
          </w:tcPr>
          <w:p>
            <w:r/>
            <w:r>
              <w:rPr>
                <w:b w:val="0"/>
                <w:color w:val="000000"/>
                <w:sz w:val="18"/>
              </w:rPr>
              <w:t>Logo et livre</w:t>
            </w:r>
          </w:p>
        </w:tc>
        <w:tc>
          <w:tcPr>
            <w:tcW w:type="dxa" w:w="3360"/>
            <w:vAlign w:val="center"/>
          </w:tcPr>
          <w:p>
            <w:r/>
            <w:r>
              <w:rPr>
                <w:b w:val="0"/>
                <w:color w:val="000000"/>
                <w:sz w:val="18"/>
              </w:rPr>
              <w:t>Usage abusif ou confusion publique</w:t>
            </w:r>
          </w:p>
        </w:tc>
        <w:tc>
          <w:tcPr>
            <w:tcW w:type="dxa" w:w="3360"/>
            <w:vAlign w:val="center"/>
          </w:tcPr>
          <w:p>
            <w:r/>
            <w:r>
              <w:rPr>
                <w:b w:val="0"/>
                <w:color w:val="000000"/>
                <w:sz w:val="18"/>
              </w:rPr>
              <w:t>Charte visuelle, version officielle, marquage, registre des documents, protection juridique.</w:t>
            </w:r>
          </w:p>
        </w:tc>
      </w:tr>
      <w:tr>
        <w:tc>
          <w:tcPr>
            <w:tcW w:type="dxa" w:w="3360"/>
            <w:vAlign w:val="center"/>
            <w:shd w:fill="E6EEF2"/>
          </w:tcPr>
          <w:p>
            <w:r/>
            <w:r>
              <w:rPr>
                <w:b w:val="0"/>
                <w:color w:val="000000"/>
                <w:sz w:val="18"/>
              </w:rPr>
              <w:t>Transition</w:t>
            </w:r>
          </w:p>
        </w:tc>
        <w:tc>
          <w:tcPr>
            <w:tcW w:type="dxa" w:w="3360"/>
            <w:vAlign w:val="center"/>
          </w:tcPr>
          <w:p>
            <w:r/>
            <w:r>
              <w:rPr>
                <w:b w:val="0"/>
                <w:color w:val="000000"/>
                <w:sz w:val="18"/>
              </w:rPr>
              <w:t>Impression de rupture brutale</w:t>
            </w:r>
          </w:p>
        </w:tc>
        <w:tc>
          <w:tcPr>
            <w:tcW w:type="dxa" w:w="3360"/>
            <w:vAlign w:val="center"/>
          </w:tcPr>
          <w:p>
            <w:r/>
            <w:r>
              <w:rPr>
                <w:b w:val="0"/>
                <w:color w:val="000000"/>
                <w:sz w:val="18"/>
              </w:rPr>
              <w:t>Rappeler Phase I légale, Phase II progressive, Phase III conditionnelle.</w:t>
            </w:r>
          </w:p>
        </w:tc>
      </w:tr>
      <w:tr>
        <w:tc>
          <w:tcPr>
            <w:tcW w:type="dxa" w:w="3360"/>
            <w:vAlign w:val="center"/>
            <w:shd w:fill="E6EEF2"/>
          </w:tcPr>
          <w:p>
            <w:r/>
            <w:r>
              <w:rPr>
                <w:b w:val="0"/>
                <w:color w:val="000000"/>
                <w:sz w:val="18"/>
              </w:rPr>
              <w:t>Communication</w:t>
            </w:r>
          </w:p>
        </w:tc>
        <w:tc>
          <w:tcPr>
            <w:tcW w:type="dxa" w:w="3360"/>
            <w:vAlign w:val="center"/>
          </w:tcPr>
          <w:p>
            <w:r/>
            <w:r>
              <w:rPr>
                <w:b w:val="0"/>
                <w:color w:val="000000"/>
                <w:sz w:val="18"/>
              </w:rPr>
              <w:t>Propos militants trop directs ou attaquables</w:t>
            </w:r>
          </w:p>
        </w:tc>
        <w:tc>
          <w:tcPr>
            <w:tcW w:type="dxa" w:w="3360"/>
            <w:vAlign w:val="center"/>
          </w:tcPr>
          <w:p>
            <w:r/>
            <w:r>
              <w:rPr>
                <w:b w:val="0"/>
                <w:color w:val="000000"/>
                <w:sz w:val="18"/>
              </w:rPr>
              <w:t>Cadre de langage: ferme, factuel, non violent, vérifiable.</w:t>
            </w:r>
          </w:p>
        </w:tc>
      </w:tr>
    </w:tbl>
    <w:p/>
    <w:p>
      <w:pPr>
        <w:pStyle w:val="Heading1"/>
      </w:pPr>
      <w:r>
        <w:t>Protections nouvelles à maintenir</w:t>
      </w:r>
    </w:p>
    <w:p>
      <w:pPr>
        <w:pStyle w:val="ListBullet"/>
      </w:pPr>
      <w:r>
        <w:t>Protection juridique et visuelle du logo Nova, de la couverture officielle et du Livre Nova.</w:t>
      </w:r>
    </w:p>
    <w:p>
      <w:pPr>
        <w:pStyle w:val="ListBullet"/>
      </w:pPr>
      <w:r>
        <w:t>Politique de protection des données des membres, soutiens, candidats, donateurs et bénévoles.</w:t>
      </w:r>
    </w:p>
    <w:p>
      <w:pPr>
        <w:pStyle w:val="ListBullet"/>
      </w:pPr>
      <w:r>
        <w:t>Registre des versions publiques et internes, avec archives et date de modification.</w:t>
      </w:r>
    </w:p>
    <w:p>
      <w:pPr>
        <w:pStyle w:val="ListBullet"/>
      </w:pPr>
      <w:r>
        <w:t>Procédure de revue juridique avant publication des sujets sensibles: laïcité, citoyenneté, immigration, genre, autochtones, familles bâtisseuses.</w:t>
      </w:r>
    </w:p>
    <w:p>
      <w:pPr>
        <w:pStyle w:val="ListBullet"/>
      </w:pPr>
      <w:r>
        <w:t>Procédure de correction rapide: erreur repérée, évaluation, décision, mise à jour, avis public si nécessaire.</w:t>
      </w:r>
    </w:p>
    <w:p>
      <w:pPr>
        <w:pStyle w:val="ListBullet"/>
      </w:pPr>
      <w:r>
        <w:t>Version publique simplifiée distincte des documents techniques internes.</w:t>
      </w:r>
    </w:p>
    <w:p>
      <w:r/>
    </w:p>
    <w:p>
      <w:pPr>
        <w:pStyle w:val="Heading1"/>
      </w:pPr>
      <w:r>
        <w:t>MISE A JOUR V1.6 - VERROUILLAGE INTEGRAL</w:t>
      </w:r>
    </w:p>
    <w:p>
      <w:r>
        <w:t>La présente version intègre directement le correctif structurel no 4 : verrouillage anti-contournement, anti-corruption, anti-capture institutionnelle, interpretation stricte du pouvoir et agriculture saine sans OGM.</w:t>
      </w:r>
    </w:p>
    <w:p>
      <w:pPr>
        <w:pStyle w:val="Heading1"/>
      </w:pPr>
      <w:r>
        <w:t>Intégration directe - correctif structurel no 4</w:t>
      </w:r>
    </w:p>
    <w:p>
      <w:r>
        <w:t xml:space="preserve">Principe directeur : </w:t>
      </w:r>
      <w:r>
        <w:rPr>
          <w:b/>
        </w:rPr>
        <w:t>aucune interpretation ne peut agrandir le pouvoir de l'Etat, reduire la responsabilite, camoufler une depense, proteger un avantage indu ou permettre la capture du peuple par un interet prive.</w:t>
      </w:r>
    </w:p>
    <w:p>
      <w:pPr>
        <w:pStyle w:val="Heading2"/>
      </w:pPr>
      <w:r>
        <w:t>1. Objet de l'correctif intégré no 4</w:t>
      </w:r>
    </w:p>
    <w:p>
      <w:r>
        <w:t>Le présent correctif intégré renforce l'ensemble du Projet Nova contre toute tentative de contournement, d'interprétation abusive, de corruption directe ou indirecte, de capture institutionnelle, de dilution de responsabilité, de financement public déguisé ou de réintroduction de modèles agricoles contraires à l'autonomie alimentaire du Québec.</w:t>
      </w:r>
    </w:p>
    <w:p>
      <w:r>
        <w:t>Il s'applique au Projet Nova durant la phase provinciale actuelle, à toute phase de transition constitutionnelle et au futur Québec souverain. Il doit être intégré directement à la Constitution, aux lois organiques, aux lois administratives, aux lois ordinaires, aux règlements, au Livre Nova, au programme, au registre des risques, au code de conduite et aux documents publics.</w:t>
      </w:r>
    </w:p>
    <w:p>
      <w:pPr>
        <w:pStyle w:val="Heading2"/>
      </w:pPr>
      <w:r>
        <w:t>2. Clause générale anti-contournement</w:t>
      </w:r>
    </w:p>
    <w:p>
      <w:r>
        <w:rPr>
          <w:b/>
        </w:rPr>
        <w:t>Nul ne peut faire indirectement ce qu'il lui est interdit de faire directement.</w:t>
      </w:r>
    </w:p>
    <w:p>
      <w:r>
        <w:t>Toute tentative de contourner une règle constitutionnelle, législative, administrative, financière, électorale ou éthique par un montage, une exception, une délégation, une société, une fondation, une agence, un contrat, un règlement, une directive, une urgence, une structure municipale, une société d'État, un partenariat public-prive, une sous-traitance, une interprétation abusive ou tout mécanisme équivalent est nulle de plein droit.</w:t>
      </w:r>
    </w:p>
    <w:p>
      <w:r>
        <w:t>La nullité s'applique peu importe le titre donné à l'acte, sa forme juridique, son auteur, son véhicule administratif ou le niveau de gouvernement qui l'utilise.</w:t>
      </w:r>
    </w:p>
    <w:p>
      <w:pPr>
        <w:pStyle w:val="Heading2"/>
      </w:pPr>
      <w:r>
        <w:t>3. Effet réel avant apparence</w:t>
      </w:r>
    </w:p>
    <w:p>
      <w:r>
        <w:t>L'interprétation de tout acte public, contrat, règlement, décision, politique, programme, subvention, entente ou directive doit se fonder sur son effet réel.</w:t>
      </w:r>
    </w:p>
    <w:p>
      <w:r>
        <w:t>Lorsqu'un acte produit un effet équivalent à une mesure interdite, il est réputé interdit, même s'il porte un autre nom, utilise une structure différente ou prétend poursuivre un objectif distinct.</w:t>
      </w:r>
    </w:p>
    <w:p>
      <w:r>
        <w:t>Le vocabulaire administratif ne peut jamais servir à transformer une interdiction en permission.</w:t>
      </w:r>
    </w:p>
    <w:p>
      <w:pPr>
        <w:pStyle w:val="Heading2"/>
      </w:pPr>
      <w:r>
        <w:t>4. Interprétation restrictive du pouvoir</w:t>
      </w:r>
    </w:p>
    <w:p>
      <w:r>
        <w:rPr>
          <w:b/>
        </w:rPr>
        <w:t>Tout pouvoir public s'interprète strictement.</w:t>
      </w:r>
    </w:p>
    <w:p>
      <w:r>
        <w:t>Aucune autorité ne peut déduire un pouvoir implicite, indirect, exceptionnel, élargi ou dérivé d'une disposition générale.</w:t>
      </w:r>
    </w:p>
    <w:p>
      <w:r>
        <w:t>En cas de doute, l'interprétation la plus restrictive du pouvoir public et la plus protectrice du citoyen, de la transparence, de la responsabilité, de la souveraineté populaire et des services essentiels prévaut.</w:t>
      </w:r>
    </w:p>
    <w:p>
      <w:pPr>
        <w:pStyle w:val="Heading2"/>
      </w:pPr>
      <w:r>
        <w:t>5. Exceptions limitées et contrôlables</w:t>
      </w:r>
    </w:p>
    <w:p>
      <w:r>
        <w:t>Toute exception doit être écrite, précise, limitée, motivée, publique, temporaire, contrôlable, révisable et rattachée explicitement à une norme supérieure.</w:t>
      </w:r>
    </w:p>
    <w:p>
      <w:r>
        <w:t>Les formulations vagues, notamment 'si nécessaire', 'selon l'intérêt public', 'dans des circonstances particulières', 'sauf exception raisonnable', 'par règlement' ou 'selon les modalités déterminées par le gouvernement', ne peuvent créer aucun pouvoir autonome.</w:t>
      </w:r>
    </w:p>
    <w:p>
      <w:r>
        <w:t>Toute exception non expressément autorisée par une norme supérieure est réputée inexistante.</w:t>
      </w:r>
    </w:p>
    <w:p>
      <w:pPr>
        <w:pStyle w:val="Heading2"/>
      </w:pPr>
      <w:r>
        <w:t>6. Règlements, directives et politiques publiques</w:t>
      </w:r>
    </w:p>
    <w:p>
      <w:r>
        <w:t>Aucun règlement, directive, politique publique, guide administratif, circulaire ou instruction interne ne peut créer une obligation, une taxe, une sanction, une restriction, une exception, un pouvoir ou une dépense qui n'est pas explicitement prévu par une norme supérieure.</w:t>
      </w:r>
    </w:p>
    <w:p>
      <w:r>
        <w:t>Tout règlement ou acte administratif qui modifie l'effet réel d'une loi, affaiblit une protection, crée un privilège, élargit un pouvoir ou contourne une interdiction est nul de plein droit.</w:t>
      </w:r>
    </w:p>
    <w:p>
      <w:pPr>
        <w:pStyle w:val="Heading2"/>
      </w:pPr>
      <w:r>
        <w:t>7. Contrats publics et montages financiers</w:t>
      </w:r>
    </w:p>
    <w:p>
      <w:r>
        <w:t>Aucun contrat public ne peut accorder à une personne, entreprise, organisme, fournisseur ou partenaire un avantage que la loi interdit à l'État d'accorder directement.</w:t>
      </w:r>
    </w:p>
    <w:p>
      <w:r>
        <w:t>Toute clause contractuelle ayant pour effet de contourner une règle de transparence, de concurrence, de responsabilité, de financement public, de protection des services essentiels, de protection de l'environnement, de protection des données ou d'intégrité publique est nulle.</w:t>
      </w:r>
    </w:p>
    <w:p>
      <w:r>
        <w:t>Les garanties de prêt, crédits d'impôt, commandites publiques, achats symboliques, avances remboursables, fonds spéciaux, contrats de visibilité, fondations liées et sociétés interposées sont soumis aux mêmes interdictions que les subventions directes lorsqu'ils produisent un effet équivalent.</w:t>
      </w:r>
    </w:p>
    <w:p>
      <w:pPr>
        <w:pStyle w:val="Heading2"/>
      </w:pPr>
      <w:r>
        <w:t>8. Organismes parallèles et délégations</w:t>
      </w:r>
    </w:p>
    <w:p>
      <w:r>
        <w:t>Les agences, sociétés d'État, fondations publiques, organismes parapublics, comités, commissions, mandataires, sous-traitants, municipalités, MRC, organismes régionaux et partenaires privés sont soumis aux mêmes interdictions que l'État lorsqu'ils agissent avec de l'argent public, un mandat public, une autorité déléguée, une donnée publique ou un pouvoir réglementaire.</w:t>
      </w:r>
    </w:p>
    <w:p>
      <w:r>
        <w:t>Aucune structure intermédiaire ne peut être créée pour faire indirectement ce que l'État ne peut pas faire directement.</w:t>
      </w:r>
    </w:p>
    <w:p>
      <w:pPr>
        <w:pStyle w:val="Heading2"/>
      </w:pPr>
      <w:r>
        <w:t>9. Corruption directe, indirecte et différée</w:t>
      </w:r>
    </w:p>
    <w:p>
      <w:r>
        <w:t>Est assimilé à de la corruption tout avantage direct, indirect, différé, conditionnel ou non monétaire accordé à un décideur, à sa famille, à ses proches, à ses associés, à une entité liée ou à un futur employeur lorsque cet avantage peut influencer, récompenser, acheter, neutraliser ou orienter une décision publique.</w:t>
      </w:r>
    </w:p>
    <w:p>
      <w:r>
        <w:t>Sont notamment visés les cadeaux, repas, voyages, rabais, prêts avantageux, contrats, emplois futurs, nominations, contributions déguisées, services gratuits, invitations, promesses de carrière, avantages à des proches, dons à des fondations liées ou avantages fournis par un prête-nom.</w:t>
      </w:r>
    </w:p>
    <w:p>
      <w:pPr>
        <w:pStyle w:val="Heading2"/>
      </w:pPr>
      <w:r>
        <w:t>10. Proches, prête-noms et entités liées</w:t>
      </w:r>
    </w:p>
    <w:p>
      <w:r>
        <w:t>Les interdictions visant un élu, dirigeant, fonctionnaire, administrateur public, expert mandaté, membre d'un comité, responsable de contrat ou décideur public s'appliquent également aux personnes liées, prête-noms, sociétés contrôlées, fondations associées, partenaires d'affaires, membres de la famille immédiate et toute structure utilisée pour recevoir indirectement un avantage.</w:t>
      </w:r>
    </w:p>
    <w:p>
      <w:r>
        <w:t>La dissimulation par personne interposée constitue une faute aggravée.</w:t>
      </w:r>
    </w:p>
    <w:p>
      <w:pPr>
        <w:pStyle w:val="Heading2"/>
      </w:pPr>
      <w:r>
        <w:t>11. Registre public des intérêts</w:t>
      </w:r>
    </w:p>
    <w:p>
      <w:r>
        <w:t>Toute personne exerçant une fonction décisionnelle publique doit déclarer ses intérêts financiers, professionnels, familiaux, associatifs, contractuels et relationnels pertinents.</w:t>
      </w:r>
    </w:p>
    <w:p>
      <w:r>
        <w:t>Cette obligation vise les élus, ministres, hauts fonctionnaires, dirigeants de sociétés publiques, responsables de contrats, membres de comités de nomination, responsables électoraux, chefs de police, dirigeants d'autorités indépendantes, experts mandatés et toute personne exerçant une influence décisionnelle réelle.</w:t>
      </w:r>
    </w:p>
    <w:p>
      <w:r>
        <w:t>Une déclaration incomplète, fausse, tardive ou volontairement ambiguë entraîne suspension immédiate, enquête indépendante et sanctions.</w:t>
      </w:r>
    </w:p>
    <w:p>
      <w:pPr>
        <w:pStyle w:val="Heading2"/>
      </w:pPr>
      <w:r>
        <w:t>12. Décisions publiques non anonymes</w:t>
      </w:r>
    </w:p>
    <w:p>
      <w:r>
        <w:t>Toute décision publique doit identifier un décideur humain responsable.</w:t>
      </w:r>
    </w:p>
    <w:p>
      <w:r>
        <w:t>Les décisions anonymes, collectives sans responsable désigné, automatisées sans validation humaine, attribuées à une structure impersonnelle ou diluées par sous-traitance opaque sont nulles.</w:t>
      </w:r>
    </w:p>
    <w:p>
      <w:r>
        <w:t>Le fait d'agir par ordre, par comité, par algorithme, par sous-traitant ou par structure intermédiaire ne protège jamais contre la responsabilité personnelle.</w:t>
      </w:r>
    </w:p>
    <w:p>
      <w:pPr>
        <w:pStyle w:val="Heading2"/>
      </w:pPr>
      <w:r>
        <w:t>13. Nominations et indépendance des fonctions clés</w:t>
      </w:r>
    </w:p>
    <w:p>
      <w:r>
        <w:t>Toute nomination à une fonction indépendante doit être fondée sur des critères publics, une vérification d'intégrité, une audition publique lorsque nécessaire, une décision motivée, une durée de mandat limitée et un mécanisme de contestation.</w:t>
      </w:r>
    </w:p>
    <w:p>
      <w:r>
        <w:t>Aucune nomination ne peut servir à récompenser une loyauté partisane, une proximité personnelle, un service rendu, un financement indirect ou une obéissance idéologique.</w:t>
      </w:r>
    </w:p>
    <w:p>
      <w:r>
        <w:t>Les fonctions de juge, chef de police, responsable électoral, commissaire à l'éthique, vérificateur, enquêteur indépendant et dirigeant d'autorité de contrôle doivent être protégées contre la nomination discrétionnaire par le gouvernement seul.</w:t>
      </w:r>
    </w:p>
    <w:p>
      <w:pPr>
        <w:pStyle w:val="Heading2"/>
      </w:pPr>
      <w:r>
        <w:t>14. Enquêtes indépendantes</w:t>
      </w:r>
    </w:p>
    <w:p>
      <w:r>
        <w:t>Aucune institution ne peut enquêter seule sur ses propres fautes graves.</w:t>
      </w:r>
    </w:p>
    <w:p>
      <w:r>
        <w:t>Toute allégation impliquant une autorité publique doit être confiée à une autorité indépendante extérieure, civile, transparente et protégée contre les pressions politiques, administratives, policières, militaires, économiques ou médiatiques.</w:t>
      </w:r>
    </w:p>
    <w:p>
      <w:r>
        <w:t>Les fonctions d'enquête, de poursuite, de décision administrative et de jugement doivent demeurer séparées.</w:t>
      </w:r>
    </w:p>
    <w:p>
      <w:pPr>
        <w:pStyle w:val="Heading2"/>
      </w:pPr>
      <w:r>
        <w:t>15. Argent public et activités non essentielles</w:t>
      </w:r>
    </w:p>
    <w:p>
      <w:r>
        <w:t>L'interdiction de financer les activités non essentielles s'applique aux subventions, crédits d'impôt, garanties de prêt, commandites publiques, achats symboliques, contrats de visibilité, avances remboursables, fonds spéciaux, sociétés d'État, municipalités, MRC, organismes parapublics et toute structure équivalente.</w:t>
      </w:r>
    </w:p>
    <w:p>
      <w:r>
        <w:t>Aucun financement public ne peut être déguisé sous une autre forme pour financer des athlètes professionnels, équipes sportives privées, artistes commerciaux, festivals non essentiels, spectacles, productions privées, projets médiatiques privés, influenceurs ou activités de prestige.</w:t>
      </w:r>
    </w:p>
    <w:p>
      <w:r>
        <w:t>L'argent public sert d'abord les services essentiels, la protection des personnes, les infrastructures vitales, la justice, la sécurité, la santé, l'éducation fondamentale, l'eau, l'énergie, le logement essentiel, les communications critiques et la dette publique.</w:t>
      </w:r>
    </w:p>
    <w:p>
      <w:pPr>
        <w:pStyle w:val="Heading2"/>
      </w:pPr>
      <w:r>
        <w:t>16. Municipalités, MRC et paliers de proximité</w:t>
      </w:r>
    </w:p>
    <w:p>
      <w:r>
        <w:t>Aucune structure municipale, régionale, métropolitaine ou supralocale ne peut exercer un pouvoir supérieur aux citoyens locaux sans mandat clair, contrôle public, reddition de comptes, audit accessible et possibilité de révision démocratique.</w:t>
      </w:r>
    </w:p>
    <w:p>
      <w:r>
        <w:t>La proximité démocratique prime : tout pouvoir doit être exercé au niveau le plus proche des citoyens, sauf nécessité nationale démontrée, écrite et contrôlable.</w:t>
      </w:r>
    </w:p>
    <w:p>
      <w:pPr>
        <w:pStyle w:val="Heading2"/>
      </w:pPr>
      <w:r>
        <w:t>17. Crise, urgence et transition</w:t>
      </w:r>
    </w:p>
    <w:p>
      <w:r>
        <w:t>Aucune crise, urgence, transition, menace, pandémie, conflit, cyberattaque, perturbation économique, pression extérieure ou désordre administratif ne peut servir à suspendre indéfiniment les droits, reporter abusivement les élections, prolonger un mandat, gouverner par décret permanent ou affaiblir les contrôles indépendants.</w:t>
      </w:r>
    </w:p>
    <w:p>
      <w:r>
        <w:t>Toute mesure d'urgence doit être temporaire, nécessaire, proportionnée, publiée, contrôlée judiciairement, auditée après coup et automatiquement caduque à l'expiration du délai autorisé.</w:t>
      </w:r>
    </w:p>
    <w:p>
      <w:pPr>
        <w:pStyle w:val="Heading2"/>
      </w:pPr>
      <w:r>
        <w:t>18. Réponses officielles et langue de bois</w:t>
      </w:r>
    </w:p>
    <w:p>
      <w:r>
        <w:t>Toute réponse officielle doit être claire, complète, vérifiable et directement liée à la question posée.</w:t>
      </w:r>
    </w:p>
    <w:p>
      <w:r>
        <w:t>Le refus de répondre, l'évitement, la réponse vague, la justification non vérifiable, la statistique manipulée ou la communication destinée à noyer l'information constituent un manquement à la transparence publique.</w:t>
      </w:r>
    </w:p>
    <w:p>
      <w:pPr>
        <w:pStyle w:val="Heading2"/>
      </w:pPr>
      <w:r>
        <w:t>19. Archives, versions officielles et traçabilité</w:t>
      </w:r>
    </w:p>
    <w:p>
      <w:r>
        <w:t>Toute version officielle d'un document du projet, d'une loi, d'un règlement, d'un contrat, d'une décision publique ou d'un rapport d'audit doit être horodatée, numérotée, conservée et archivée.</w:t>
      </w:r>
    </w:p>
    <w:p>
      <w:r>
        <w:t>Toute modification doit laisser une trace indiquant l'auteur, la date, le motif, la version antérieure, la version nouvelle et les différences significatives.</w:t>
      </w:r>
    </w:p>
    <w:p>
      <w:r>
        <w:t>La falsification, la suppression ou la modification occulte d'une archive publique constitue une faute grave.</w:t>
      </w:r>
    </w:p>
    <w:p>
      <w:pPr>
        <w:pStyle w:val="Heading2"/>
      </w:pPr>
      <w:r>
        <w:t>20. Agriculture saine, OGM et souveraineté alimentaire</w:t>
      </w:r>
    </w:p>
    <w:p>
      <w:r>
        <w:t>Pour le Projet Nova, la santé du peuple, la qualité de l'eau, la protection des sols, la biodiversité, les pollinisateurs et l'autonomie alimentaire passent avant les intérêts des grandes multinationales agrochimiques.</w:t>
      </w:r>
    </w:p>
    <w:p>
      <w:r>
        <w:rPr>
          <w:b/>
        </w:rPr>
        <w:t>Toute forme d'OGM est interdite sur le territoire du Québec, tant dans la phase provinciale actuelle que dans le futur pays souverain. Cette interdiction vise notamment la culture, la production, la dissémination, l'ensemencement, l'importation pour culture, la commercialisation agricole et l'utilisation alimentaire ou animale d'organismes génétiquement modifiés.</w:t>
      </w:r>
    </w:p>
    <w:p>
      <w:r>
        <w:t>Aucun pesticide interdit, aucun OGM et aucune technologie agricole créant une dépendance envers des semences brevetées, produits chimiques contrôlés, plateformes technologiques privées ou grands intérêts agrochimiques ne peut être introduit, réintroduit, toléré ou financé par l'État.</w:t>
      </w:r>
    </w:p>
    <w:p>
      <w:r>
        <w:t>Le Québec soutient ses agriculteurs sans les rendre prisonniers d'un modèle contrôlé par les lobbys, brevets, contrats exclusifs, intrants obligatoires ou grandes corporations.</w:t>
      </w:r>
    </w:p>
    <w:p>
      <w:r>
        <w:t>Les principes applicables sont : précaution maximale, interdiction des OGM, transparence complète, traçabilité obligatoire, protection de l'agriculture locale, soutien aux semences libres et protection de l'autonomie alimentaire.</w:t>
      </w:r>
    </w:p>
    <w:p>
      <w:r>
        <w:t>Toute décision agricole ayant un impact sur la santé, l'eau, les sols, la biodiversité, les pollinisateurs ou l'autonomie alimentaire doit être précédée d'études indépendantes, publiques, contradictoires et libres de financement industriel direct ou indirect.</w:t>
      </w:r>
    </w:p>
    <w:p>
      <w:pPr>
        <w:pStyle w:val="Heading2"/>
      </w:pPr>
      <w:r>
        <w:t>21. Sanctions et responsabilité personnelle</w:t>
      </w:r>
    </w:p>
    <w:p>
      <w:r>
        <w:t>Toute personne qui conçoit, autorise, signe, applique, conseille, finance, camoufle ou tolère un contournement engage sa responsabilité personnelle, civile, administrative, politique et, lorsque requis, pénale.</w:t>
      </w:r>
    </w:p>
    <w:p>
      <w:r>
        <w:t>La bonne foi ne peut être invoquée lorsqu'une personne raisonnablement compétente devait savoir que l'effet réel de l'acte contournait une règle supérieure.</w:t>
      </w:r>
    </w:p>
    <w:p>
      <w:r>
        <w:t>Tout avantage obtenu par contournement est restitué, tout contrat abusif est résilié et toute décision contaminée est annulée.</w:t>
      </w:r>
    </w:p>
    <w:p>
      <w:pPr>
        <w:pStyle w:val="Heading1"/>
      </w:pPr>
      <w:r>
        <w:t>Risques résiduels et correctifs - V1.6</w:t>
      </w:r>
    </w:p>
    <w:tbl>
      <w:tblPr>
        <w:tblStyle w:val="TableGrid"/>
        <w:tblW w:type="auto" w:w="0"/>
        <w:tblLook w:firstColumn="1" w:firstRow="1" w:lastColumn="0" w:lastRow="0" w:noHBand="0" w:noVBand="1" w:val="04A0"/>
      </w:tblPr>
      <w:tblGrid>
        <w:gridCol w:w="3360"/>
        <w:gridCol w:w="3360"/>
        <w:gridCol w:w="3360"/>
      </w:tblGrid>
      <w:tr>
        <w:tc>
          <w:tcPr>
            <w:tcW w:type="dxa" w:w="3360"/>
            <w:shd w:fill="0B1F3A"/>
          </w:tcPr>
          <w:p>
            <w:r>
              <w:rPr>
                <w:color w:val="FFFFFF"/>
              </w:rPr>
              <w:t>Code</w:t>
            </w:r>
          </w:p>
        </w:tc>
        <w:tc>
          <w:tcPr>
            <w:tcW w:type="dxa" w:w="3360"/>
            <w:shd w:fill="0B1F3A"/>
          </w:tcPr>
          <w:p>
            <w:r>
              <w:rPr>
                <w:color w:val="FFFFFF"/>
              </w:rPr>
              <w:t>Risque</w:t>
            </w:r>
          </w:p>
        </w:tc>
        <w:tc>
          <w:tcPr>
            <w:tcW w:type="dxa" w:w="3360"/>
            <w:shd w:fill="0B1F3A"/>
          </w:tcPr>
          <w:p>
            <w:r>
              <w:rPr>
                <w:color w:val="FFFFFF"/>
              </w:rPr>
              <w:t>Correctif</w:t>
            </w:r>
          </w:p>
        </w:tc>
      </w:tr>
      <w:tr>
        <w:tc>
          <w:tcPr>
            <w:tcW w:type="dxa" w:w="3360"/>
          </w:tcPr>
          <w:p>
            <w:r>
              <w:t>R-17</w:t>
            </w:r>
          </w:p>
        </w:tc>
        <w:tc>
          <w:tcPr>
            <w:tcW w:type="dxa" w:w="3360"/>
          </w:tcPr>
          <w:p>
            <w:r>
              <w:t>Contournement par contrat, agence, fondation ou société d'État</w:t>
            </w:r>
          </w:p>
        </w:tc>
        <w:tc>
          <w:tcPr>
            <w:tcW w:type="dxa" w:w="3360"/>
          </w:tcPr>
          <w:p>
            <w:r>
              <w:t>Nullité d'effet réel; audit obligatoire; responsabilité personnelle du signataire et du bénéficiaire.</w:t>
            </w:r>
          </w:p>
        </w:tc>
      </w:tr>
      <w:tr>
        <w:tc>
          <w:tcPr>
            <w:tcW w:type="dxa" w:w="3360"/>
          </w:tcPr>
          <w:p>
            <w:r>
              <w:t>R-18</w:t>
            </w:r>
          </w:p>
        </w:tc>
        <w:tc>
          <w:tcPr>
            <w:tcW w:type="dxa" w:w="3360"/>
          </w:tcPr>
          <w:p>
            <w:r>
              <w:t>Interprétation abusive d'une exception vague</w:t>
            </w:r>
          </w:p>
        </w:tc>
        <w:tc>
          <w:tcPr>
            <w:tcW w:type="dxa" w:w="3360"/>
          </w:tcPr>
          <w:p>
            <w:r>
              <w:t>Exceptions écrites, limitées, temporaires, publiques et rattachées à une norme supérieure.</w:t>
            </w:r>
          </w:p>
        </w:tc>
      </w:tr>
      <w:tr>
        <w:tc>
          <w:tcPr>
            <w:tcW w:type="dxa" w:w="3360"/>
          </w:tcPr>
          <w:p>
            <w:r>
              <w:t>R-19</w:t>
            </w:r>
          </w:p>
        </w:tc>
        <w:tc>
          <w:tcPr>
            <w:tcW w:type="dxa" w:w="3360"/>
          </w:tcPr>
          <w:p>
            <w:r>
              <w:t>Corruption indirecte par proches, prête-noms ou avantages différés</w:t>
            </w:r>
          </w:p>
        </w:tc>
        <w:tc>
          <w:tcPr>
            <w:tcW w:type="dxa" w:w="3360"/>
          </w:tcPr>
          <w:p>
            <w:r>
              <w:t>Registre des intérêts, déclaration des proches, enquête indépendante, confiscation des avantages.</w:t>
            </w:r>
          </w:p>
        </w:tc>
      </w:tr>
      <w:tr>
        <w:tc>
          <w:tcPr>
            <w:tcW w:type="dxa" w:w="3360"/>
          </w:tcPr>
          <w:p>
            <w:r>
              <w:t>R-20</w:t>
            </w:r>
          </w:p>
        </w:tc>
        <w:tc>
          <w:tcPr>
            <w:tcW w:type="dxa" w:w="3360"/>
          </w:tcPr>
          <w:p>
            <w:r>
              <w:t>Financement public déguisé des activités non essentielles</w:t>
            </w:r>
          </w:p>
        </w:tc>
        <w:tc>
          <w:tcPr>
            <w:tcW w:type="dxa" w:w="3360"/>
          </w:tcPr>
          <w:p>
            <w:r>
              <w:t>Interdiction des subventions, crédits d'impôt, garanties, commandites et contrats de visibilité équivalents.</w:t>
            </w:r>
          </w:p>
        </w:tc>
      </w:tr>
      <w:tr>
        <w:tc>
          <w:tcPr>
            <w:tcW w:type="dxa" w:w="3360"/>
          </w:tcPr>
          <w:p>
            <w:r>
              <w:t>R-21</w:t>
            </w:r>
          </w:p>
        </w:tc>
        <w:tc>
          <w:tcPr>
            <w:tcW w:type="dxa" w:w="3360"/>
          </w:tcPr>
          <w:p>
            <w:r>
              <w:t>Capture par organismes municipaux, régionaux ou parapublics</w:t>
            </w:r>
          </w:p>
        </w:tc>
        <w:tc>
          <w:tcPr>
            <w:tcW w:type="dxa" w:w="3360"/>
          </w:tcPr>
          <w:p>
            <w:r>
              <w:t>Subsidiarité, audit local, mandat clair, contrôle citoyen et révision démocratique.</w:t>
            </w:r>
          </w:p>
        </w:tc>
      </w:tr>
      <w:tr>
        <w:tc>
          <w:tcPr>
            <w:tcW w:type="dxa" w:w="3360"/>
          </w:tcPr>
          <w:p>
            <w:r>
              <w:t>R-22</w:t>
            </w:r>
          </w:p>
        </w:tc>
        <w:tc>
          <w:tcPr>
            <w:tcW w:type="dxa" w:w="3360"/>
          </w:tcPr>
          <w:p>
            <w:r>
              <w:t>État d'urgence permanent ou gouvernance par décret</w:t>
            </w:r>
          </w:p>
        </w:tc>
        <w:tc>
          <w:tcPr>
            <w:tcW w:type="dxa" w:w="3360"/>
          </w:tcPr>
          <w:p>
            <w:r>
              <w:t>Durée maximale, contrôle judiciaire, caducité automatique et audit post-crise.</w:t>
            </w:r>
          </w:p>
        </w:tc>
      </w:tr>
      <w:tr>
        <w:tc>
          <w:tcPr>
            <w:tcW w:type="dxa" w:w="3360"/>
          </w:tcPr>
          <w:p>
            <w:r>
              <w:t>R-23</w:t>
            </w:r>
          </w:p>
        </w:tc>
        <w:tc>
          <w:tcPr>
            <w:tcW w:type="dxa" w:w="3360"/>
          </w:tcPr>
          <w:p>
            <w:r>
              <w:t>Réintroduction d'OGM, semences brevetées ou pesticides interdits</w:t>
            </w:r>
          </w:p>
        </w:tc>
        <w:tc>
          <w:tcPr>
            <w:tcW w:type="dxa" w:w="3360"/>
          </w:tcPr>
          <w:p>
            <w:r>
              <w:t>Interdiction territoriale des OGM; traçabilité agricole; études indépendantes; sanctions contre introduction ou dissémination.</w:t>
            </w:r>
          </w:p>
        </w:tc>
      </w:tr>
      <w:tr>
        <w:tc>
          <w:tcPr>
            <w:tcW w:type="dxa" w:w="3360"/>
          </w:tcPr>
          <w:p>
            <w:r>
              <w:t>R-24</w:t>
            </w:r>
          </w:p>
        </w:tc>
        <w:tc>
          <w:tcPr>
            <w:tcW w:type="dxa" w:w="3360"/>
          </w:tcPr>
          <w:p>
            <w:r>
              <w:t>Dépendance agricole envers des multinationales agrochimiques</w:t>
            </w:r>
          </w:p>
        </w:tc>
        <w:tc>
          <w:tcPr>
            <w:tcW w:type="dxa" w:w="3360"/>
          </w:tcPr>
          <w:p>
            <w:r>
              <w:t>Soutien aux semences libres, agriculture locale, transparence des contrats et interdiction des intrants imposés.</w:t>
            </w:r>
          </w:p>
        </w:tc>
      </w:tr>
    </w:tbl>
    <w:p>
      <w:r/>
    </w:p>
    <w:tbl>
      <w:tblPr>
        <w:tblStyle w:val="TableGrid"/>
        <w:tblW w:type="auto" w:w="0"/>
        <w:tblLook w:firstColumn="1" w:firstRow="1" w:lastColumn="0" w:lastRow="0" w:noHBand="0" w:noVBand="1" w:val="04A0"/>
      </w:tblPr>
      <w:tblGrid>
        <w:gridCol w:w="2520"/>
        <w:gridCol w:w="2520"/>
        <w:gridCol w:w="2520"/>
        <w:gridCol w:w="2520"/>
      </w:tblGrid>
      <w:tr>
        <w:tc>
          <w:tcPr>
            <w:tcW w:type="dxa" w:w="2520"/>
            <w:shd w:fill="D9EAD3"/>
          </w:tcPr>
          <w:p>
            <w:r>
              <w:t>Risque</w:t>
            </w:r>
          </w:p>
        </w:tc>
        <w:tc>
          <w:tcPr>
            <w:tcW w:type="dxa" w:w="2520"/>
            <w:shd w:fill="D9EAD3"/>
          </w:tcPr>
          <w:p>
            <w:r>
              <w:t>Impact</w:t>
            </w:r>
          </w:p>
        </w:tc>
        <w:tc>
          <w:tcPr>
            <w:tcW w:type="dxa" w:w="2520"/>
            <w:shd w:fill="D9EAD3"/>
          </w:tcPr>
          <w:p>
            <w:r>
              <w:t>Correctif V1.6</w:t>
            </w:r>
          </w:p>
        </w:tc>
        <w:tc>
          <w:tcPr>
            <w:tcW w:type="dxa" w:w="2520"/>
            <w:shd w:fill="D9EAD3"/>
          </w:tcPr>
          <w:p>
            <w:r>
              <w:t>Protection anti-abus</w:t>
            </w:r>
          </w:p>
        </w:tc>
      </w:tr>
      <w:tr>
        <w:tc>
          <w:tcPr>
            <w:tcW w:type="dxa" w:w="2520"/>
          </w:tcPr>
          <w:p>
            <w:r>
              <w:t>Maintien en fonction de decideurs inefficaces, negligents ou en rupture de confiance.</w:t>
            </w:r>
          </w:p>
        </w:tc>
        <w:tc>
          <w:tcPr>
            <w:tcW w:type="dxa" w:w="2520"/>
          </w:tcPr>
          <w:p>
            <w:r>
              <w:t>Perte de confiance, mauvaise gestion, paralysie administrative, gaspillage public et capture institutionnelle.</w:t>
            </w:r>
          </w:p>
        </w:tc>
        <w:tc>
          <w:tcPr>
            <w:tcW w:type="dxa" w:w="2520"/>
          </w:tcPr>
          <w:p>
            <w:r>
              <w:t>Mecanisme de revocation citoyenne : petition, seuil de signatures, verification independante, droit de reponse et vote citoyen.</w:t>
            </w:r>
          </w:p>
        </w:tc>
        <w:tc>
          <w:tcPr>
            <w:tcW w:type="dxa" w:w="2520"/>
          </w:tcPr>
          <w:p>
            <w:r>
              <w:t>Seuils suffisants, motifs serieux, interdiction des campagnes repetitives ou abusives, protection contre la vengeance politique.</w:t>
            </w:r>
          </w:p>
        </w:tc>
      </w:tr>
    </w:tbl>
    <w:p>
      <w:pPr>
        <w:pStyle w:val="Heading1"/>
      </w:pPr>
      <w:r>
        <w:t>Risques intégrés V1.6 - infrastructures et révocation citoyenne</w:t>
      </w:r>
    </w:p>
    <w:p>
      <w:pPr>
        <w:pStyle w:val="Heading2"/>
      </w:pPr>
      <w:r>
        <w:t>Risque - chantiers incomplets et dispersion des ressources</w:t>
      </w:r>
    </w:p>
    <w:p>
      <w:pPr>
        <w:spacing w:after="120"/>
      </w:pPr>
      <w:r>
        <w:t>Ouverture simultanée d'un trop grand nombre de projets, ralentissement général, coûts indirects, chantiers dormants, perte de confiance et nuisances permanentes.</w:t>
      </w:r>
    </w:p>
    <w:p>
      <w:pPr>
        <w:spacing w:after="120"/>
      </w:pPr>
      <w:r>
        <w:t>Correctif : priorisation des chantiers actifs, seuils d'ouverture de nouveaux chantiers, publication des échéanciers, travail continu lorsque justifié et audit des chantiers dormants.</w:t>
      </w:r>
    </w:p>
    <w:p>
      <w:pPr>
        <w:pStyle w:val="Heading2"/>
      </w:pPr>
      <w:r>
        <w:t>Risque - matériaux faibles ou choix au plus bas coût initial</w:t>
      </w:r>
    </w:p>
    <w:p>
      <w:pPr>
        <w:spacing w:after="120"/>
      </w:pPr>
      <w:r>
        <w:t>Détérioration prématurée, réparations constantes, mauvaise durabilité, gaspillage et transfert des coûts aux générations futures.</w:t>
      </w:r>
    </w:p>
    <w:p>
      <w:pPr>
        <w:spacing w:after="120"/>
      </w:pPr>
      <w:r>
        <w:t>Correctif : qualité supérieure, coût total de cycle de vie, garanties de performance, contrôle scientifique et interdiction des baisses de qualité non justifiées.</w:t>
      </w:r>
    </w:p>
    <w:p>
      <w:pPr>
        <w:pStyle w:val="Heading2"/>
      </w:pPr>
      <w:r>
        <w:t>Risque - décideurs inefficaces ou intouchables</w:t>
      </w:r>
    </w:p>
    <w:p>
      <w:pPr>
        <w:spacing w:after="120"/>
      </w:pPr>
      <w:r>
        <w:t>Maintien en poste de décideurs négligents, inefficaces, corrompus, opaques ou incapables de remplir leur mandat malgré une perte grave de confiance publique.</w:t>
      </w:r>
    </w:p>
    <w:p>
      <w:pPr>
        <w:spacing w:after="120"/>
      </w:pPr>
      <w:r>
        <w:t>Correctif : mécanisme de révocation citoyenne encadré, seuils de signatures, vérification indépendante, droit de réponse, vote citoyen et remplacement ordonné.</w:t>
      </w:r>
    </w:p>
    <w:p>
      <w:pPr>
        <w:pStyle w:val="Heading2"/>
      </w:pPr>
      <w:r>
        <w:t>Risque - usage abusif de la révocation</w:t>
      </w:r>
    </w:p>
    <w:p>
      <w:pPr>
        <w:spacing w:after="120"/>
      </w:pPr>
      <w:r>
        <w:t>Campagnes mensongères, pressions partisanes, vengeance politique, financement caché ou harcèlement institutionnel.</w:t>
      </w:r>
    </w:p>
    <w:p>
      <w:pPr>
        <w:spacing w:after="120"/>
      </w:pPr>
      <w:r>
        <w:t>Correctif : seuils suffisamment élevés, financement transparent, contrôle par une autorité indépendante, sanctions en cas de fraude ou de manipulation, protection du vote de conscience et des décisions légalement justifiées.</w:t>
      </w:r>
    </w:p>
    <w:sectPr w:rsidR="00FC693F" w:rsidRPr="0006063C" w:rsidSect="00034616">
      <w:footerReference w:type="default" r:id="rId9"/>
      <w:headerReference w:type="default" r:id="rId11"/>
      <w:headerReference w:type="first" r:id="rId12"/>
      <w:footerReference w:type="first" r:id="rId13"/>
      <w:headerReference w:type="even" r:id="rId14"/>
      <w:footerReference w:type="even" r:id="rId15"/>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Projet Nova - version officielle V1.6 intégrée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sz w:val="16"/>
      </w:rPr>
      <w:t>Projet Nova - V1.6 - Version officielle intégrée</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ptos"/>
      <w:color w:val="1E1E1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ptos Display"/>
      <w:b/>
      <w:bCs/>
      <w:color w:val="07183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ptos Display"/>
      <w:b/>
      <w:bCs/>
      <w:color w:val="005F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ptos Display"/>
      <w:b/>
      <w:bCs/>
      <w:color w:val="0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7183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NovaQuote">
    <w:name w:val="Nova Quote"/>
    <w:rPr>
      <w:rFonts w:ascii="Arial" w:hAnsi="Arial"/>
      <w:i/>
      <w:color w:val="005F73"/>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eader" Target="header1.xml"/><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Registre Risques</dc:title>
  <dc:subject/>
  <dc:creator>Projet Nova</dc:creator>
  <cp:keywords/>
  <dc:description>generated by python-docx</dc:description>
  <cp:lastModifiedBy>Projet Nova</cp:lastModifiedBy>
  <cp:revision>1</cp:revision>
  <dcterms:created xsi:type="dcterms:W3CDTF">2013-12-23T23:15:00Z</dcterms:created>
  <dcterms:modified xsi:type="dcterms:W3CDTF">2013-12-23T23:15:00Z</dcterms:modified>
  <cp:category/>
</cp:coreProperties>
</file>