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3320"/>
      </w:tblGrid>
      <w:tr>
        <w:tc>
          <w:tcPr>
            <w:tcW w:type="dxa" w:w="7416"/>
            <w:vAlign w:val="center"/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5276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(Constitution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276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center"/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cPr>
          <w:p>
            <w:pPr>
              <w:spacing w:after="0"/>
              <w:jc w:val="left"/>
            </w:pPr>
            <w:r>
              <w:rPr>
                <w:b/>
                <w:color w:val="111111"/>
                <w:sz w:val="32"/>
              </w:rPr>
              <w:t>PROJET NOVA - SYSTÈME NOVA EN 1 PAGE</w:t>
            </w:r>
          </w:p>
          <w:p>
            <w:pPr>
              <w:spacing w:before="0" w:after="40"/>
            </w:pPr>
            <w:r>
              <w:rPr>
                <w:b/>
                <w:color w:val="555555"/>
                <w:sz w:val="17"/>
              </w:rPr>
              <w:t>Résumé officiel public - architecture politique, démocratique, constitutionnelle et institutionnelle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32"/>
      </w:tblGrid>
      <w:tr>
        <w:tc>
          <w:tcPr>
            <w:tcW w:type="dxa" w:w="14832"/>
            <w:shd w:fill="EFEFEF"/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cPr>
          <w:p>
            <w:pPr>
              <w:spacing w:after="20"/>
              <w:jc w:val="center"/>
            </w:pPr>
            <w:r>
              <w:rPr>
                <w:b/>
                <w:color w:val="111111"/>
                <w:sz w:val="17"/>
              </w:rPr>
              <w:t xml:space="preserve">MISSION : </w:t>
            </w:r>
            <w:r>
              <w:rPr>
                <w:b w:val="0"/>
                <w:color w:val="222222"/>
                <w:sz w:val="16"/>
              </w:rPr>
              <w:t>redonner au peuple du Québec le pouvoir de voir, comprendre, décider, contrôler et corriger - dans un État plus transparent, plus responsable et préparé à la souveraineté.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  <w:gridCol w:w="4824"/>
      </w:tblGrid>
      <w:tr>
        <w:tc>
          <w:tcPr>
            <w:tcW w:type="dxa" w:w="4944"/>
            <w:vAlign w:val="top"/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D0D0D0"/>
            <w:insideV w:val="single" w:sz="4" w:space="0" w:color="D0D0D0"/>
          </w:tcPr>
          <w:p>
            <w:r/>
          </w:p>
          <w:p>
            <w:pPr>
              <w:spacing w:before="20" w:after="20"/>
            </w:pPr>
            <w:r>
              <w:rPr>
                <w:b/>
                <w:color w:val="000000"/>
                <w:sz w:val="17"/>
              </w:rPr>
              <w:t>POURQUOI LE SYSTÈME EXISTE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Changer la manière dont le pouvoir fonctionne, pas seulement changer les personnes au pouvoir.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Mettre fin à l’opacité, aux promesses vagues, aux dépenses invisibles et à la responsabilité diluée.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Préparer un Québec souverain sans improvisation, avec Constitution, lois, transition et garanties.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Protéger le citoyen contre la bureaucratie, les abus, la corruption et la capture du pouvoir.</w:t>
            </w:r>
          </w:p>
          <w:p>
            <w:pPr>
              <w:spacing w:before="20" w:after="20"/>
            </w:pPr>
            <w:r>
              <w:rPr>
                <w:b/>
                <w:color w:val="000000"/>
                <w:sz w:val="17"/>
              </w:rPr>
              <w:t>MÉTHODE NOVA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Auditer l’État.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Publier les dépenses, contrats et résultats.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Mesurer les délais et indicateurs.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Corriger les erreurs publiquement.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Simplifier les services.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Protéger le vote, les droits et les services essentiels.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Préparer la souveraineté.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Consulter et faire décider le peuple sur les grands enjeux.</w:t>
            </w:r>
          </w:p>
          <w:p>
            <w:pPr>
              <w:spacing w:before="20" w:after="20"/>
            </w:pPr>
            <w:r>
              <w:rPr>
                <w:b/>
                <w:color w:val="000000"/>
                <w:sz w:val="17"/>
              </w:rPr>
              <w:t>100 PREMIERS JOURS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Audit national de l’État.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Gel des dépenses de prestige.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Règle contre les avions privés aux frais des contribuables.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Registre public des dépenses et contrats.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Protection de l’autorité électorale indépendante.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État des lieux des services essentiels, de l’immigration, du numérique et des délais.</w:t>
            </w:r>
          </w:p>
        </w:tc>
        <w:tc>
          <w:tcPr>
            <w:tcW w:type="dxa" w:w="4944"/>
            <w:vAlign w:val="top"/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D0D0D0"/>
            <w:insideV w:val="single" w:sz="4" w:space="0" w:color="D0D0D0"/>
          </w:tcPr>
          <w:p>
            <w:r/>
          </w:p>
          <w:p>
            <w:pPr>
              <w:spacing w:before="20" w:after="20"/>
            </w:pPr>
            <w:r>
              <w:rPr>
                <w:b/>
                <w:color w:val="000000"/>
                <w:sz w:val="17"/>
              </w:rPr>
              <w:t>LES 12 PILIERS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Souveraineté populaire : le peuple au-dessus des appareils.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Indépendance du vote : le gouvernement ne contrôle pas l’arbitre électoral.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Transparence : l’État devient visible et vérifiable.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Responsabilité : chaque décideur doit rendre des comptes.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Limitation du pouvoir : Constitution, audits, droits et contre-pouvoirs.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Services essentiels : délais, indicateurs, plans de continuité.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Français : langue commune, nationale et institutionnelle.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Immigration responsable : seuils liés à la capacité d’accueil.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Économie productive : travail, PME, régions, énergie, innovation.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Souveraineté numérique : données, cybersécurité, IA encadrée.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Souveraineté du Québec : reprise de contrôle préparée.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Anti-capture : empêcher clans, chef, argent, bureaucratie ou intérêts de détourner le projet.</w:t>
            </w:r>
          </w:p>
          <w:p>
            <w:pPr>
              <w:spacing w:before="20" w:after="20"/>
            </w:pPr>
            <w:r>
              <w:rPr>
                <w:b/>
                <w:color w:val="000000"/>
                <w:sz w:val="17"/>
              </w:rPr>
              <w:t>CE QUE ÇA CHANGE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Le citoyen peut mieux voir où va son argent.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Les élus et ministères sont suivis par résultats.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Les services essentiels ne peuvent plus cacher leurs délais.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Les démarches administratives doivent être simplifiées.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Les données personnelles et l’accès humain sont protégés.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Les grandes décisions nationales passent par une décision populaire claire.</w:t>
            </w:r>
          </w:p>
        </w:tc>
        <w:tc>
          <w:tcPr>
            <w:tcW w:type="dxa" w:w="4944"/>
            <w:vAlign w:val="top"/>
            <w:top w:val="single" w:sz="4" w:space="0" w:color="D0D0D0"/>
            <w:left w:val="single" w:sz="4" w:space="0" w:color="D0D0D0"/>
            <w:bottom w:val="single" w:sz="4" w:space="0" w:color="D0D0D0"/>
            <w:right w:val="single" w:sz="4" w:space="0" w:color="D0D0D0"/>
            <w:insideH w:val="single" w:sz="4" w:space="0" w:color="D0D0D0"/>
            <w:insideV w:val="single" w:sz="4" w:space="0" w:color="D0D0D0"/>
          </w:tcPr>
          <w:p>
            <w:r/>
          </w:p>
          <w:p>
            <w:pPr>
              <w:spacing w:before="20" w:after="20"/>
            </w:pPr>
            <w:r>
              <w:rPr>
                <w:b/>
                <w:color w:val="000000"/>
                <w:sz w:val="17"/>
              </w:rPr>
              <w:t>ARCHITECTURE DOCUMENTAIRE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Constitution &amp; normes fondamentales.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Lois organiques, administratives et ordinaires.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Règlements &amp; application normative.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Outil de transition constitutionnelle.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Volets 1, 2 et 3 : Québec actuel, transition, pays souverain.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Dossier État &amp; corpus maître.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Table de concordance normative.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Registre des risques résiduels.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Audit de défense constitutionnelle.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Version publique simplifiée.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Code de conduite &amp; gouvernance interne.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3"/>
              </w:rPr>
              <w:t xml:space="preserve">• </w:t>
            </w:r>
            <w:r>
              <w:rPr>
                <w:b w:val="0"/>
                <w:color w:val="222222"/>
                <w:sz w:val="13"/>
              </w:rPr>
              <w:t>Programme électoral, manifeste, résumé exécutif et index maître.</w:t>
            </w:r>
          </w:p>
          <w:p>
            <w:pPr>
              <w:spacing w:before="20" w:after="20"/>
            </w:pPr>
            <w:r>
              <w:rPr>
                <w:b/>
                <w:color w:val="000000"/>
                <w:sz w:val="17"/>
              </w:rPr>
              <w:t>PHRASE CENTRALE</w:t>
            </w:r>
          </w:p>
          <w:p>
            <w:pPr>
              <w:spacing w:before="20" w:after="20"/>
            </w:pPr>
            <w:r>
              <w:rPr>
                <w:b/>
                <w:color w:val="111111"/>
                <w:sz w:val="16"/>
              </w:rPr>
              <w:t>Le Québec mérite un État qui ne craint pas le contrôle du peuple.</w:t>
            </w:r>
          </w:p>
          <w:p>
            <w:pPr>
              <w:spacing w:before="20" w:after="20"/>
            </w:pPr>
            <w:r>
              <w:rPr>
                <w:b/>
                <w:color w:val="000000"/>
                <w:sz w:val="17"/>
              </w:rPr>
              <w:t>FORMULE FINALE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Un peuple plus fort.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Un État plus transparent.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Des services plus responsables.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Un vote protégé.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Une souveraineté préparée.</w:t>
            </w:r>
          </w:p>
          <w:p>
            <w:pPr>
              <w:spacing w:after="0" w:before="0"/>
              <w:ind w:left="72" w:hanging="72"/>
            </w:pPr>
            <w:r>
              <w:rPr>
                <w:b/>
                <w:color w:val="222222"/>
                <w:sz w:val="14"/>
              </w:rPr>
              <w:t xml:space="preserve">• </w:t>
            </w:r>
            <w:r>
              <w:rPr>
                <w:b w:val="0"/>
                <w:color w:val="222222"/>
                <w:sz w:val="14"/>
              </w:rPr>
              <w:t>Un Québec capable de se gouverner lui-même.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832"/>
      </w:tblGrid>
      <w:tr>
        <w:tc>
          <w:tcPr>
            <w:tcW w:type="dxa" w:w="14832"/>
            <w:shd w:fill="F7F7F7"/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cPr>
          <w:p>
            <w:pPr>
              <w:spacing w:before="20" w:after="0"/>
              <w:jc w:val="center"/>
            </w:pPr>
            <w:r>
              <w:rPr>
                <w:b/>
                <w:color w:val="333333"/>
                <w:sz w:val="14"/>
              </w:rPr>
              <w:t>Document public de synthèse - à lire avec le Résumé exécutif officiel, le Manifeste, le Programme électoral et l’Index maître du Système Nova.</w:t>
            </w:r>
          </w:p>
        </w:tc>
      </w:tr>
    </w:tbl>
    <w:sectPr w:rsidR="00FC693F" w:rsidRPr="0006063C" w:rsidSect="00034616">
      <w:pgSz w:w="15840" w:h="12240" w:orient="landscape"/>
      <w:pgMar w:top="403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