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40"/>
      </w:tblGrid>
      <w:tr>
        <w:tc>
          <w:tcPr>
            <w:tcW w:type="dxa" w:w="10800"/>
            <w:shd w:fill="1F4E79"/>
          </w:tcPr>
          <w:p>
            <w:r/>
          </w:p>
        </w:tc>
      </w:tr>
    </w:tbl>
    <w:p>
      <w:pPr>
        <w:spacing w:after="40"/>
      </w:pP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914400" cy="850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 (Constitution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850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60"/>
        <w:jc w:val="center"/>
      </w:pPr>
      <w:r>
        <w:rPr>
          <w:b/>
          <w:color w:val="1F4E79"/>
          <w:sz w:val="36"/>
        </w:rPr>
        <w:t>PROJET NOVA</w:t>
      </w:r>
    </w:p>
    <w:p>
      <w:pPr>
        <w:spacing w:after="120"/>
        <w:jc w:val="center"/>
      </w:pPr>
      <w:r>
        <w:rPr>
          <w:color w:val="505050"/>
          <w:sz w:val="21"/>
        </w:rPr>
        <w:t>Nouvelle Opportunité vers l’Avenir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40"/>
      </w:tblGrid>
      <w:tr>
        <w:tc>
          <w:tcPr>
            <w:tcW w:type="dxa" w:w="10800"/>
            <w:shd w:fill="EAF2F8"/>
            <w:vAlign w:val="center"/>
          </w:tcPr>
          <w:p>
            <w:pPr>
              <w:spacing w:after="80" w:before="80"/>
              <w:jc w:val="center"/>
            </w:pPr>
            <w:r>
              <w:rPr>
                <w:b/>
                <w:color w:val="1F4E79"/>
                <w:sz w:val="20"/>
              </w:rPr>
              <w:t>Redonner le pouvoir au peuple. Reconstruire l’État. Préparer un Québec souverain.</w:t>
            </w:r>
          </w:p>
        </w:tc>
      </w:tr>
    </w:tbl>
    <w:p>
      <w:pPr>
        <w:spacing w:before="100" w:after="40"/>
      </w:pPr>
      <w:r>
        <w:rPr>
          <w:b/>
          <w:color w:val="1F4E79"/>
          <w:sz w:val="21"/>
        </w:rPr>
        <w:t>POURQUOI LE PROJET NOVA EXISTE</w:t>
      </w:r>
    </w:p>
    <w:p>
      <w:pPr>
        <w:spacing w:after="50" w:before="0" w:line="245" w:lineRule="auto"/>
      </w:pPr>
      <w:r>
        <w:rPr>
          <w:b w:val="0"/>
          <w:sz w:val="17"/>
        </w:rPr>
        <w:t>Le Projet Nova est un projet politique québécois en construction. Il vise à bâtir un Québec plus libre, plus transparent, plus responsable et capable de décider par lui-même.</w:t>
      </w:r>
    </w:p>
    <w:p>
      <w:pPr>
        <w:spacing w:after="50" w:before="0" w:line="245" w:lineRule="auto"/>
      </w:pPr>
      <w:r>
        <w:rPr>
          <w:b w:val="0"/>
          <w:sz w:val="17"/>
        </w:rPr>
        <w:t>Son objectif n’est pas seulement de remplacer un gouvernement par un autre. Il vise à changer la manière dont le pouvoir fonctionne : moins d’opacité, moins de privilèges, plus de contrôle citoyen, plus de responsabilité et une souveraineté préparée sérieusement.</w:t>
      </w:r>
    </w:p>
    <w:p>
      <w:pPr>
        <w:spacing w:before="100" w:after="40"/>
      </w:pPr>
      <w:r>
        <w:rPr>
          <w:b/>
          <w:color w:val="1F4E79"/>
          <w:sz w:val="21"/>
        </w:rPr>
        <w:t>LA MISSION</w:t>
      </w:r>
    </w:p>
    <w:p>
      <w:pPr>
        <w:pStyle w:val="ListBullet"/>
        <w:spacing w:after="16" w:line="240" w:lineRule="auto"/>
        <w:ind w:left="259" w:hanging="216"/>
      </w:pPr>
      <w:r>
        <w:rPr>
          <w:sz w:val="16"/>
        </w:rPr>
        <w:t>Remettre le peuple au centre des décisions publiques.</w:t>
      </w:r>
    </w:p>
    <w:p>
      <w:pPr>
        <w:pStyle w:val="ListBullet"/>
        <w:spacing w:after="16" w:line="240" w:lineRule="auto"/>
        <w:ind w:left="259" w:hanging="216"/>
      </w:pPr>
      <w:r>
        <w:rPr>
          <w:sz w:val="16"/>
        </w:rPr>
        <w:t>Protéger le vote contre toute influence gouvernementale.</w:t>
      </w:r>
    </w:p>
    <w:p>
      <w:pPr>
        <w:pStyle w:val="ListBullet"/>
        <w:spacing w:after="16" w:line="240" w:lineRule="auto"/>
        <w:ind w:left="259" w:hanging="216"/>
      </w:pPr>
      <w:r>
        <w:rPr>
          <w:sz w:val="16"/>
        </w:rPr>
        <w:t>Rendre les dépenses, contrats et résultats visibles.</w:t>
      </w:r>
    </w:p>
    <w:p>
      <w:pPr>
        <w:pStyle w:val="ListBullet"/>
        <w:spacing w:after="16" w:line="240" w:lineRule="auto"/>
        <w:ind w:left="259" w:hanging="216"/>
      </w:pPr>
      <w:r>
        <w:rPr>
          <w:sz w:val="16"/>
        </w:rPr>
        <w:t>Simplifier l’État et protéger l’accès humain aux services.</w:t>
      </w:r>
    </w:p>
    <w:p>
      <w:pPr>
        <w:pStyle w:val="ListBullet"/>
        <w:spacing w:after="16" w:line="240" w:lineRule="auto"/>
        <w:ind w:left="259" w:hanging="216"/>
      </w:pPr>
      <w:r>
        <w:rPr>
          <w:sz w:val="16"/>
        </w:rPr>
        <w:t>Défendre le français comme langue commune et nationale.</w:t>
      </w:r>
    </w:p>
    <w:p>
      <w:pPr>
        <w:pStyle w:val="ListBullet"/>
        <w:spacing w:after="16" w:line="240" w:lineRule="auto"/>
        <w:ind w:left="259" w:hanging="216"/>
      </w:pPr>
      <w:r>
        <w:rPr>
          <w:sz w:val="16"/>
        </w:rPr>
        <w:t>Contrôler l’immigration selon la capacité réelle d’accueil.</w:t>
      </w:r>
    </w:p>
    <w:p>
      <w:pPr>
        <w:pStyle w:val="ListBullet"/>
        <w:spacing w:after="16" w:line="240" w:lineRule="auto"/>
        <w:ind w:left="259" w:hanging="216"/>
      </w:pPr>
      <w:r>
        <w:rPr>
          <w:sz w:val="16"/>
        </w:rPr>
        <w:t>Préparer la souveraineté du Québec avec Constitution, lois et transition.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40"/>
      </w:tblGrid>
      <w:tr>
        <w:tc>
          <w:tcPr>
            <w:tcW w:type="dxa" w:w="10800"/>
            <w:shd w:fill="F2F2F2"/>
            <w:vAlign w:val="center"/>
          </w:tcPr>
          <w:p>
            <w:pPr>
              <w:spacing w:after="80" w:before="80"/>
              <w:jc w:val="center"/>
            </w:pPr>
            <w:r>
              <w:rPr>
                <w:b/>
                <w:color w:val="000000"/>
                <w:sz w:val="20"/>
              </w:rPr>
              <w:t>Le gouvernement doit servir le peuple, et non le contrôler.</w:t>
            </w:r>
          </w:p>
        </w:tc>
      </w:tr>
    </w:tbl>
    <w:p>
      <w:pPr>
        <w:sectPr>
          <w:footerReference w:type="default" r:id="rId9"/>
          <w:pgSz w:w="12240" w:h="15840"/>
          <w:pgMar w:top="605" w:right="720" w:bottom="605" w:left="720" w:header="317" w:footer="288" w:gutter="0"/>
          <w:cols w:space="720"/>
          <w:docGrid w:linePitch="360"/>
        </w:sect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40"/>
      </w:tblGrid>
      <w:tr>
        <w:tc>
          <w:tcPr>
            <w:tcW w:type="dxa" w:w="10800"/>
            <w:shd w:fill="1F4E79"/>
          </w:tcPr>
          <w:p>
            <w:r/>
          </w:p>
        </w:tc>
      </w:tr>
    </w:tbl>
    <w:p>
      <w:pPr>
        <w:spacing w:after="40"/>
      </w:pPr>
    </w:p>
    <w:p>
      <w:pPr>
        <w:spacing w:before="40" w:after="60"/>
        <w:jc w:val="center"/>
      </w:pPr>
      <w:r>
        <w:rPr>
          <w:b/>
          <w:color w:val="1F4E79"/>
          <w:sz w:val="36"/>
        </w:rPr>
        <w:t>LES 12 PILIERS DU SYSTÈME NOVA</w:t>
      </w:r>
    </w:p>
    <w:p>
      <w:pPr>
        <w:spacing w:after="120"/>
        <w:jc w:val="center"/>
      </w:pPr>
      <w:r>
        <w:rPr>
          <w:color w:val="505050"/>
          <w:sz w:val="21"/>
        </w:rPr>
        <w:t>Une architecture complète pour un État plus responsable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400"/>
            <w:shd w:fill="1F4E79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Pilier</w:t>
            </w:r>
          </w:p>
        </w:tc>
        <w:tc>
          <w:tcPr>
            <w:tcW w:type="dxa" w:w="5400"/>
            <w:shd w:fill="1F4E79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Ce que ça veut dire</w:t>
            </w:r>
          </w:p>
        </w:tc>
      </w:tr>
      <w:tr>
        <w:tc>
          <w:tcPr>
            <w:tcW w:type="dxa" w:w="5400"/>
            <w:shd w:fill="F7F9FB"/>
          </w:tcPr>
          <w:p>
            <w:pPr>
              <w:spacing w:after="0" w:before="0"/>
            </w:pPr>
            <w:r/>
            <w:r>
              <w:rPr>
                <w:b/>
                <w:color w:val="000000"/>
                <w:sz w:val="16"/>
              </w:rPr>
              <w:t>1. Souveraineté populaire</w:t>
            </w:r>
          </w:p>
        </w:tc>
        <w:tc>
          <w:tcPr>
            <w:tcW w:type="dxa" w:w="5400"/>
            <w:shd w:fill="F7F9FB"/>
          </w:tcPr>
          <w:p>
            <w:pPr>
              <w:spacing w:after="0" w:before="0"/>
            </w:pPr>
            <w:r/>
            <w:r>
              <w:rPr>
                <w:b w:val="0"/>
                <w:color w:val="000000"/>
                <w:sz w:val="16"/>
              </w:rPr>
              <w:t>Le pouvoir appartient au peuple; les élus reçoivent un mandat temporaire.</w:t>
            </w:r>
          </w:p>
        </w:tc>
      </w:tr>
      <w:tr>
        <w:tc>
          <w:tcPr>
            <w:tcW w:type="dxa" w:w="5400"/>
            <w:shd w:fill="FFFFFF"/>
          </w:tcPr>
          <w:p>
            <w:pPr>
              <w:spacing w:after="0" w:before="0"/>
            </w:pPr>
            <w:r/>
            <w:r>
              <w:rPr>
                <w:b/>
                <w:color w:val="000000"/>
                <w:sz w:val="16"/>
              </w:rPr>
              <w:t>2. Vote indépendant</w:t>
            </w:r>
          </w:p>
        </w:tc>
        <w:tc>
          <w:tcPr>
            <w:tcW w:type="dxa" w:w="5400"/>
            <w:shd w:fill="FFFFFF"/>
          </w:tcPr>
          <w:p>
            <w:pPr>
              <w:spacing w:after="0" w:before="0"/>
            </w:pPr>
            <w:r/>
            <w:r>
              <w:rPr>
                <w:b w:val="0"/>
                <w:color w:val="000000"/>
                <w:sz w:val="16"/>
              </w:rPr>
              <w:t>L’arbitre électoral doit être protégé du gouvernement et des partis.</w:t>
            </w:r>
          </w:p>
        </w:tc>
      </w:tr>
      <w:tr>
        <w:tc>
          <w:tcPr>
            <w:tcW w:type="dxa" w:w="5400"/>
            <w:shd w:fill="F7F9FB"/>
          </w:tcPr>
          <w:p>
            <w:pPr>
              <w:spacing w:after="0" w:before="0"/>
            </w:pPr>
            <w:r/>
            <w:r>
              <w:rPr>
                <w:b/>
                <w:color w:val="000000"/>
                <w:sz w:val="16"/>
              </w:rPr>
              <w:t>3. Transparence</w:t>
            </w:r>
          </w:p>
        </w:tc>
        <w:tc>
          <w:tcPr>
            <w:tcW w:type="dxa" w:w="5400"/>
            <w:shd w:fill="F7F9FB"/>
          </w:tcPr>
          <w:p>
            <w:pPr>
              <w:spacing w:after="0" w:before="0"/>
            </w:pPr>
            <w:r/>
            <w:r>
              <w:rPr>
                <w:b w:val="0"/>
                <w:color w:val="000000"/>
                <w:sz w:val="16"/>
              </w:rPr>
              <w:t>Dépenses, contrats, subventions, délais et résultats doivent être visibles.</w:t>
            </w:r>
          </w:p>
        </w:tc>
      </w:tr>
      <w:tr>
        <w:tc>
          <w:tcPr>
            <w:tcW w:type="dxa" w:w="5400"/>
            <w:shd w:fill="FFFFFF"/>
          </w:tcPr>
          <w:p>
            <w:pPr>
              <w:spacing w:after="0" w:before="0"/>
            </w:pPr>
            <w:r/>
            <w:r>
              <w:rPr>
                <w:b/>
                <w:color w:val="000000"/>
                <w:sz w:val="16"/>
              </w:rPr>
              <w:t>4. Responsabilité</w:t>
            </w:r>
          </w:p>
        </w:tc>
        <w:tc>
          <w:tcPr>
            <w:tcW w:type="dxa" w:w="5400"/>
            <w:shd w:fill="FFFFFF"/>
          </w:tcPr>
          <w:p>
            <w:pPr>
              <w:spacing w:after="0" w:before="0"/>
            </w:pPr>
            <w:r/>
            <w:r>
              <w:rPr>
                <w:b w:val="0"/>
                <w:color w:val="000000"/>
                <w:sz w:val="16"/>
              </w:rPr>
              <w:t>Chaque décideur doit pouvoir rendre des comptes sur ses actes.</w:t>
            </w:r>
          </w:p>
        </w:tc>
      </w:tr>
      <w:tr>
        <w:tc>
          <w:tcPr>
            <w:tcW w:type="dxa" w:w="5400"/>
            <w:shd w:fill="F7F9FB"/>
          </w:tcPr>
          <w:p>
            <w:pPr>
              <w:spacing w:after="0" w:before="0"/>
            </w:pPr>
            <w:r/>
            <w:r>
              <w:rPr>
                <w:b/>
                <w:color w:val="000000"/>
                <w:sz w:val="16"/>
              </w:rPr>
              <w:t>5. Limitation du pouvoir</w:t>
            </w:r>
          </w:p>
        </w:tc>
        <w:tc>
          <w:tcPr>
            <w:tcW w:type="dxa" w:w="5400"/>
            <w:shd w:fill="F7F9FB"/>
          </w:tcPr>
          <w:p>
            <w:pPr>
              <w:spacing w:after="0" w:before="0"/>
            </w:pPr>
            <w:r/>
            <w:r>
              <w:rPr>
                <w:b w:val="0"/>
                <w:color w:val="000000"/>
                <w:sz w:val="16"/>
              </w:rPr>
              <w:t>Constitution, contre-pouvoirs, audits et droits limitent les abus.</w:t>
            </w:r>
          </w:p>
        </w:tc>
      </w:tr>
      <w:tr>
        <w:tc>
          <w:tcPr>
            <w:tcW w:type="dxa" w:w="5400"/>
            <w:shd w:fill="FFFFFF"/>
          </w:tcPr>
          <w:p>
            <w:pPr>
              <w:spacing w:after="0" w:before="0"/>
            </w:pPr>
            <w:r/>
            <w:r>
              <w:rPr>
                <w:b/>
                <w:color w:val="000000"/>
                <w:sz w:val="16"/>
              </w:rPr>
              <w:t>6. Services essentiels</w:t>
            </w:r>
          </w:p>
        </w:tc>
        <w:tc>
          <w:tcPr>
            <w:tcW w:type="dxa" w:w="5400"/>
            <w:shd w:fill="FFFFFF"/>
          </w:tcPr>
          <w:p>
            <w:pPr>
              <w:spacing w:after="0" w:before="0"/>
            </w:pPr>
            <w:r/>
            <w:r>
              <w:rPr>
                <w:b w:val="0"/>
                <w:color w:val="000000"/>
                <w:sz w:val="15"/>
              </w:rPr>
              <w:t>Santé, éducation, justice, énergie, logement et infrastructures doivent être protégés.</w:t>
            </w:r>
          </w:p>
        </w:tc>
      </w:tr>
      <w:tr>
        <w:tc>
          <w:tcPr>
            <w:tcW w:type="dxa" w:w="5400"/>
            <w:shd w:fill="F7F9FB"/>
          </w:tcPr>
          <w:p>
            <w:pPr>
              <w:spacing w:after="0" w:before="0"/>
            </w:pPr>
            <w:r/>
            <w:r>
              <w:rPr>
                <w:b/>
                <w:color w:val="000000"/>
                <w:sz w:val="16"/>
              </w:rPr>
              <w:t>7. Français</w:t>
            </w:r>
          </w:p>
        </w:tc>
        <w:tc>
          <w:tcPr>
            <w:tcW w:type="dxa" w:w="5400"/>
            <w:shd w:fill="F7F9FB"/>
          </w:tcPr>
          <w:p>
            <w:pPr>
              <w:spacing w:after="0" w:before="0"/>
            </w:pPr>
            <w:r/>
            <w:r>
              <w:rPr>
                <w:b w:val="0"/>
                <w:color w:val="000000"/>
                <w:sz w:val="16"/>
              </w:rPr>
              <w:t>Le français doit rester la langue commune, publique et nationale du Québec.</w:t>
            </w:r>
          </w:p>
        </w:tc>
      </w:tr>
      <w:tr>
        <w:tc>
          <w:tcPr>
            <w:tcW w:type="dxa" w:w="5400"/>
            <w:shd w:fill="FFFFFF"/>
          </w:tcPr>
          <w:p>
            <w:pPr>
              <w:spacing w:after="0" w:before="0"/>
            </w:pPr>
            <w:r/>
            <w:r>
              <w:rPr>
                <w:b/>
                <w:color w:val="000000"/>
                <w:sz w:val="16"/>
              </w:rPr>
              <w:t>8. Immigration responsable</w:t>
            </w:r>
          </w:p>
        </w:tc>
        <w:tc>
          <w:tcPr>
            <w:tcW w:type="dxa" w:w="5400"/>
            <w:shd w:fill="FFFFFF"/>
          </w:tcPr>
          <w:p>
            <w:pPr>
              <w:spacing w:after="0" w:before="0"/>
            </w:pPr>
            <w:r/>
            <w:r>
              <w:rPr>
                <w:b w:val="0"/>
                <w:color w:val="000000"/>
                <w:sz w:val="15"/>
              </w:rPr>
              <w:t>Les seuils doivent suivre logement, santé, écoles, francisation et cohésion sociale.</w:t>
            </w:r>
          </w:p>
        </w:tc>
      </w:tr>
      <w:tr>
        <w:tc>
          <w:tcPr>
            <w:tcW w:type="dxa" w:w="5400"/>
            <w:shd w:fill="F7F9FB"/>
          </w:tcPr>
          <w:p>
            <w:pPr>
              <w:spacing w:after="0" w:before="0"/>
            </w:pPr>
            <w:r/>
            <w:r>
              <w:rPr>
                <w:b/>
                <w:color w:val="000000"/>
                <w:sz w:val="16"/>
              </w:rPr>
              <w:t>9. Économie productive</w:t>
            </w:r>
          </w:p>
        </w:tc>
        <w:tc>
          <w:tcPr>
            <w:tcW w:type="dxa" w:w="5400"/>
            <w:shd w:fill="F7F9FB"/>
          </w:tcPr>
          <w:p>
            <w:pPr>
              <w:spacing w:after="0" w:before="0"/>
            </w:pPr>
            <w:r/>
            <w:r>
              <w:rPr>
                <w:b w:val="0"/>
                <w:color w:val="000000"/>
                <w:sz w:val="15"/>
              </w:rPr>
              <w:t>Travail, PME, métiers, régions, agriculture, industrie et innovation doivent être valorisés.</w:t>
            </w:r>
          </w:p>
        </w:tc>
      </w:tr>
      <w:tr>
        <w:tc>
          <w:tcPr>
            <w:tcW w:type="dxa" w:w="5400"/>
            <w:shd w:fill="FFFFFF"/>
          </w:tcPr>
          <w:p>
            <w:pPr>
              <w:spacing w:after="0" w:before="0"/>
            </w:pPr>
            <w:r/>
            <w:r>
              <w:rPr>
                <w:b/>
                <w:color w:val="000000"/>
                <w:sz w:val="16"/>
              </w:rPr>
              <w:t>10. Souveraineté numérique</w:t>
            </w:r>
          </w:p>
        </w:tc>
        <w:tc>
          <w:tcPr>
            <w:tcW w:type="dxa" w:w="5400"/>
            <w:shd w:fill="FFFFFF"/>
          </w:tcPr>
          <w:p>
            <w:pPr>
              <w:spacing w:after="0" w:before="0"/>
            </w:pPr>
            <w:r/>
            <w:r>
              <w:rPr>
                <w:b w:val="0"/>
                <w:color w:val="000000"/>
                <w:sz w:val="15"/>
              </w:rPr>
              <w:t>Les données, systèmes publics et décisions automatisées doivent être contrôlés.</w:t>
            </w:r>
          </w:p>
        </w:tc>
      </w:tr>
      <w:tr>
        <w:tc>
          <w:tcPr>
            <w:tcW w:type="dxa" w:w="5400"/>
            <w:shd w:fill="F7F9FB"/>
          </w:tcPr>
          <w:p>
            <w:pPr>
              <w:spacing w:after="0" w:before="0"/>
            </w:pPr>
            <w:r/>
            <w:r>
              <w:rPr>
                <w:b/>
                <w:color w:val="000000"/>
                <w:sz w:val="16"/>
              </w:rPr>
              <w:t>11. Québec souverain</w:t>
            </w:r>
          </w:p>
        </w:tc>
        <w:tc>
          <w:tcPr>
            <w:tcW w:type="dxa" w:w="5400"/>
            <w:shd w:fill="F7F9FB"/>
          </w:tcPr>
          <w:p>
            <w:pPr>
              <w:spacing w:after="0" w:before="0"/>
            </w:pPr>
            <w:r/>
            <w:r>
              <w:rPr>
                <w:b w:val="0"/>
                <w:color w:val="000000"/>
                <w:sz w:val="16"/>
              </w:rPr>
              <w:t>La souveraineté doit être préparée, expliquée et soumise au peuple.</w:t>
            </w:r>
          </w:p>
        </w:tc>
      </w:tr>
      <w:tr>
        <w:tc>
          <w:tcPr>
            <w:tcW w:type="dxa" w:w="5400"/>
            <w:shd w:fill="FFFFFF"/>
          </w:tcPr>
          <w:p>
            <w:pPr>
              <w:spacing w:after="0" w:before="0"/>
            </w:pPr>
            <w:r/>
            <w:r>
              <w:rPr>
                <w:b/>
                <w:color w:val="000000"/>
                <w:sz w:val="16"/>
              </w:rPr>
              <w:t>12. Anti-capture</w:t>
            </w:r>
          </w:p>
        </w:tc>
        <w:tc>
          <w:tcPr>
            <w:tcW w:type="dxa" w:w="5400"/>
            <w:shd w:fill="FFFFFF"/>
          </w:tcPr>
          <w:p>
            <w:pPr>
              <w:spacing w:after="0" w:before="0"/>
            </w:pPr>
            <w:r/>
            <w:r>
              <w:rPr>
                <w:b w:val="0"/>
                <w:color w:val="000000"/>
                <w:sz w:val="15"/>
              </w:rPr>
              <w:t>Le système doit résister aux clans, privilèges, corruption et culte du chef.</w:t>
            </w:r>
          </w:p>
        </w:tc>
      </w:tr>
    </w:tbl>
    <w:p>
      <w:pPr>
        <w:spacing w:before="100" w:after="40"/>
      </w:pPr>
      <w:r>
        <w:rPr>
          <w:b/>
          <w:color w:val="1F4E79"/>
          <w:sz w:val="21"/>
        </w:rPr>
        <w:t>LA MÉTHODE NOVA</w:t>
      </w:r>
    </w:p>
    <w:p>
      <w:pPr>
        <w:spacing w:after="50" w:before="0" w:line="245" w:lineRule="auto"/>
        <w:jc w:val="center"/>
      </w:pPr>
      <w:r>
        <w:rPr>
          <w:b/>
          <w:sz w:val="18"/>
        </w:rPr>
        <w:t>Auditer - Publier - Mesurer - Corriger - Simplifier - Protéger - Préparer - Consulter.</w:t>
      </w:r>
    </w:p>
    <w:p>
      <w:pPr>
        <w:sectPr>
          <w:footerReference w:type="default" r:id="rId11"/>
          <w:pgSz w:w="12240" w:h="15840"/>
          <w:pgMar w:top="605" w:right="720" w:bottom="605" w:left="720" w:header="317" w:footer="288" w:gutter="0"/>
          <w:cols w:space="720"/>
          <w:docGrid w:linePitch="360"/>
        </w:sect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40"/>
      </w:tblGrid>
      <w:tr>
        <w:tc>
          <w:tcPr>
            <w:tcW w:type="dxa" w:w="10800"/>
            <w:shd w:fill="1F4E79"/>
          </w:tcPr>
          <w:p>
            <w:r/>
          </w:p>
        </w:tc>
      </w:tr>
    </w:tbl>
    <w:p>
      <w:pPr>
        <w:spacing w:after="40"/>
      </w:pPr>
    </w:p>
    <w:p>
      <w:pPr>
        <w:spacing w:before="40" w:after="60"/>
        <w:jc w:val="center"/>
      </w:pPr>
      <w:r>
        <w:rPr>
          <w:b/>
          <w:color w:val="1F4E79"/>
          <w:sz w:val="36"/>
        </w:rPr>
        <w:t>CE QUE ÇA CHANGE CONCRÈTEMENT</w:t>
      </w:r>
    </w:p>
    <w:p>
      <w:pPr>
        <w:spacing w:after="120"/>
        <w:jc w:val="center"/>
      </w:pPr>
      <w:r>
        <w:rPr>
          <w:color w:val="505050"/>
          <w:sz w:val="21"/>
        </w:rPr>
        <w:t>Des effets visibles dans la vie des citoyens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400"/>
            <w:shd w:fill="1F4E79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Domaine</w:t>
            </w:r>
          </w:p>
        </w:tc>
        <w:tc>
          <w:tcPr>
            <w:tcW w:type="dxa" w:w="5400"/>
            <w:shd w:fill="1F4E79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Changement concret</w:t>
            </w:r>
          </w:p>
        </w:tc>
      </w:tr>
      <w:tr>
        <w:tc>
          <w:tcPr>
            <w:tcW w:type="dxa" w:w="5400"/>
            <w:shd w:fill="F7F9FB"/>
          </w:tcPr>
          <w:p>
            <w:pPr>
              <w:spacing w:after="0" w:before="0"/>
            </w:pPr>
            <w:r/>
            <w:r>
              <w:rPr>
                <w:b/>
                <w:color w:val="000000"/>
                <w:sz w:val="16"/>
              </w:rPr>
              <w:t>État plus visible</w:t>
            </w:r>
          </w:p>
        </w:tc>
        <w:tc>
          <w:tcPr>
            <w:tcW w:type="dxa" w:w="5400"/>
            <w:shd w:fill="F7F9FB"/>
          </w:tcPr>
          <w:p>
            <w:pPr>
              <w:spacing w:after="0" w:before="0"/>
            </w:pPr>
            <w:r/>
            <w:r>
              <w:rPr>
                <w:b w:val="0"/>
                <w:color w:val="000000"/>
                <w:sz w:val="15"/>
              </w:rPr>
              <w:t>Les citoyens peuvent suivre les dépenses, contrats, subventions, délais et résultats.</w:t>
            </w:r>
          </w:p>
        </w:tc>
      </w:tr>
      <w:tr>
        <w:tc>
          <w:tcPr>
            <w:tcW w:type="dxa" w:w="5400"/>
            <w:shd w:fill="FFFFFF"/>
          </w:tcPr>
          <w:p>
            <w:pPr>
              <w:spacing w:after="0" w:before="0"/>
            </w:pPr>
            <w:r/>
            <w:r>
              <w:rPr>
                <w:b/>
                <w:color w:val="000000"/>
                <w:sz w:val="16"/>
              </w:rPr>
              <w:t>Vote mieux protégé</w:t>
            </w:r>
          </w:p>
        </w:tc>
        <w:tc>
          <w:tcPr>
            <w:tcW w:type="dxa" w:w="5400"/>
            <w:shd w:fill="FFFFFF"/>
          </w:tcPr>
          <w:p>
            <w:pPr>
              <w:spacing w:after="0" w:before="0"/>
            </w:pPr>
            <w:r/>
            <w:r>
              <w:rPr>
                <w:b w:val="0"/>
                <w:color w:val="000000"/>
                <w:sz w:val="15"/>
              </w:rPr>
              <w:t>Les élections et référendums relèvent d’une autorité indépendante, non du gouvernement.</w:t>
            </w:r>
          </w:p>
        </w:tc>
      </w:tr>
      <w:tr>
        <w:tc>
          <w:tcPr>
            <w:tcW w:type="dxa" w:w="5400"/>
            <w:shd w:fill="F7F9FB"/>
          </w:tcPr>
          <w:p>
            <w:pPr>
              <w:spacing w:after="0" w:before="0"/>
            </w:pPr>
            <w:r/>
            <w:r>
              <w:rPr>
                <w:b/>
                <w:color w:val="000000"/>
                <w:sz w:val="16"/>
              </w:rPr>
              <w:t>Services suivis</w:t>
            </w:r>
          </w:p>
        </w:tc>
        <w:tc>
          <w:tcPr>
            <w:tcW w:type="dxa" w:w="5400"/>
            <w:shd w:fill="F7F9FB"/>
          </w:tcPr>
          <w:p>
            <w:pPr>
              <w:spacing w:after="0" w:before="0"/>
            </w:pPr>
            <w:r/>
            <w:r>
              <w:rPr>
                <w:b w:val="0"/>
                <w:color w:val="000000"/>
                <w:sz w:val="15"/>
              </w:rPr>
              <w:t>Les services essentiels doivent publier leurs délais, responsables et correctifs.</w:t>
            </w:r>
          </w:p>
        </w:tc>
      </w:tr>
      <w:tr>
        <w:tc>
          <w:tcPr>
            <w:tcW w:type="dxa" w:w="5400"/>
            <w:shd w:fill="FFFFFF"/>
          </w:tcPr>
          <w:p>
            <w:pPr>
              <w:spacing w:after="0" w:before="0"/>
            </w:pPr>
            <w:r/>
            <w:r>
              <w:rPr>
                <w:b/>
                <w:color w:val="000000"/>
                <w:sz w:val="16"/>
              </w:rPr>
              <w:t>Accès humain</w:t>
            </w:r>
          </w:p>
        </w:tc>
        <w:tc>
          <w:tcPr>
            <w:tcW w:type="dxa" w:w="5400"/>
            <w:shd w:fill="FFFFFF"/>
          </w:tcPr>
          <w:p>
            <w:pPr>
              <w:spacing w:after="0" w:before="0"/>
            </w:pPr>
            <w:r/>
            <w:r>
              <w:rPr>
                <w:b w:val="0"/>
                <w:color w:val="000000"/>
                <w:sz w:val="15"/>
              </w:rPr>
              <w:t>Le numérique ne doit pas remplacer entièrement une vraie personne pour les services importants.</w:t>
            </w:r>
          </w:p>
        </w:tc>
      </w:tr>
      <w:tr>
        <w:tc>
          <w:tcPr>
            <w:tcW w:type="dxa" w:w="5400"/>
            <w:shd w:fill="F7F9FB"/>
          </w:tcPr>
          <w:p>
            <w:pPr>
              <w:spacing w:after="0" w:before="0"/>
            </w:pPr>
            <w:r/>
            <w:r>
              <w:rPr>
                <w:b/>
                <w:color w:val="000000"/>
                <w:sz w:val="16"/>
              </w:rPr>
              <w:t>Argent public respecté</w:t>
            </w:r>
          </w:p>
        </w:tc>
        <w:tc>
          <w:tcPr>
            <w:tcW w:type="dxa" w:w="5400"/>
            <w:shd w:fill="F7F9FB"/>
          </w:tcPr>
          <w:p>
            <w:pPr>
              <w:spacing w:after="0" w:before="0"/>
            </w:pPr>
            <w:r/>
            <w:r>
              <w:rPr>
                <w:b w:val="0"/>
                <w:color w:val="000000"/>
                <w:sz w:val="15"/>
              </w:rPr>
              <w:t>Dépenses de prestige limitées, avions privés interdits sauf nécessité exceptionnelle.</w:t>
            </w:r>
          </w:p>
        </w:tc>
      </w:tr>
      <w:tr>
        <w:tc>
          <w:tcPr>
            <w:tcW w:type="dxa" w:w="5400"/>
            <w:shd w:fill="FFFFFF"/>
          </w:tcPr>
          <w:p>
            <w:pPr>
              <w:spacing w:after="0" w:before="0"/>
            </w:pPr>
            <w:r/>
            <w:r>
              <w:rPr>
                <w:b/>
                <w:color w:val="000000"/>
                <w:sz w:val="16"/>
              </w:rPr>
              <w:t>Administration simplifiée</w:t>
            </w:r>
          </w:p>
        </w:tc>
        <w:tc>
          <w:tcPr>
            <w:tcW w:type="dxa" w:w="5400"/>
            <w:shd w:fill="FFFFFF"/>
          </w:tcPr>
          <w:p>
            <w:pPr>
              <w:spacing w:after="0" w:before="0"/>
            </w:pPr>
            <w:r/>
            <w:r>
              <w:rPr>
                <w:b w:val="0"/>
                <w:color w:val="000000"/>
                <w:sz w:val="15"/>
              </w:rPr>
              <w:t>Moins de formulaires inutiles, de délais excessifs et de procédures contradictoires.</w:t>
            </w:r>
          </w:p>
        </w:tc>
      </w:tr>
      <w:tr>
        <w:tc>
          <w:tcPr>
            <w:tcW w:type="dxa" w:w="5400"/>
            <w:shd w:fill="F7F9FB"/>
          </w:tcPr>
          <w:p>
            <w:pPr>
              <w:spacing w:after="0" w:before="0"/>
            </w:pPr>
            <w:r/>
            <w:r>
              <w:rPr>
                <w:b/>
                <w:color w:val="000000"/>
                <w:sz w:val="16"/>
              </w:rPr>
              <w:t>Économie libérée</w:t>
            </w:r>
          </w:p>
        </w:tc>
        <w:tc>
          <w:tcPr>
            <w:tcW w:type="dxa" w:w="5400"/>
            <w:shd w:fill="F7F9FB"/>
          </w:tcPr>
          <w:p>
            <w:pPr>
              <w:spacing w:after="0" w:before="0"/>
            </w:pPr>
            <w:r/>
            <w:r>
              <w:rPr>
                <w:b w:val="0"/>
                <w:color w:val="000000"/>
                <w:sz w:val="15"/>
              </w:rPr>
              <w:t>Moins de lourdeur pour les PME, travailleurs, entrepreneurs, métiers et régions.</w:t>
            </w:r>
          </w:p>
        </w:tc>
      </w:tr>
      <w:tr>
        <w:tc>
          <w:tcPr>
            <w:tcW w:type="dxa" w:w="5400"/>
            <w:shd w:fill="FFFFFF"/>
          </w:tcPr>
          <w:p>
            <w:pPr>
              <w:spacing w:after="0" w:before="0"/>
            </w:pPr>
            <w:r/>
            <w:r>
              <w:rPr>
                <w:b/>
                <w:color w:val="000000"/>
                <w:sz w:val="16"/>
              </w:rPr>
              <w:t>Immigration responsable</w:t>
            </w:r>
          </w:p>
        </w:tc>
        <w:tc>
          <w:tcPr>
            <w:tcW w:type="dxa" w:w="5400"/>
            <w:shd w:fill="FFFFFF"/>
          </w:tcPr>
          <w:p>
            <w:pPr>
              <w:spacing w:after="0" w:before="0"/>
            </w:pPr>
            <w:r/>
            <w:r>
              <w:rPr>
                <w:b w:val="0"/>
                <w:color w:val="000000"/>
                <w:sz w:val="15"/>
              </w:rPr>
              <w:t>Les seuils suivent la capacité réelle d’accueil et l’intégration en français.</w:t>
            </w:r>
          </w:p>
        </w:tc>
      </w:tr>
      <w:tr>
        <w:tc>
          <w:tcPr>
            <w:tcW w:type="dxa" w:w="5400"/>
            <w:shd w:fill="F7F9FB"/>
          </w:tcPr>
          <w:p>
            <w:pPr>
              <w:spacing w:after="0" w:before="0"/>
            </w:pPr>
            <w:r/>
            <w:r>
              <w:rPr>
                <w:b/>
                <w:color w:val="000000"/>
                <w:sz w:val="16"/>
              </w:rPr>
              <w:t>Données protégées</w:t>
            </w:r>
          </w:p>
        </w:tc>
        <w:tc>
          <w:tcPr>
            <w:tcW w:type="dxa" w:w="5400"/>
            <w:shd w:fill="F7F9FB"/>
          </w:tcPr>
          <w:p>
            <w:pPr>
              <w:spacing w:after="0" w:before="0"/>
            </w:pPr>
            <w:r/>
            <w:r>
              <w:rPr>
                <w:b w:val="0"/>
                <w:color w:val="000000"/>
                <w:sz w:val="15"/>
              </w:rPr>
              <w:t>Refus de la surveillance de masse, du score social et des décisions opaques par algorithme.</w:t>
            </w:r>
          </w:p>
        </w:tc>
      </w:tr>
      <w:tr>
        <w:tc>
          <w:tcPr>
            <w:tcW w:type="dxa" w:w="5400"/>
            <w:shd w:fill="FFFFFF"/>
          </w:tcPr>
          <w:p>
            <w:pPr>
              <w:spacing w:after="0" w:before="0"/>
            </w:pPr>
            <w:r/>
            <w:r>
              <w:rPr>
                <w:b/>
                <w:color w:val="000000"/>
                <w:sz w:val="16"/>
              </w:rPr>
              <w:t>Souveraineté préparée</w:t>
            </w:r>
          </w:p>
        </w:tc>
        <w:tc>
          <w:tcPr>
            <w:tcW w:type="dxa" w:w="5400"/>
            <w:shd w:fill="FFFFFF"/>
          </w:tcPr>
          <w:p>
            <w:pPr>
              <w:spacing w:after="0" w:before="0"/>
            </w:pPr>
            <w:r/>
            <w:r>
              <w:rPr>
                <w:b w:val="0"/>
                <w:color w:val="000000"/>
                <w:sz w:val="15"/>
              </w:rPr>
              <w:t>Constitution, lois de transition, finances, services essentiels et référendum clair.</w:t>
            </w:r>
          </w:p>
        </w:tc>
      </w:tr>
    </w:tbl>
    <w:p>
      <w:pPr>
        <w:spacing w:before="100" w:after="40"/>
      </w:pPr>
      <w:r>
        <w:rPr>
          <w:b/>
          <w:color w:val="1F4E79"/>
          <w:sz w:val="21"/>
        </w:rPr>
        <w:t>CE QUE LE CITOYEN DOIT RETENIR</w:t>
      </w:r>
    </w:p>
    <w:p>
      <w:pPr>
        <w:spacing w:after="50" w:before="0" w:line="245" w:lineRule="auto"/>
      </w:pPr>
      <w:r>
        <w:rPr>
          <w:b w:val="0"/>
          <w:sz w:val="18"/>
        </w:rPr>
        <w:t>Le Projet Nova veut un État que le citoyen peut voir, comprendre, contrôler et corriger. Le citoyen ne doit plus être simple spectateur entre deux élections.</w:t>
      </w:r>
    </w:p>
    <w:p>
      <w:pPr>
        <w:sectPr>
          <w:footerReference w:type="default" r:id="rId12"/>
          <w:pgSz w:w="12240" w:h="15840"/>
          <w:pgMar w:top="605" w:right="720" w:bottom="605" w:left="720" w:header="317" w:footer="288" w:gutter="0"/>
          <w:cols w:space="720"/>
          <w:docGrid w:linePitch="360"/>
        </w:sect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40"/>
      </w:tblGrid>
      <w:tr>
        <w:tc>
          <w:tcPr>
            <w:tcW w:type="dxa" w:w="10800"/>
            <w:shd w:fill="1F4E79"/>
          </w:tcPr>
          <w:p>
            <w:r/>
          </w:p>
        </w:tc>
      </w:tr>
    </w:tbl>
    <w:p>
      <w:pPr>
        <w:spacing w:after="40"/>
      </w:pPr>
    </w:p>
    <w:p>
      <w:pPr>
        <w:spacing w:before="40" w:after="60"/>
        <w:jc w:val="center"/>
      </w:pPr>
      <w:r>
        <w:rPr>
          <w:b/>
          <w:color w:val="1F4E79"/>
          <w:sz w:val="36"/>
        </w:rPr>
        <w:t>UN QUÉBEC PLUS LIBRE, PLUS CLAIR, PLUS RESPONSABLE</w:t>
      </w:r>
    </w:p>
    <w:p>
      <w:pPr>
        <w:spacing w:after="120"/>
        <w:jc w:val="center"/>
      </w:pPr>
      <w:r>
        <w:rPr>
          <w:color w:val="505050"/>
          <w:sz w:val="21"/>
        </w:rPr>
        <w:t>Appel aux citoyens</w:t>
      </w:r>
    </w:p>
    <w:p>
      <w:pPr>
        <w:spacing w:before="100" w:after="40"/>
      </w:pPr>
      <w:r>
        <w:rPr>
          <w:b/>
          <w:color w:val="1F4E79"/>
          <w:sz w:val="21"/>
        </w:rPr>
        <w:t>CE QUE NOUS REFUSONS</w:t>
      </w:r>
    </w:p>
    <w:p>
      <w:pPr>
        <w:pStyle w:val="ListBullet"/>
        <w:spacing w:after="16" w:line="240" w:lineRule="auto"/>
        <w:ind w:left="259" w:hanging="216"/>
      </w:pPr>
      <w:r>
        <w:rPr>
          <w:sz w:val="16"/>
        </w:rPr>
        <w:t>Les décisions cachées, les contrats opaques et les taxes déguisées.</w:t>
      </w:r>
    </w:p>
    <w:p>
      <w:pPr>
        <w:pStyle w:val="ListBullet"/>
        <w:spacing w:after="16" w:line="240" w:lineRule="auto"/>
        <w:ind w:left="259" w:hanging="216"/>
      </w:pPr>
      <w:r>
        <w:rPr>
          <w:sz w:val="16"/>
        </w:rPr>
        <w:t>Les privilèges politiques, dépenses de luxe et promesses impossibles.</w:t>
      </w:r>
    </w:p>
    <w:p>
      <w:pPr>
        <w:pStyle w:val="ListBullet"/>
        <w:spacing w:after="16" w:line="240" w:lineRule="auto"/>
        <w:ind w:left="259" w:hanging="216"/>
      </w:pPr>
      <w:r>
        <w:rPr>
          <w:sz w:val="16"/>
        </w:rPr>
        <w:t>Le culte du chef, la politique de carrière et la capture par des clans.</w:t>
      </w:r>
    </w:p>
    <w:p>
      <w:pPr>
        <w:pStyle w:val="ListBullet"/>
        <w:spacing w:after="16" w:line="240" w:lineRule="auto"/>
        <w:ind w:left="259" w:hanging="216"/>
      </w:pPr>
      <w:r>
        <w:rPr>
          <w:sz w:val="16"/>
        </w:rPr>
        <w:t>La bureaucratie qui écrase le citoyen au lieu de le servir.</w:t>
      </w:r>
    </w:p>
    <w:p>
      <w:pPr>
        <w:pStyle w:val="ListBullet"/>
        <w:spacing w:after="16" w:line="240" w:lineRule="auto"/>
        <w:ind w:left="259" w:hanging="216"/>
      </w:pPr>
      <w:r>
        <w:rPr>
          <w:sz w:val="16"/>
        </w:rPr>
        <w:t>La surveillance de masse, le score social et les décisions numériques sans recours.</w:t>
      </w:r>
    </w:p>
    <w:p>
      <w:pPr>
        <w:pStyle w:val="ListBullet"/>
        <w:spacing w:after="16" w:line="240" w:lineRule="auto"/>
        <w:ind w:left="259" w:hanging="216"/>
      </w:pPr>
      <w:r>
        <w:rPr>
          <w:sz w:val="16"/>
        </w:rPr>
        <w:t>L’improvisation souverainiste et les décisions majeures sans mandat clair du peuple.</w:t>
      </w:r>
    </w:p>
    <w:p>
      <w:pPr>
        <w:spacing w:before="100" w:after="40"/>
      </w:pPr>
      <w:r>
        <w:rPr>
          <w:b/>
          <w:color w:val="1F4E79"/>
          <w:sz w:val="21"/>
        </w:rPr>
        <w:t>CE QUE NOUS PROPOSONS</w:t>
      </w:r>
    </w:p>
    <w:p>
      <w:pPr>
        <w:pStyle w:val="ListBullet"/>
        <w:spacing w:after="16" w:line="240" w:lineRule="auto"/>
        <w:ind w:left="259" w:hanging="216"/>
      </w:pPr>
      <w:r>
        <w:rPr>
          <w:sz w:val="16"/>
        </w:rPr>
        <w:t>Un État transparent, contrôlable et responsable.</w:t>
      </w:r>
    </w:p>
    <w:p>
      <w:pPr>
        <w:pStyle w:val="ListBullet"/>
        <w:spacing w:after="16" w:line="240" w:lineRule="auto"/>
        <w:ind w:left="259" w:hanging="216"/>
      </w:pPr>
      <w:r>
        <w:rPr>
          <w:sz w:val="16"/>
        </w:rPr>
        <w:t>Un vote indépendant du gouvernement.</w:t>
      </w:r>
    </w:p>
    <w:p>
      <w:pPr>
        <w:pStyle w:val="ListBullet"/>
        <w:spacing w:after="16" w:line="240" w:lineRule="auto"/>
        <w:ind w:left="259" w:hanging="216"/>
      </w:pPr>
      <w:r>
        <w:rPr>
          <w:sz w:val="16"/>
        </w:rPr>
        <w:t>Une économie plus productive et moins bureaucratique.</w:t>
      </w:r>
    </w:p>
    <w:p>
      <w:pPr>
        <w:pStyle w:val="ListBullet"/>
        <w:spacing w:after="16" w:line="240" w:lineRule="auto"/>
        <w:ind w:left="259" w:hanging="216"/>
      </w:pPr>
      <w:r>
        <w:rPr>
          <w:sz w:val="16"/>
        </w:rPr>
        <w:t>Des services essentiels suivis par des indicateurs publics.</w:t>
      </w:r>
    </w:p>
    <w:p>
      <w:pPr>
        <w:pStyle w:val="ListBullet"/>
        <w:spacing w:after="16" w:line="240" w:lineRule="auto"/>
        <w:ind w:left="259" w:hanging="216"/>
      </w:pPr>
      <w:r>
        <w:rPr>
          <w:sz w:val="16"/>
        </w:rPr>
        <w:t>Une immigration liée à la capacité réelle d’accueil.</w:t>
      </w:r>
    </w:p>
    <w:p>
      <w:pPr>
        <w:pStyle w:val="ListBullet"/>
        <w:spacing w:after="16" w:line="240" w:lineRule="auto"/>
        <w:ind w:left="259" w:hanging="216"/>
      </w:pPr>
      <w:r>
        <w:rPr>
          <w:sz w:val="16"/>
        </w:rPr>
        <w:t>Une souveraineté du Québec préparée sérieusement et soumise au peuple.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40"/>
      </w:tblGrid>
      <w:tr>
        <w:tc>
          <w:tcPr>
            <w:tcW w:type="dxa" w:w="10800"/>
            <w:shd w:fill="EAF2F8"/>
            <w:vAlign w:val="center"/>
          </w:tcPr>
          <w:p>
            <w:pPr>
              <w:spacing w:after="80" w:before="80"/>
              <w:jc w:val="center"/>
            </w:pPr>
            <w:r>
              <w:rPr>
                <w:b/>
                <w:color w:val="1F4E79"/>
                <w:sz w:val="20"/>
              </w:rPr>
              <w:t>Le Québec mérite un gouvernement qui ne craint pas le contrôle du peuple.</w:t>
            </w:r>
          </w:p>
        </w:tc>
      </w:tr>
    </w:tbl>
    <w:p>
      <w:pPr>
        <w:spacing w:before="100" w:after="40"/>
      </w:pPr>
      <w:r>
        <w:rPr>
          <w:b/>
          <w:color w:val="1F4E79"/>
          <w:sz w:val="21"/>
        </w:rPr>
        <w:t>FORMULE FINALE</w:t>
      </w:r>
    </w:p>
    <w:p>
      <w:pPr>
        <w:spacing w:after="50" w:before="0" w:line="245" w:lineRule="auto"/>
        <w:jc w:val="center"/>
      </w:pPr>
      <w:r>
        <w:rPr>
          <w:b/>
          <w:sz w:val="22"/>
        </w:rPr>
        <w:t>Projet Nova — Nouvelle Opportunité vers l’Avenir.</w:t>
      </w:r>
    </w:p>
    <w:p>
      <w:pPr>
        <w:spacing w:after="50" w:before="0" w:line="245" w:lineRule="auto"/>
        <w:jc w:val="center"/>
      </w:pPr>
      <w:r>
        <w:rPr>
          <w:b/>
          <w:sz w:val="19"/>
        </w:rPr>
        <w:t>Un peuple plus fort. Un État plus transparent. Un Québec plus souverain.</w:t>
      </w:r>
    </w:p>
    <w:p>
      <w:pPr>
        <w:spacing w:after="50" w:before="0" w:line="245" w:lineRule="auto"/>
        <w:jc w:val="center"/>
      </w:pPr>
      <w:r>
        <w:rPr>
          <w:b w:val="0"/>
          <w:sz w:val="15"/>
        </w:rPr>
        <w:t>Document public de présentation — Version de travail consolidée.</w:t>
      </w:r>
    </w:p>
    <w:sectPr w:rsidR="00FC693F" w:rsidRPr="0006063C" w:rsidSect="00034616">
      <w:footerReference w:type="default" r:id="rId13"/>
      <w:pgSz w:w="12240" w:h="15840"/>
      <w:pgMar w:top="605" w:right="720" w:bottom="605" w:left="720" w:header="317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5A5A"/>
        <w:sz w:val="14"/>
      </w:rPr>
      <w:t>Projet Nova - Dépliant public 4 pages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5A5A"/>
        <w:sz w:val="14"/>
      </w:rPr>
      <w:t>Projet Nova - Dépliant public 4 pages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5A5A"/>
        <w:sz w:val="14"/>
      </w:rPr>
      <w:t>Projet Nova - Dépliant public 4 pages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5A5A"/>
        <w:sz w:val="14"/>
      </w:rPr>
      <w:t>Projet Nova - Dépliant public 4 pages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17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Dépliant public 4 pages - Projet Nova</dc:title>
  <dc:subject>Présentation publique du Système Nova</dc:subject>
  <dc:creator>Projet Nova</dc:creator>
  <cp:keywords>Projet Nova, Système Nova, Québec, souveraineté, démocratie, transparence</cp:keywords>
  <dc:description>generated by python-docx</dc:description>
  <cp:lastModifiedBy>Projet Nova</cp:lastModifiedBy>
  <cp:revision>1</cp:revision>
  <dcterms:created xsi:type="dcterms:W3CDTF">2013-12-23T23:15:00Z</dcterms:created>
  <dcterms:modified xsi:type="dcterms:W3CDTF">2013-12-23T23:15:00Z</dcterms:modified>
  <cp:category/>
</cp:coreProperties>
</file>