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jc w:val="center"/>
      </w:pPr>
      <w:r>
        <w:rPr>
          <w:rFonts w:ascii="Batang" w:eastAsia="Batang" w:hAnsi="Batang"/>
          <w:b/>
          <w:bCs/>
          <w:sz w:val="44"/>
          <w:szCs w:val="44"/>
        </w:rPr>
        <w:t xml:space="preserve">준  비  서  면</w:t>
      </w:r>
    </w:p>
    <w:p>
      <w:pPr>
        <w:spacing w:after="60" w:before="0" w:line="360"/>
      </w:pPr>
      <w:r>
        <w:rPr>
          <w:rFonts w:ascii="Batang" w:eastAsia="Batang" w:hAnsi="Batang"/>
          <w:sz w:val="24"/>
          <w:szCs w:val="24"/>
        </w:rPr>
        <w:t xml:space="preserve">사    건    2026가합12345  해고무효확인 및 연장근로수당·퇴직금 청구의 소</w:t>
      </w:r>
    </w:p>
    <w:p>
      <w:pPr>
        <w:spacing w:after="60" w:before="0" w:line="360"/>
      </w:pPr>
      <w:r>
        <w:rPr>
          <w:rFonts w:ascii="Batang" w:eastAsia="Batang" w:hAnsi="Batang"/>
          <w:sz w:val="24"/>
          <w:szCs w:val="24"/>
        </w:rPr>
        <w:t xml:space="preserve"/>
      </w:r>
    </w:p>
    <w:p>
      <w:pPr>
        <w:spacing w:after="60" w:before="0" w:line="360"/>
      </w:pPr>
      <w:r>
        <w:rPr>
          <w:rFonts w:ascii="Batang" w:eastAsia="Batang" w:hAnsi="Batang"/>
          <w:sz w:val="24"/>
          <w:szCs w:val="24"/>
        </w:rPr>
        <w:t xml:space="preserve">원    고    김민재</w:t>
      </w:r>
    </w:p>
    <w:p>
      <w:pPr>
        <w:spacing w:after="60" w:before="0" w:line="360"/>
      </w:pPr>
      <w:r>
        <w:rPr>
          <w:rFonts w:ascii="Batang" w:eastAsia="Batang" w:hAnsi="Batang"/>
          <w:sz w:val="24"/>
          <w:szCs w:val="24"/>
        </w:rPr>
        <w:t xml:space="preserve"/>
      </w:r>
    </w:p>
    <w:p>
      <w:pPr>
        <w:spacing w:after="60" w:before="0" w:line="360"/>
      </w:pPr>
      <w:r>
        <w:rPr>
          <w:rFonts w:ascii="Batang" w:eastAsia="Batang" w:hAnsi="Batang"/>
          <w:sz w:val="24"/>
          <w:szCs w:val="24"/>
        </w:rPr>
        <w:t xml:space="preserve">피    고    동해물류 주식회사</w:t>
      </w:r>
    </w:p>
    <w:p>
      <w:pPr>
        <w:spacing w:after="240" w:before="0" w:line="360"/>
      </w:pPr>
      <w:r>
        <w:rPr>
          <w:rFonts w:ascii="Batang" w:eastAsia="Batang" w:hAnsi="Batang"/>
          <w:sz w:val="24"/>
          <w:szCs w:val="24"/>
        </w:rPr>
        <w:t xml:space="preserve"/>
      </w:r>
    </w:p>
    <w:p>
      <w:pPr>
        <w:spacing w:after="240" w:before="120" w:line="360"/>
      </w:pPr>
      <w:r>
        <w:rPr>
          <w:rFonts w:ascii="Batang" w:eastAsia="Batang" w:hAnsi="Batang"/>
          <w:sz w:val="24"/>
          <w:szCs w:val="24"/>
        </w:rPr>
        <w:t xml:space="preserve">위 사건에 관하여 원고 소송대리인는 다음과 같이 변론을 준비합니다.</w:t>
      </w:r>
    </w:p>
    <w:p>
      <w:pPr>
        <w:spacing w:after="240" w:before="480" w:line="360"/>
        <w:jc w:val="center"/>
      </w:pPr>
      <w:r>
        <w:rPr>
          <w:rFonts w:ascii="Batang" w:eastAsia="Batang" w:hAnsi="Batang"/>
          <w:b/>
          <w:bCs/>
          <w:sz w:val="28"/>
          <w:szCs w:val="28"/>
        </w:rPr>
        <w:t xml:space="preserve">다        음</w:t>
      </w:r>
    </w:p>
    <w:p>
      <w:pPr>
        <w:spacing w:after="120" w:before="240" w:line="360"/>
      </w:pPr>
      <w:r>
        <w:rPr>
          <w:rFonts w:ascii="Batang" w:eastAsia="Batang" w:hAnsi="Batang"/>
          <w:b/>
          <w:bCs/>
          <w:sz w:val="24"/>
          <w:szCs w:val="24"/>
        </w:rPr>
        <w:t xml:space="preserve">1. 이 사건의 쟁점</w:t>
      </w:r>
    </w:p>
    <w:p>
      <w:pPr>
        <w:spacing w:after="120" w:before="0" w:line="360"/>
        <w:ind w:left="400"/>
      </w:pPr>
      <w:r>
        <w:rPr>
          <w:rFonts w:ascii="Batang" w:eastAsia="Batang" w:hAnsi="Batang"/>
          <w:sz w:val="24"/>
          <w:szCs w:val="24"/>
        </w:rPr>
        <w:t xml:space="preserve">이 사건에서 원고가 반박하여야 할 피고의 주장은 다음과 같습니다. ① 원고가 2025. 10. 15. 면담에서 희망퇴직에 구두 동의하였으므로 이는 해고가 아닌 합의 종료라는 주장(쟁점1), ② 채용 당시 구두 합의 및 원고의 장기간 이의 없는 급여 수령으로 묵시적 포괄임금 약정이 성립하였다는 주장(쟁점2), ③ 원고를 포함한 퇴직자들과 퇴직금 지급 시기를 2026. 6.경으로 유예하는 합의가 있었다는 주장(쟁점3), ④ 설령 해고라 하더라도 물류센터 자동화에 따른 긴박한 경영상 필요에 의한 정당한 해고라는 예비적 주장(쟁점4).</w:t>
      </w:r>
    </w:p>
    <w:p>
      <w:pPr>
        <w:spacing w:after="120" w:before="240" w:line="360"/>
      </w:pPr>
      <w:r>
        <w:rPr>
          <w:rFonts w:ascii="Batang" w:eastAsia="Batang" w:hAnsi="Batang"/>
          <w:b/>
          <w:bCs/>
          <w:sz w:val="24"/>
          <w:szCs w:val="24"/>
        </w:rPr>
        <w:t xml:space="preserve">2. 쟁점1 — 서면통지 흠결에 의한 해고무효 (피고의 '희망퇴직 합의' 주장 반박)</w:t>
      </w:r>
    </w:p>
    <w:p>
      <w:pPr>
        <w:spacing w:after="120" w:before="0" w:line="360"/>
        <w:ind w:left="400"/>
      </w:pPr>
      <w:r>
        <w:rPr>
          <w:rFonts w:ascii="Batang" w:eastAsia="Batang" w:hAnsi="Batang"/>
          <w:sz w:val="24"/>
          <w:szCs w:val="24"/>
        </w:rPr>
        <w:t xml:space="preserve">피고는 원고가 2025. 10. 15. 면담에서 위로금 지급을 조건으로 희망퇴직에 구두 동의하였으므로 이 사건은 합의에 의한 근로관계 종료이며, 근로기준법 제27조의 서면통지 의무가 적용될 여지가 없다고 주장합니다(상대방_답변서 §1).</w:t>
      </w:r>
    </w:p>
    <w:p>
      <w:pPr>
        <w:spacing w:after="120" w:before="0" w:line="360"/>
        <w:ind w:left="400"/>
      </w:pPr>
      <w:r>
        <w:rPr>
          <w:rFonts w:ascii="Batang" w:eastAsia="Batang" w:hAnsi="Batang"/>
          <w:sz w:val="24"/>
          <w:szCs w:val="24"/>
        </w:rPr>
        <w:t xml:space="preserve">그러나 원고는 2025. 9. 2. 첫 번째 퇴직 권유 면담에서 퇴직 의사 없음을 명시적으로 표시하여 거절하였고, 2025. 10. 15. 두 번째 면담에서도 퇴직을 다시 명시적으로 거절하였습니다. 2025. 10. 15. 면담은 녹취되었으며(갑3), 그 내용은 원고가 희망퇴직에 동의하지 않고 재차 거부하였음을 명백히 보여줍니다. 피고가 주장하는 '구두 동의'는 사실에 반합니다.</w:t>
      </w:r>
    </w:p>
    <w:p>
      <w:pPr>
        <w:spacing w:after="120" w:before="0" w:line="360"/>
        <w:ind w:left="400"/>
      </w:pPr>
      <w:r>
        <w:rPr>
          <w:rFonts w:ascii="Batang" w:eastAsia="Batang" w:hAnsi="Batang"/>
          <w:sz w:val="24"/>
          <w:szCs w:val="24"/>
        </w:rPr>
        <w:t xml:space="preserve">피고가 희망퇴직 합의를 주장하려면 합의서 등 처분문서를 제출하여야 하는데, 피고가 이를 제출하지 않은 것은 해당 합의가 존재하지 않음을 스스로 인정하는 것입니다. 피고는 스스로 답변서에서 '구두 동의'라고 기재하여 서면 합의가 없었음을 시인하고 있습니다.</w:t>
      </w:r>
    </w:p>
    <w:p>
      <w:pPr>
        <w:spacing w:after="120" w:before="0" w:line="360"/>
        <w:ind w:left="400"/>
      </w:pPr>
      <w:r>
        <w:rPr>
          <w:rFonts w:ascii="Batang" w:eastAsia="Batang" w:hAnsi="Batang"/>
          <w:sz w:val="24"/>
          <w:szCs w:val="24"/>
        </w:rPr>
        <w:t xml:space="preserve">이에 더하여, 피고는 2025. 11. 14. 본부장을 통하여 원고에게 구두로 해고를 통보하였으며 서면 해고통지를 일절 하지 않았습니다. 근로기준법 제27조 제1항은 '사용자는 근로자를 해고하려면 해고사유와 해고시기를 서면으로 통지하여야 한다'고 규정하고, 제2항은 '근로자에 대한 해고는 제1항에 따라 서면으로 통지하여야 효력이 있다'고 규정합니다. [출처: kr/근로기준법/법률(법률).md | 현행확인 2026-06-09]</w:t>
      </w:r>
    </w:p>
    <w:p>
      <w:pPr>
        <w:spacing w:after="120" w:before="0" w:line="360"/>
        <w:ind w:left="400"/>
      </w:pPr>
      <w:r>
        <w:rPr>
          <w:rFonts w:ascii="Batang" w:eastAsia="Batang" w:hAnsi="Batang"/>
          <w:sz w:val="24"/>
          <w:szCs w:val="24"/>
        </w:rPr>
        <w:t xml:space="preserve">대법원 2021. 2. 25. 선고 2017다226605 판결은 '해고 대상자가 해고사유가 무엇인지 알고 있고 그에 대해 대응할 수 있는 상황이었다고 하더라도, 사용자가 해고를 서면으로 통지하면서 해고사유를 전혀 기재하지 않았다면 이는 근로기준법 제27조를 위반한 해고통지에 해당한다'고 판시하였습니다. [출처: 민사/대법원/대법원_2021-02-25_2017다226605.md]</w:t>
      </w:r>
    </w:p>
    <w:p>
      <w:pPr>
        <w:spacing w:after="120" w:before="0" w:line="360"/>
        <w:ind w:left="400"/>
      </w:pPr>
      <w:r>
        <w:rPr>
          <w:rFonts w:ascii="Batang" w:eastAsia="Batang" w:hAnsi="Batang"/>
          <w:sz w:val="24"/>
          <w:szCs w:val="24"/>
        </w:rPr>
        <w:t xml:space="preserve">이 사건에서 피고는 서면통지 자체를 전혀 하지 않았으므로, 위 대법원 판결의 법리에 따라 이 사건 해고는 근로기준법 제27조 제2항을 위반하여 효력이 없습니다. [출처: kr/근로기준법/법률(법률).md | 현행확인 2026-06-09]</w:t>
      </w:r>
    </w:p>
    <w:p>
      <w:pPr>
        <w:spacing w:after="120" w:before="0" w:line="360"/>
        <w:ind w:left="400"/>
      </w:pPr>
      <w:r>
        <w:rPr>
          <w:rFonts w:ascii="Batang" w:eastAsia="Batang" w:hAnsi="Batang"/>
          <w:sz w:val="24"/>
          <w:szCs w:val="24"/>
        </w:rPr>
        <w:t xml:space="preserve">나머지 사실관계 및 법리는 소장 제3항(이 사건 해고의 무효 — 서면통지 요건 흠결)에 기재한 바와 같으므로 이를 원용합니다.</w:t>
      </w:r>
    </w:p>
    <w:p>
      <w:pPr>
        <w:spacing w:after="120" w:before="240" w:line="360"/>
      </w:pPr>
      <w:r>
        <w:rPr>
          <w:rFonts w:ascii="Batang" w:eastAsia="Batang" w:hAnsi="Batang"/>
          <w:b/>
          <w:bCs/>
          <w:sz w:val="24"/>
          <w:szCs w:val="24"/>
        </w:rPr>
        <w:t xml:space="preserve">3. 쟁점2 — 포괄임금 약정 부존재 (피고의 '묵시적 포괄임금 약정' 주장 반박)</w:t>
      </w:r>
    </w:p>
    <w:p>
      <w:pPr>
        <w:spacing w:after="120" w:before="0" w:line="360"/>
        <w:ind w:left="400"/>
      </w:pPr>
      <w:r>
        <w:rPr>
          <w:rFonts w:ascii="Batang" w:eastAsia="Batang" w:hAnsi="Batang"/>
          <w:sz w:val="24"/>
          <w:szCs w:val="24"/>
        </w:rPr>
        <w:t xml:space="preserve">피고는 채용 당시 구두 합의로 원고의 연봉에 연장근로수당이 포함되어 있었고, 원고가 11년간 이의 없이 급여를 수령하였으므로 묵시적 포괄임금 약정이 성립하였다고 주장합니다(상대방_답변서 §2).</w:t>
      </w:r>
    </w:p>
    <w:p>
      <w:pPr>
        <w:spacing w:after="120" w:before="0" w:line="360"/>
        <w:ind w:left="400"/>
      </w:pPr>
      <w:r>
        <w:rPr>
          <w:rFonts w:ascii="Batang" w:eastAsia="Batang" w:hAnsi="Batang"/>
          <w:sz w:val="24"/>
          <w:szCs w:val="24"/>
        </w:rPr>
        <w:t xml:space="preserve">그러나 원고의 근로계약서에는 포괄임금 약정 조항이 존재하지 않습니다(갑1). 피고가 주장하는 '구두 합의'는 이를 뒷받침하는 처분문서 기타 서면 증거가 전혀 제출된 바 없습니다. 원고는 급여명세서(갑6)를 제출하여 연장근로수당 지급 여부를 입증할 예정입니다. [변호사 확인 필요 — 갑6 원본 확보 및 내용 확인 후 보강]</w:t>
      </w:r>
    </w:p>
    <w:p>
      <w:pPr>
        <w:spacing w:after="120" w:before="0" w:line="360"/>
        <w:ind w:left="400"/>
      </w:pPr>
      <w:r>
        <w:rPr>
          <w:rFonts w:ascii="Batang" w:eastAsia="Batang" w:hAnsi="Batang"/>
          <w:sz w:val="24"/>
          <w:szCs w:val="24"/>
        </w:rPr>
        <w:t xml:space="preserve">대법원 2010. 5. 13. 선고 2008다6052 판결은 '감시·단속적 근로 등과 같이 근로시간의 산정이 어려운 경우가 아니라면 근로기준법상의 근로시간에 따른 임금지급의 원칙이 적용되어야 하므로, 이러한 경우에도 근로시간 수에 상관없이 일정액을 법정수당으로 지급하는 내용의 포괄임금제 방식의 임금 지급계약을 체결하는 것은 근로기준법이 정한 근로시간에 관한 규제를 위반하는 이상 허용될 수 없다'고 판시하였습니다. [출처: 민사/대법원/대법원_2010-05-13_2008다6052.md]</w:t>
      </w:r>
    </w:p>
    <w:p>
      <w:pPr>
        <w:spacing w:after="120" w:before="0" w:line="360"/>
        <w:ind w:left="400"/>
      </w:pPr>
      <w:r>
        <w:rPr>
          <w:rFonts w:ascii="Batang" w:eastAsia="Batang" w:hAnsi="Batang"/>
          <w:sz w:val="24"/>
          <w:szCs w:val="24"/>
        </w:rPr>
        <w:t xml:space="preserve">원고는 물류대행업의 운영관리팀장으로서 출퇴근 시간 및 연장근로시간의 산정이 가능한 직무에 종사하였습니다. 따라서 포괄임금제 방식의 임금 지급계약 자체가 허용되지 않으며, 설령 묵시적 합의가 있었다 하더라도 근로기준법 제56조 제1항에 따라 통상임금의 100분의 50 이상을 가산한 법정수당에 미달하는 부분은 무효입니다. [출처: kr/근로기준법/법률(법률).md | 현행확인 2026-06-09]</w:t>
      </w:r>
    </w:p>
    <w:p>
      <w:pPr>
        <w:spacing w:after="120" w:before="0" w:line="360"/>
        <w:ind w:left="400"/>
      </w:pPr>
      <w:r>
        <w:rPr>
          <w:rFonts w:ascii="Batang" w:eastAsia="Batang" w:hAnsi="Batang"/>
          <w:sz w:val="24"/>
          <w:szCs w:val="24"/>
        </w:rPr>
        <w:t xml:space="preserve">원고는 2023. 1.부터 2025. 10.까지 월평균 약 22시간의 연장근로를 제공하였으며(갑2), 이에 대한 연장근로수당은 전혀 지급되지 않았습니다(상담메모 §4 의뢰인 진술). 나머지 사실관계 및 법리는 소장 제4항(연장근로수당 청구 — 포괄임금 약정 부존재)에 기재한 바와 같으므로 이를 원용합니다.</w:t>
      </w:r>
    </w:p>
    <w:p>
      <w:pPr>
        <w:spacing w:after="120" w:before="240" w:line="360"/>
      </w:pPr>
      <w:r>
        <w:rPr>
          <w:rFonts w:ascii="Batang" w:eastAsia="Batang" w:hAnsi="Batang"/>
          <w:b/>
          <w:bCs/>
          <w:sz w:val="24"/>
          <w:szCs w:val="24"/>
        </w:rPr>
        <w:t xml:space="preserve">4. 쟁점3 — 퇴직금 미지급 (피고의 '지급 유예 합의' 주장 반박)</w:t>
      </w:r>
    </w:p>
    <w:p>
      <w:pPr>
        <w:spacing w:after="120" w:before="0" w:line="360"/>
        <w:ind w:left="400"/>
      </w:pPr>
      <w:r>
        <w:rPr>
          <w:rFonts w:ascii="Batang" w:eastAsia="Batang" w:hAnsi="Batang"/>
          <w:sz w:val="24"/>
          <w:szCs w:val="24"/>
        </w:rPr>
        <w:t xml:space="preserve">피고는 일시적 자금 사정으로 원고를 포함한 퇴직자들과 퇴직금 지급 시기를 2026. 6.경으로 유예하기로 하는 합의가 있었으므로 지급 지체가 아니라고 주장합니다(상대방_답변서 §3).</w:t>
      </w:r>
    </w:p>
    <w:p>
      <w:pPr>
        <w:spacing w:after="120" w:before="0" w:line="360"/>
        <w:ind w:left="400"/>
      </w:pPr>
      <w:r>
        <w:rPr>
          <w:rFonts w:ascii="Batang" w:eastAsia="Batang" w:hAnsi="Batang"/>
          <w:sz w:val="24"/>
          <w:szCs w:val="24"/>
        </w:rPr>
        <w:t xml:space="preserve">그러나 피고가 주장하는 유예 합의에 관하여 원고가 동의하였음을 보여주는 합의서 등 처분문서나 자료는 전혀 제출된 바 없습니다. [변호사 확인 필요 — 의뢰인에게 유예 합의 제안·동의 여부 직접 확인] 근로자퇴직급여보장법 제9조 제1항 단서가 규정하는 '당사자 간의 합의'는 해당 근로자 본인의 명시적 동의를 요합니다. [출처: kr/근로자퇴직급여보장법/법률.md | 현행확인 2026-03-17]</w:t>
      </w:r>
    </w:p>
    <w:p>
      <w:pPr>
        <w:spacing w:after="120" w:before="0" w:line="360"/>
        <w:ind w:left="400"/>
      </w:pPr>
      <w:r>
        <w:rPr>
          <w:rFonts w:ascii="Batang" w:eastAsia="Batang" w:hAnsi="Batang"/>
          <w:sz w:val="24"/>
          <w:szCs w:val="24"/>
        </w:rPr>
        <w:t xml:space="preserve">설령 피고가 일부 다른 퇴직자들과 유예 합의를 하였다 하더라도, 원고 본인의 명시적 동의가 인정되지 않는 이상 그 합의는 원고에 대하여 효력이 없습니다. 한편 원고는 2025. 12. 15. 피고에게 내용증명을 발송하였고(갑4), 피고는 2026. 1. 10. 이에 대한 회신 공문을 발송하였는바(갑5), 위 각 문서로 당사자 간 교섭 경과를 입증하고자 합니다. [변호사 확인 필요 — 갑4·갑5 원문 확인 후 구체적 기재 내용 보강]</w:t>
      </w:r>
    </w:p>
    <w:p>
      <w:pPr>
        <w:spacing w:after="120" w:before="0" w:line="360"/>
        <w:ind w:left="400"/>
      </w:pPr>
      <w:r>
        <w:rPr>
          <w:rFonts w:ascii="Batang" w:eastAsia="Batang" w:hAnsi="Batang"/>
          <w:sz w:val="24"/>
          <w:szCs w:val="24"/>
        </w:rPr>
        <w:t xml:space="preserve">따라서 피고는 근로자퇴직급여보장법 제9조 제1항 [출처: kr/근로자퇴직급여보장법/법률.md | 현행확인 2026-03-17] 및 근로기준법 제36조에 따른 지급기일(퇴직일 2025. 11. 30.로부터 14일 이내) [출처: kr/근로기준법/법률(법률).md | 현행확인 2026-06-09] 내에 퇴직금을 지급하지 않았으므로, 그 다음날부터 지급일까지 근로기준법 제37조 및 같은 법 시행령 제17조에 따른 연 20%의 지연이자를 부담합니다. [출처: kr/근로기준법/법률(법률).md | 현행확인 2026-06-09] [출처: kr/근로기준법/시행령.md | 현행확인 2025-04-08]</w:t>
      </w:r>
    </w:p>
    <w:p>
      <w:pPr>
        <w:spacing w:after="120" w:before="0" w:line="360"/>
        <w:ind w:left="400"/>
      </w:pPr>
      <w:r>
        <w:rPr>
          <w:rFonts w:ascii="Batang" w:eastAsia="Batang" w:hAnsi="Batang"/>
          <w:sz w:val="24"/>
          <w:szCs w:val="24"/>
        </w:rPr>
        <w:t xml:space="preserve">나머지 사실관계 및 법리는 소장 제5항(퇴직금 청구 — 지급기일 위반)에 기재한 바와 같으므로 이를 원용합니다.</w:t>
      </w:r>
    </w:p>
    <w:p>
      <w:pPr>
        <w:spacing w:after="120" w:before="240" w:line="360"/>
      </w:pPr>
      <w:r>
        <w:rPr>
          <w:rFonts w:ascii="Batang" w:eastAsia="Batang" w:hAnsi="Batang"/>
          <w:b/>
          <w:bCs/>
          <w:sz w:val="24"/>
          <w:szCs w:val="24"/>
        </w:rPr>
        <w:t xml:space="preserve">5. 쟁점4 — 피고 예비적 주장(경영상 이유 해고)에 대한 답변</w:t>
      </w:r>
    </w:p>
    <w:p>
      <w:pPr>
        <w:spacing w:after="120" w:before="0" w:line="360"/>
        <w:ind w:left="400"/>
      </w:pPr>
      <w:r>
        <w:rPr>
          <w:rFonts w:ascii="Batang" w:eastAsia="Batang" w:hAnsi="Batang"/>
          <w:sz w:val="24"/>
          <w:szCs w:val="24"/>
        </w:rPr>
        <w:t xml:space="preserve">피고는 설령 이 사건이 해고로 평가되더라도 물류센터 자동화로 인한 긴박한 경영상 필요에 따른 정당한 조치였으므로 무효가 아니라고 예비적으로 주장합니다(상대방_답변서 §4).</w:t>
      </w:r>
    </w:p>
    <w:p>
      <w:pPr>
        <w:spacing w:after="120" w:before="0" w:line="360"/>
        <w:ind w:left="400"/>
      </w:pPr>
      <w:r>
        <w:rPr>
          <w:rFonts w:ascii="Batang" w:eastAsia="Batang" w:hAnsi="Batang"/>
          <w:sz w:val="24"/>
          <w:szCs w:val="24"/>
        </w:rPr>
        <w:t xml:space="preserve">그러나 이 사건 해고는 피고가 서면통지를 일절 하지 않아 근로기준법 제27조 제2항에 따라 이미 무효입니다. [출처: kr/근로기준법/법률(법률).md | 현행확인 2026-06-09] 서면통지 흠결에 의한 해고 무효는 해고 사유의 정당성과 무관하게 독립적으로 인정되는 것이므로, 피고의 예비적 주장은 이 점만으로도 받아들일 수 없습니다.</w:t>
      </w:r>
    </w:p>
    <w:p>
      <w:pPr>
        <w:spacing w:after="120" w:before="0" w:line="360"/>
        <w:ind w:left="400"/>
      </w:pPr>
      <w:r>
        <w:rPr>
          <w:rFonts w:ascii="Batang" w:eastAsia="Batang" w:hAnsi="Batang"/>
          <w:sz w:val="24"/>
          <w:szCs w:val="24"/>
        </w:rPr>
        <w:t xml:space="preserve">또한 원고는 2025. 9. 2. 및 2025. 10. 15. 두 차례에 걸쳐 퇴직 권유를 명시적으로 거절하였습니다. 2025. 10. 15. 면담 녹취록(갑3)은 원고가 퇴직에 동의하지 않았음을 명백히 보여 주므로, 합의에 의한 근로관계 종료도 성립하지 않습니다.</w:t>
      </w:r>
    </w:p>
    <w:p>
      <w:pPr>
        <w:spacing w:after="120" w:before="0" w:line="360"/>
        <w:ind w:left="400"/>
      </w:pPr>
      <w:r>
        <w:rPr>
          <w:rFonts w:ascii="Batang" w:eastAsia="Batang" w:hAnsi="Batang"/>
          <w:sz w:val="24"/>
          <w:szCs w:val="24"/>
        </w:rPr>
        <w:t xml:space="preserve">[변호사 확인 필요] 경영상 이유에 의한 해고의 실체적 정당성 요건(긴박한 경영상 필요성, 해고 회피 노력, 합리적·공정한 해고 기준, 근로자 대표와의 사전 협의 등)에 대하여는 현재 리서치 파일에 해당 법리가 없으므로, 리서치 보강 후 별도 반박 준비서면을 제출할 예정입니다. 본 서면에서는 서면통지 흠결로 인한 해고 무효 주장 및 합의 종료 부존재 사실만으로 피고의 예비적 주장에 대응합니다.</w:t>
      </w:r>
    </w:p>
    <w:p>
      <w:pPr>
        <w:spacing w:after="120" w:before="240" w:line="360"/>
      </w:pPr>
      <w:r>
        <w:rPr>
          <w:rFonts w:ascii="Batang" w:eastAsia="Batang" w:hAnsi="Batang"/>
          <w:b/>
          <w:bCs/>
          <w:sz w:val="24"/>
          <w:szCs w:val="24"/>
        </w:rPr>
        <w:t xml:space="preserve">6. 결론</w:t>
      </w:r>
    </w:p>
    <w:p>
      <w:pPr>
        <w:spacing w:after="120" w:before="0" w:line="360"/>
        <w:ind w:left="400"/>
      </w:pPr>
      <w:r>
        <w:rPr>
          <w:rFonts w:ascii="Batang" w:eastAsia="Batang" w:hAnsi="Batang"/>
          <w:sz w:val="24"/>
          <w:szCs w:val="24"/>
        </w:rPr>
        <w:t xml:space="preserve">이상과 같이 피고의 주장은 모두 이유 없습니다. 이 사건 해고는 근로기준법 제27조 제2항에 따라 서면통지 흠결로 무효이고 [출처: kr/근로기준법/법률(법률).md | 현행확인 2026-06-09], 포괄임금 약정은 근로계약서상 부존재하거나 설령 묵시적 합의가 있었더라도 법정수당에 미달하는 범위에서 무효이며(근로기준법 제56조 제1항 [출처: kr/근로기준법/법률(법률).md | 현행확인 2026-06-09]), 피고가 주장하는 퇴직금 지급 유예 합의는 원고의 동의를 보여주는 자료가 제출된 바 없고 원고 본인의 명시적 동의가 인정되지 않는 이상 원고에 대하여 효력이 없습니다(근로자퇴직급여보장법 제9조 제1항 [출처: kr/근로자퇴직급여보장법/법률.md | 현행확인 2026-03-17]). 따라서 원고의 청구는 인용되어야 합니다.</w:t>
      </w:r>
    </w:p>
    <w:p>
      <w:pPr>
        <w:spacing w:after="120" w:before="240" w:line="360"/>
      </w:pPr>
      <w:r>
        <w:rPr>
          <w:rFonts w:ascii="Batang" w:eastAsia="Batang" w:hAnsi="Batang"/>
          <w:b/>
          <w:bCs/>
          <w:sz w:val="24"/>
          <w:szCs w:val="24"/>
        </w:rPr>
        <w:t xml:space="preserve">7. [변호사 확인 필요 사항]</w:t>
      </w:r>
    </w:p>
    <w:p>
      <w:pPr>
        <w:spacing w:after="120" w:before="0" w:line="360"/>
        <w:ind w:left="400"/>
      </w:pPr>
      <w:r>
        <w:rPr>
          <w:rFonts w:ascii="Batang" w:eastAsia="Batang" w:hAnsi="Batang"/>
          <w:sz w:val="24"/>
          <w:szCs w:val="24"/>
        </w:rPr>
        <w:t xml:space="preserve">① 경영상 이유 해고의 실체 요건 검토 — /legal-research 보강 필요. 현재 리서치 파일에 해당 법리가 없으므로 보강 후 별도 준비서면 제출 필요. 피고의 예비적 주장에 대한 완전한 반박을 위해 긴박한 경영상 필요성, 해고 회피 노력, 합리적·공정한 해고 기준, 근로자 대표와의 협의 절차 불이행 등 요건별 검토가 필요합니다.</w:t>
      </w:r>
    </w:p>
    <w:p>
      <w:pPr>
        <w:spacing w:after="120" w:before="0" w:line="360"/>
        <w:ind w:left="400"/>
      </w:pPr>
      <w:r>
        <w:rPr>
          <w:rFonts w:ascii="Batang" w:eastAsia="Batang" w:hAnsi="Batang"/>
          <w:sz w:val="24"/>
          <w:szCs w:val="24"/>
        </w:rPr>
        <w:t xml:space="preserve">② 지연이자 이율 — 근로기준법 시행령 제17조 [출처: kr/근로기준법/시행령.md | 현행확인 2025-04-08] 상 연 20%이나, 민사소송상 청구 방식(소장 부본 송달일 다음날 기산 여부) 및 소송촉진 등에 관한 특례법상 이율과의 관계 확인 필요.</w:t>
      </w:r>
    </w:p>
    <w:p>
      <w:pPr>
        <w:spacing w:after="120" w:before="0" w:line="360"/>
        <w:ind w:left="400"/>
      </w:pPr>
      <w:r>
        <w:rPr>
          <w:rFonts w:ascii="Batang" w:eastAsia="Batang" w:hAnsi="Batang"/>
          <w:sz w:val="24"/>
          <w:szCs w:val="24"/>
        </w:rPr>
        <w:t xml:space="preserve">③ 연장근로수당 정확한 산정액 — 급여명세서(갑6) 기반 통상임금 및 월 실제 연장근로시간 확인 후 청구금액 갱신 필요.</w:t>
      </w:r>
    </w:p>
    <w:p>
      <w:pPr>
        <w:spacing w:after="120" w:before="0" w:line="360"/>
        <w:ind w:left="400"/>
      </w:pPr>
      <w:r>
        <w:rPr>
          <w:rFonts w:ascii="Batang" w:eastAsia="Batang" w:hAnsi="Batang"/>
          <w:sz w:val="24"/>
          <w:szCs w:val="24"/>
        </w:rPr>
        <w:t xml:space="preserve">④ 퇴직금 정확한 산정액 — 퇴직 전 3개월 평균임금 기준 확인 후 청구금액 갱신 필요.</w:t>
      </w:r>
    </w:p>
    <w:p>
      <w:pPr>
        <w:spacing w:after="120" w:before="0" w:line="360"/>
        <w:ind w:left="400"/>
      </w:pPr>
      <w:r>
        <w:rPr>
          <w:rFonts w:ascii="Batang" w:eastAsia="Batang" w:hAnsi="Batang"/>
          <w:sz w:val="24"/>
          <w:szCs w:val="24"/>
        </w:rPr>
        <w:t xml:space="preserve">⑤ 갑 제6호증(급여명세서) 원본 확보 여부 — 원고로부터 2023. 1.~2025. 10. 기간 급여명세서 원본 수령 및 증거 목록 최종 확인 필요. 원본 확보 전까지 제출 보류.</w:t>
      </w:r>
    </w:p>
    <w:p>
      <w:pPr>
        <w:spacing w:after="120" w:before="0" w:line="360"/>
        <w:ind w:left="400"/>
      </w:pPr>
      <w:r>
        <w:rPr>
          <w:rFonts w:ascii="Batang" w:eastAsia="Batang" w:hAnsi="Batang"/>
          <w:sz w:val="24"/>
          <w:szCs w:val="24"/>
        </w:rPr>
        <w:t xml:space="preserve">⑥ 지급 유예 합의 — 의뢰인에게 유예 합의 제안·동의 여부 직접 확인 필요. 확인 결과를 상담메모 또는 별도 의뢰인 확인서에 기록한 후 쟁점3 서술 보강 필요. 갑4(내용증명)·갑5(회신 공문) 원문 확인 후 구체적 기재 내용 보강 필요.</w:t>
      </w:r>
    </w:p>
    <w:p>
      <w:pPr>
        <w:spacing w:after="240" w:before="480" w:line="360"/>
        <w:jc w:val="center"/>
      </w:pPr>
      <w:r>
        <w:rPr>
          <w:rFonts w:ascii="Batang" w:eastAsia="Batang" w:hAnsi="Batang"/>
          <w:b/>
          <w:bCs/>
          <w:sz w:val="28"/>
          <w:szCs w:val="28"/>
        </w:rPr>
        <w:t xml:space="preserve">입  증  방  법</w:t>
      </w:r>
    </w:p>
    <w:p>
      <w:pPr>
        <w:tabs>
          <w:tab w:val="left" w:pos="3600"/>
        </w:tabs>
        <w:spacing w:after="120" w:before="0" w:line="360"/>
      </w:pPr>
      <w:r>
        <w:rPr>
          <w:rFonts w:ascii="Batang" w:eastAsia="Batang" w:hAnsi="Batang"/>
          <w:sz w:val="24"/>
          <w:szCs w:val="24"/>
        </w:rPr>
        <w:t xml:space="preserve">1. 갑 제6호증</w:t>
      </w:r>
      <w:r>
        <w:rPr>
          <w:rFonts w:ascii="Batang" w:eastAsia="Batang" w:hAnsi="Batang"/>
          <w:sz w:val="24"/>
          <w:szCs w:val="24"/>
        </w:rPr>
        <w:tab/>
      </w:r>
      <w:r>
        <w:rPr>
          <w:rFonts w:ascii="Batang" w:eastAsia="Batang" w:hAnsi="Batang"/>
          <w:sz w:val="24"/>
          <w:szCs w:val="24"/>
        </w:rPr>
        <w:t xml:space="preserve">급여명세서(2023. 1.~2025. 10.) — 원본 확보 후 제출 예정</w:t>
      </w:r>
    </w:p>
    <w:p>
      <w:pPr>
        <w:spacing w:after="240" w:before="480" w:line="360"/>
        <w:jc w:val="center"/>
      </w:pPr>
      <w:r>
        <w:rPr>
          <w:rFonts w:ascii="Batang" w:eastAsia="Batang" w:hAnsi="Batang"/>
          <w:b/>
          <w:bCs/>
          <w:sz w:val="28"/>
          <w:szCs w:val="28"/>
        </w:rPr>
        <w:t xml:space="preserve">첨  부  서  류</w:t>
      </w:r>
    </w:p>
    <w:p>
      <w:pPr>
        <w:tabs>
          <w:tab w:val="left" w:pos="5400"/>
        </w:tabs>
        <w:spacing w:after="120" w:before="0" w:line="360"/>
      </w:pPr>
      <w:r>
        <w:rPr>
          <w:rFonts w:ascii="Batang" w:eastAsia="Batang" w:hAnsi="Batang"/>
          <w:sz w:val="24"/>
          <w:szCs w:val="24"/>
        </w:rPr>
        <w:t xml:space="preserve">1. 위 입증방법</w:t>
      </w:r>
      <w:r>
        <w:rPr>
          <w:rFonts w:ascii="Batang" w:eastAsia="Batang" w:hAnsi="Batang"/>
          <w:sz w:val="24"/>
          <w:szCs w:val="24"/>
        </w:rPr>
        <w:tab/>
      </w:r>
      <w:r>
        <w:rPr>
          <w:rFonts w:ascii="Batang" w:eastAsia="Batang" w:hAnsi="Batang"/>
          <w:sz w:val="24"/>
          <w:szCs w:val="24"/>
        </w:rPr>
        <w:t xml:space="preserve">각 2통</w:t>
      </w:r>
    </w:p>
    <w:p>
      <w:pPr>
        <w:tabs>
          <w:tab w:val="left" w:pos="5400"/>
        </w:tabs>
        <w:spacing w:after="120" w:before="0" w:line="360"/>
      </w:pPr>
      <w:r>
        <w:rPr>
          <w:rFonts w:ascii="Batang" w:eastAsia="Batang" w:hAnsi="Batang"/>
          <w:sz w:val="24"/>
          <w:szCs w:val="24"/>
        </w:rPr>
        <w:t xml:space="preserve">1. 준비서면 부본</w:t>
      </w:r>
      <w:r>
        <w:rPr>
          <w:rFonts w:ascii="Batang" w:eastAsia="Batang" w:hAnsi="Batang"/>
          <w:sz w:val="24"/>
          <w:szCs w:val="24"/>
        </w:rPr>
        <w:tab/>
      </w:r>
      <w:r>
        <w:rPr>
          <w:rFonts w:ascii="Batang" w:eastAsia="Batang" w:hAnsi="Batang"/>
          <w:sz w:val="24"/>
          <w:szCs w:val="24"/>
        </w:rPr>
        <w:t xml:space="preserve">1통</w:t>
      </w:r>
    </w:p>
    <w:p>
      <w:pPr>
        <w:spacing w:after="240" w:before="480" w:line="360"/>
        <w:jc w:val="center"/>
      </w:pPr>
      <w:r>
        <w:rPr>
          <w:rFonts w:ascii="Batang" w:eastAsia="Batang" w:hAnsi="Batang"/>
          <w:sz w:val="24"/>
          <w:szCs w:val="24"/>
        </w:rPr>
        <w:t xml:space="preserve">2026. 6. 12.</w:t>
      </w:r>
    </w:p>
    <w:p>
      <w:pPr>
        <w:spacing w:after="480" w:before="0" w:line="360"/>
        <w:jc w:val="right"/>
      </w:pPr>
      <w:r>
        <w:rPr>
          <w:rFonts w:ascii="Batang" w:eastAsia="Batang" w:hAnsi="Batang"/>
          <w:sz w:val="24"/>
          <w:szCs w:val="24"/>
        </w:rPr>
        <w:t xml:space="preserve">위 원고 소송대리인 법무법인 화현 담당변호사 이수진  (인)</w:t>
      </w:r>
    </w:p>
    <w:p>
      <w:pPr>
        <w:spacing w:after="120" w:before="240" w:line="360"/>
      </w:pPr>
      <w:r>
        <w:rPr>
          <w:rFonts w:ascii="Batang" w:eastAsia="Batang" w:hAnsi="Batang"/>
          <w:b/>
          <w:bCs/>
          <w:sz w:val="32"/>
          <w:szCs w:val="32"/>
        </w:rPr>
        <w:t xml:space="preserve">인천지방법원 제○민사부  귀중</w:t>
      </w:r>
    </w:p>
    <w:sectPr>
      <w:footerReference w:type="default" r:id="rId7"/>
      <w:pgSz w:w="11906" w:h="16838" w:orient="portrait"/>
      <w:pgMar w:top="255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eastAsia="Batang" w:hAnsi="Batang"/>
        <w:color w:val="999999"/>
        <w:sz w:val="14"/>
        <w:szCs w:val="14"/>
      </w:rPr>
      <w:t xml:space="preserve">[초안] — 변호사 검수 전 제출 금지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eastAsia="Batang" w:hAnsi="Bata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2026-06-12T07:39:13.848Z</dcterms:created>
  <dcterms:modified xsi:type="dcterms:W3CDTF">2026-06-12T07:39:13.848Z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