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ngti SC" w:hAnsi="Songti SC" w:eastAsia="宋体"/>
          <w:b/>
          <w:sz w:val="32"/>
        </w:rPr>
        <w:t>从网络到社会计算：复杂网络与图学习课程学习报告</w:t>
      </w:r>
    </w:p>
    <w:p>
      <w:pPr>
        <w:pStyle w:val="Heading1"/>
      </w:pPr>
      <w:r>
        <w:t>一、引言：为何以“网络”理解复杂世界</w:t>
      </w:r>
    </w:p>
    <w:p>
      <w:pPr>
        <w:spacing w:line="360" w:lineRule="auto" w:after="0"/>
        <w:ind w:firstLine="480"/>
      </w:pPr>
      <w:r>
        <w:t>网络科学的基本思想是：个体并非孤立存在，关键在于个体之间的连接方式以及由此形成的整体结构。无论是同学之间的交往、企业之间的合作竞争、城市之间的交通流动，还是知识概念之间的关联，都可以抽象为由节点（实体）与边（关系）构成的图结构。与传统“把对象当作独立样本”的分析范式不同，网络分析强调相互依赖性与结构性约束：一个行动者的机会、风险与影响力，往往由其所处位置、邻居类型与可达路径共同塑造。</w:t>
      </w:r>
    </w:p>
    <w:p>
      <w:pPr>
        <w:spacing w:line="360" w:lineRule="auto" w:after="0"/>
        <w:ind w:firstLine="480"/>
      </w:pPr>
      <w:r>
        <w:t>围绕这一核心视角，课程内容从网络基本概念出发，逐步进入网络的数学表示、结构指标与结构解释，再延伸到社会网络理论（强弱关系、结构洞）与网络动力学（传播与演化），并以图表示学习与图神经网络作为前沿方向，展示网络方法在数据科学与人工智能时代的进一步发展。本文在梳理主要知识体系的基础上，结合典型应用场景与个人思考，对“结构—行为—结果”的分析链条进行总结。</w:t>
      </w:r>
    </w:p>
    <w:p>
      <w:pPr>
        <w:pStyle w:val="Heading1"/>
      </w:pPr>
      <w:r>
        <w:t>二、网络的基本概念与数学表示</w:t>
      </w:r>
    </w:p>
    <w:p>
      <w:pPr>
        <w:pStyle w:val="Heading2"/>
      </w:pPr>
      <w:r>
        <w:t>2.1 节点、边与网络类型</w:t>
      </w:r>
    </w:p>
    <w:p>
      <w:pPr>
        <w:spacing w:line="360" w:lineRule="auto" w:after="0"/>
        <w:ind w:firstLine="480"/>
      </w:pPr>
      <w:r>
        <w:t>形式上，一个网络可记为图 G=(V,E)，其中 V 为节点集合，E 为边集合。边既可以表示无向关系（如“互为好友”），也可以表示有向关系（如“关注/引用/转发”）；既可以是二元离散关系（有/无），也可以附带权重（强度、频次、金额等）或符号（支持/反对、促进/抑制）。此外，现实网络常常具有多重关系与异质节点：同一对节点之间可能同时存在“同事”“合作”“共同参与项目”等多种边，不同类型节点之间还会形成二分图或异构图（如用户—商品、论文—作者—机构）。</w:t>
      </w:r>
    </w:p>
    <w:p>
      <w:pPr>
        <w:pStyle w:val="Heading2"/>
      </w:pPr>
      <w:r>
        <w:t>2.2 邻接矩阵、特征矩阵与可计算化</w:t>
      </w:r>
    </w:p>
    <w:p>
      <w:pPr>
        <w:spacing w:line="360" w:lineRule="auto" w:after="0"/>
        <w:ind w:firstLine="480"/>
      </w:pPr>
      <w:r>
        <w:t>将网络转化为可计算对象，通常采用邻接矩阵 A 表示边的连接关系：A_ij=1（或权重 w_ij）表示节点 i 与 j 之间存在边。若每个节点还携带属性（年龄、部门、行业、文本向量等），可用特征矩阵 X 表示。邻接矩阵提供“结构”，特征矩阵提供“内容”；二者结合，使我们既能分析结构本身，也能研究结构与属性如何共同决定行为与结果。</w:t>
      </w:r>
    </w:p>
    <w:p>
      <w:pPr>
        <w:spacing w:line="360" w:lineRule="auto" w:after="0"/>
        <w:ind w:firstLine="480"/>
      </w:pPr>
      <w:r>
        <w:t>值得注意的是，网络数据往往缺乏固定顺序与欧式空间局部性：节点的排列可以任意置换而不改变网络含义；局部邻域大小不一致；拓扑结构可能随时间变化。因此，网络建模需要面对“无序、非规则、动态”的数据特性，这也是图学习方法的重要出发点。</w:t>
      </w:r>
    </w:p>
    <w:p>
      <w:pPr>
        <w:pStyle w:val="Heading1"/>
      </w:pPr>
      <w:r>
        <w:t>三、网络结构分析：指标、社区与关键位置</w:t>
      </w:r>
    </w:p>
    <w:p>
      <w:pPr>
        <w:pStyle w:val="Heading2"/>
      </w:pPr>
      <w:r>
        <w:t>3.1 局部指标：度与聚类</w:t>
      </w:r>
    </w:p>
    <w:p>
      <w:pPr>
        <w:spacing w:line="360" w:lineRule="auto" w:after="0"/>
        <w:ind w:firstLine="480"/>
      </w:pPr>
      <w:r>
        <w:t>度（Degree）是最基础的结构指标，衡量一个节点直接连接的数量。在社交网络中，度高的节点通常拥有更大可见度或更丰富的社会接触面；在产业网络中，度高可能意味着供应/客户更分散、抗风险能力更强，但也可能带来协调成本。聚类系数刻画“朋友的朋友是否也是朋友”，反映局部闭合程度。高聚类往往对应更紧密的团体、更强的信任与规范，但也可能造成信息同质化与回音室效应。</w:t>
      </w:r>
    </w:p>
    <w:p>
      <w:pPr>
        <w:pStyle w:val="Heading2"/>
      </w:pPr>
      <w:r>
        <w:t>3.2 全局指标：距离、连通与小世界</w:t>
      </w:r>
    </w:p>
    <w:p>
      <w:pPr>
        <w:spacing w:line="360" w:lineRule="auto" w:after="0"/>
        <w:ind w:firstLine="480"/>
      </w:pPr>
      <w:r>
        <w:t>距离与最短路径用于刻画可达性：若网络平均路径长度较短，信息或风险可以快速扩散。许多现实网络呈现“小世界”特征，即在保持较高聚类的同时，平均距离仍然很短。这意味着少数跨团体连边就能显著降低整体距离，从而解释了为什么跨圈层的连接对传播与创新具有重要作用。</w:t>
      </w:r>
    </w:p>
    <w:p>
      <w:pPr>
        <w:pStyle w:val="Heading2"/>
      </w:pPr>
      <w:r>
        <w:t>3.3 中心性：重要性、控制力与桥梁作用</w:t>
      </w:r>
    </w:p>
    <w:p>
      <w:pPr>
        <w:spacing w:line="360" w:lineRule="auto" w:after="0"/>
        <w:ind w:firstLine="480"/>
      </w:pPr>
      <w:r>
        <w:t>中心性指标用于识别网络中的关键节点，但不同指标对应不同“关键”含义。度中心性强调直接连接数量；接近中心性强调到达其他节点的效率；介数中心性强调节点是否位于大量最短路径上，体现“桥梁/中介”作用。在组织协作网络中，介数高的成员可能掌握跨团队的信息通道，能够促进协作，也可能成为瓶颈；在信息传播网络中，接近中心性高的节点更易快速触达全网。</w:t>
      </w:r>
    </w:p>
    <w:p>
      <w:pPr>
        <w:pStyle w:val="Heading2"/>
      </w:pPr>
      <w:r>
        <w:t>3.4 社区结构与核心—边缘</w:t>
      </w:r>
    </w:p>
    <w:p>
      <w:pPr>
        <w:spacing w:line="360" w:lineRule="auto" w:after="0"/>
        <w:ind w:firstLine="480"/>
      </w:pPr>
      <w:r>
        <w:t>现实网络往往包含社区（Community）或模块：节点在社区内部连接更密集，社区之间连接相对稀疏。社区结构能够揭示兴趣群体、行业板块或功能模块。进一步地，许多网络呈现核心—边缘结构：核心区连接密集、影响力强，边缘区连接稀疏但可能承担多样化探索功能。在产业网络中，核心企业可能形成平台与标准，而边缘企业更灵活但资源有限；在学术合作网络中，核心团队拥有更强资源聚合能力，但新思想有时也来自边缘跨界组合。</w:t>
      </w:r>
    </w:p>
    <w:p>
      <w:pPr>
        <w:pStyle w:val="Heading1"/>
      </w:pPr>
      <w:r>
        <w:t>四、社会网络理论：强弱关系与结构洞</w:t>
      </w:r>
    </w:p>
    <w:p>
      <w:pPr>
        <w:pStyle w:val="Heading2"/>
      </w:pPr>
      <w:r>
        <w:t>4.1 强关系：信任、支持与沉没成本</w:t>
      </w:r>
    </w:p>
    <w:p>
      <w:pPr>
        <w:spacing w:line="360" w:lineRule="auto" w:after="0"/>
        <w:ind w:firstLine="480"/>
      </w:pPr>
      <w:r>
        <w:t>强关系通常对应高频互动、情感投入与互惠义务。其优势在于信任与支持：当资源具有隐性、需要长期合作或存在较高机会主义风险时，强关系更能降低交易成本。然而，强关系也会带来沉没成本与路径依赖：过于封闭的强关系圈层可能抑制新信息进入，使个体在机会搜索与认知更新上受到限制。</w:t>
      </w:r>
    </w:p>
    <w:p>
      <w:pPr>
        <w:pStyle w:val="Heading2"/>
      </w:pPr>
      <w:r>
        <w:t>4.2 弱关系的力量：跨圈层信息与机会发现</w:t>
      </w:r>
    </w:p>
    <w:p>
      <w:pPr>
        <w:spacing w:line="360" w:lineRule="auto" w:after="0"/>
        <w:ind w:firstLine="480"/>
      </w:pPr>
      <w:r>
        <w:t>弱关系往往连接不同社群，能引入异质信息，因此在求职信息扩散、创新扩散与资源匹配中具有独特价值。可以将其理解为“低成本的跨边界通道”：维护成本低，但在关键时刻能提供新的线索、视角与连接。以校园场景为例，频繁一起学习的同伴关系可帮助稳定输出，但实习或竞赛机会常常来自于社团、跨学院课程、短期合作等弱关系渠道。</w:t>
      </w:r>
    </w:p>
    <w:p>
      <w:pPr>
        <w:pStyle w:val="Heading2"/>
      </w:pPr>
      <w:r>
        <w:t>4.3 结构洞：信息优势与控制优势</w:t>
      </w:r>
    </w:p>
    <w:p>
      <w:pPr>
        <w:spacing w:line="360" w:lineRule="auto" w:after="0"/>
        <w:ind w:firstLine="480"/>
      </w:pPr>
      <w:r>
        <w:t>结构洞指两个群体之间缺乏直接联系形成的“空隙”。处于结构洞位置的行动者能够连接彼此不连通的群体，从而获得两类优势：其一是信息优势，能够更早接触多源信息并进行筛选整合；其二是控制优势，能够影响信息或资源在群体之间的流动。对组织管理而言，结构洞位置的中层或项目经理往往在跨部门协作中扮演关键角色：其绩效既可能因整合能力而提升，也可能因过度依赖而造成系统性风险。</w:t>
      </w:r>
    </w:p>
    <w:p>
      <w:pPr>
        <w:spacing w:line="360" w:lineRule="auto" w:after="0"/>
        <w:ind w:firstLine="480"/>
      </w:pPr>
      <w:r>
        <w:t>需要强调的是，结构洞并非“越多越好”。占据结构洞也意味着更高的协调成本、解释成本与信任成本：不同群体可能拥有不同的规范与利益诉求，桥梁行动者需要投入额外精力才能维持关系稳定。因此，在实践中应当平衡“闭合带来的可靠性”和“跨界带来的新颖性”，形成适度的网络组合。</w:t>
      </w:r>
    </w:p>
    <w:p>
      <w:pPr>
        <w:pStyle w:val="Heading1"/>
      </w:pPr>
      <w:r>
        <w:t>五、网络动力学：传播、扩散与系统风险</w:t>
      </w:r>
    </w:p>
    <w:p>
      <w:pPr>
        <w:pStyle w:val="Heading2"/>
      </w:pPr>
      <w:r>
        <w:t>5.1 信息与疾病传播的网络视角</w:t>
      </w:r>
    </w:p>
    <w:p>
      <w:pPr>
        <w:spacing w:line="360" w:lineRule="auto" w:after="0"/>
        <w:ind w:firstLine="480"/>
      </w:pPr>
      <w:r>
        <w:t>网络动力学研究节点状态如何在边的作用下随时间变化。典型例子包括信息传播、谣言扩散、产品口碑传播以及传染病扩散。网络结构决定了传播阈值与速度：高度异质的度分布可能使少数超级节点成为传播加速器；社区结构可能造成“局部爆发—跨社区跳跃”的传播模式；桥接边数量影响跨圈层扩散的可能性。</w:t>
      </w:r>
    </w:p>
    <w:p>
      <w:pPr>
        <w:pStyle w:val="Heading2"/>
      </w:pPr>
      <w:r>
        <w:t>5.2 级联失败与系统韧性</w:t>
      </w:r>
    </w:p>
    <w:p>
      <w:pPr>
        <w:spacing w:line="360" w:lineRule="auto" w:after="0"/>
        <w:ind w:firstLine="480"/>
      </w:pPr>
      <w:r>
        <w:t>在电力网络、金融网络或供应链网络中，局部故障可能触发级联失败。网络科学强调“相关性”与“耦合性”：当关键节点或关键边失效时，替代路径不足将导致连锁崩溃。提升系统韧性需要从结构层面入手，例如增加冗余连接、避免过度集中、识别关键桥梁并设计分层隔离机制。产业网络的风险评估也可借鉴该思路：过度依赖单一供应商、关键零部件集中度过高，都可能导致外部冲击迅速传导并放大。</w:t>
      </w:r>
    </w:p>
    <w:p>
      <w:pPr>
        <w:pStyle w:val="Heading2"/>
      </w:pPr>
      <w:r>
        <w:t>5.3 动态网络与行为反馈</w:t>
      </w:r>
    </w:p>
    <w:p>
      <w:pPr>
        <w:spacing w:line="360" w:lineRule="auto" w:after="0"/>
        <w:ind w:firstLine="480"/>
      </w:pPr>
      <w:r>
        <w:t>现实网络并非静态。关系会因合作、冲突、制度变化而改变，节点行为也会反过来重塑网络结构，形成“结构—行为—结构”的反馈回路。例如，社交媒体平台中，推荐机制改变了信息可达性，用户的互动行为又进一步影响内容分发；疫情期间的社交距离政策改变了接触网络结构，从而影响传播动力学。理解这种反馈，有助于我们在治理与干预中避免只看短期效果而忽视结构性后果。</w:t>
      </w:r>
    </w:p>
    <w:p>
      <w:pPr>
        <w:pStyle w:val="Heading1"/>
      </w:pPr>
      <w:r>
        <w:t>六、图表示学习与图神经网络：从手工指标到数据驱动表示</w:t>
      </w:r>
    </w:p>
    <w:p>
      <w:pPr>
        <w:pStyle w:val="Heading2"/>
      </w:pPr>
      <w:r>
        <w:t>6.1 表示学习的动机</w:t>
      </w:r>
    </w:p>
    <w:p>
      <w:pPr>
        <w:spacing w:line="360" w:lineRule="auto" w:after="0"/>
        <w:ind w:firstLine="480"/>
      </w:pPr>
      <w:r>
        <w:t>传统网络分析常依赖人工设计指标（中心性、聚类系数等）来描述节点或网络。但在大规模复杂网络中，结构模式多样、任务差异显著，单一指标难以覆盖。图表示学习旨在把节点、边或整个图映射为向量，使后续的分类、预测与检索可以在向量空间中进行。其核心目标是：在低维表示中尽可能保留拓扑邻近性、语义相似性与任务相关信息。</w:t>
      </w:r>
    </w:p>
    <w:p>
      <w:pPr>
        <w:pStyle w:val="Heading2"/>
      </w:pPr>
      <w:r>
        <w:t>6.2 图神经网络的基本思想</w:t>
      </w:r>
    </w:p>
    <w:p>
      <w:pPr>
        <w:spacing w:line="360" w:lineRule="auto" w:after="0"/>
        <w:ind w:firstLine="480"/>
      </w:pPr>
      <w:r>
        <w:t>图神经网络通常遵循“消息传递/邻居聚合”范式：每个节点从邻居收集信息，与自身特征融合后更新表示，层层堆叠即可获得更大范围的结构信息。该思想与网络中“位置由邻居决定”的直觉一致：一个用户的兴趣不仅由自述属性决定，也受其社交邻居、互动对象与共同参与活动影响。</w:t>
      </w:r>
    </w:p>
    <w:p>
      <w:pPr>
        <w:pStyle w:val="Heading2"/>
      </w:pPr>
      <w:r>
        <w:t>6.3 典型任务与应用场景</w:t>
      </w:r>
    </w:p>
    <w:p>
      <w:pPr>
        <w:spacing w:line="360" w:lineRule="auto" w:after="0"/>
        <w:ind w:firstLine="480"/>
      </w:pPr>
      <w:r>
        <w:t>节点分类可用于识别社群角色、欺诈账号或论文领域；链接预测可用于好友推荐、合作伙伴发现或知识图谱补全；图级任务可用于分子性质预测、交通路网拥堵预测等。在管理与产业分析中，图学习还可以用于供应链风险预测、企业相似性检索与创新扩散路径识别。图表示学习把网络科学与现代机器学习紧密结合，使网络方法不仅用于解释，也能用于预测与决策支持。</w:t>
      </w:r>
    </w:p>
    <w:p>
      <w:pPr>
        <w:spacing w:line="360" w:lineRule="auto" w:after="0"/>
        <w:ind w:firstLine="480"/>
      </w:pPr>
      <w:r>
        <w:t>同时也应看到图学习的挑战：过平滑导致节点表示趋同、过挤压导致信息损失；动态图与异构图带来更复杂的建模需求；以及可解释性与公平性问题。对这些挑战的理解，有助于我们在实际使用图模型时保持谨慎与透明。</w:t>
      </w:r>
    </w:p>
    <w:p>
      <w:pPr>
        <w:pStyle w:val="Heading1"/>
      </w:pPr>
      <w:r>
        <w:t>七、综合反思：以“关系”补全以“属性”为中心的视角</w:t>
      </w:r>
    </w:p>
    <w:p>
      <w:pPr>
        <w:spacing w:line="360" w:lineRule="auto" w:after="0"/>
        <w:ind w:firstLine="480"/>
      </w:pPr>
      <w:r>
        <w:t>本课程带给我的最大收获，是建立了“关系—结构—机制”的分析框架。许多现实问题之所以难以解释，恰恰是因为我们只看到了个体属性，却忽略了关系结构对行为的约束与放大效应。网络视角强调：机会来自连接，风险沿路径传导，影响力由位置塑造。</w:t>
      </w:r>
    </w:p>
    <w:p>
      <w:pPr>
        <w:spacing w:line="360" w:lineRule="auto" w:after="0"/>
        <w:ind w:firstLine="480"/>
      </w:pPr>
      <w:r>
        <w:t>在学习方法上，我也意识到网络分析需要“定量指标与情境解释”并重。结构指标可以快速刻画差异，但其含义依赖场景：同样的高介数，在组织协作中可能意味着关键协调者，在社交媒体中可能意味着跨圈层传播者，在供应链中则可能意味着单点故障风险。因此，分析时应避免机械套用指标，而要回到机制与情境，解释“为什么该结构会导致该结果”。</w:t>
      </w:r>
    </w:p>
    <w:p>
      <w:pPr>
        <w:spacing w:line="360" w:lineRule="auto" w:after="0"/>
        <w:ind w:firstLine="480"/>
      </w:pPr>
      <w:r>
        <w:t>此外，社会网络理论与图学习方法之间并非割裂：强弱关系与结构洞揭示了跨社区边在信息获取中的价值，社区结构解释了同质化与分层扩散，中心性指标对应了不同形式的影响力。图神经网络的邻居聚合，本质上也是在以计算方式捕捉这些结构规律。将理论洞察与算法工具结合，才能避免“只有模型、没有解释”或“只有概念、缺乏验证”的两种偏差。</w:t>
      </w:r>
    </w:p>
    <w:p>
      <w:pPr>
        <w:pStyle w:val="Heading1"/>
      </w:pPr>
      <w:r>
        <w:t>八、结论</w:t>
      </w:r>
    </w:p>
    <w:p>
      <w:pPr>
        <w:spacing w:line="360" w:lineRule="auto" w:after="0"/>
        <w:ind w:firstLine="480"/>
      </w:pPr>
      <w:r>
        <w:t>综上，课程以复杂网络为主线，贯通了网络的形式化表示、结构指标与结构解释、社会网络理论、网络动力学以及图表示学习等内容，构成从基础到前沿的知识体系。网络不仅是一种数据结构，更是一种理解复杂现实的思维方式。未来无论是在社会科学研究、组织与产业分析、公共治理与风险管理，还是在推荐系统、知识图谱与智能决策中，网络方法都具有重要价值。对我而言，本课程强化了从“关系与位置”出发分析问题的能力，也促使我在面对复杂数据时更加关注结构机制与长期演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