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Arial" w:cs="Arial" w:eastAsia="Arial" w:hAnsi="Arial"/>
          <w:b/>
          <w:bCs/>
          <w:color w:val="2E4057"/>
          <w:sz w:val="48"/>
          <w:szCs w:val="48"/>
        </w:rPr>
        <w:t xml:space="preserve">Bulk RNA Deconvolution &amp; GSVA Pathway Analysis</w:t>
      </w:r>
    </w:p>
    <w:p>
      <w:pPr>
        <w:pBdr>
          <w:bottom w:val="single" w:color="1B6CA8" w:sz="6" w:space="1"/>
        </w:pBdr>
        <w:spacing w:after="400"/>
        <w:jc w:val="center"/>
      </w:pPr>
      <w:r>
        <w:t xml:space="preserve"/>
      </w:r>
    </w:p>
    <w:p>
      <w:pPr>
        <w:pStyle w:val="Heading1"/>
      </w:pPr>
      <w:r>
        <w:rPr>
          <w:rFonts w:ascii="Arial" w:cs="Arial" w:eastAsia="Arial" w:hAnsi="Arial"/>
          <w:b/>
          <w:bCs/>
          <w:sz w:val="32"/>
          <w:szCs w:val="32"/>
        </w:rPr>
        <w:t xml:space="preserve">Overview</w:t>
      </w:r>
    </w:p>
    <w:p>
      <w:pPr>
        <w:spacing w:after="120"/>
      </w:pPr>
      <w:r>
        <w:rPr>
          <w:rFonts w:ascii="Arial" w:cs="Arial" w:eastAsia="Arial" w:hAnsi="Arial"/>
          <w:sz w:val="22"/>
          <w:szCs w:val="22"/>
        </w:rPr>
        <w:t xml:space="preserve">This analysis characterises the tumour microenvironment of 10 matched normal and tumour samples from 5 patients (S02, S03, S05, S06, and S10) using bulk RNA deconvolution and gene set variation analysis (GSVA). Samples were processed as matched pairs — each tumour sample has a corresponding normal tissue sample from the same patient — enabling a paired analytical design that controls for inter-patient variability and improves the statistical power of tumour versus normal comparisons.</w:t>
      </w:r>
    </w:p>
    <w:p>
      <w:r>
        <w:t xml:space="preserve"/>
      </w:r>
    </w:p>
    <w:p>
      <w:pPr>
        <w:spacing w:after="120"/>
      </w:pPr>
      <w:r>
        <w:rPr>
          <w:rFonts w:ascii="Arial" w:cs="Arial" w:eastAsia="Arial" w:hAnsi="Arial"/>
          <w:sz w:val="22"/>
          <w:szCs w:val="22"/>
        </w:rPr>
        <w:t xml:space="preserve">The normalised gene expression matrix derived from the DESeq2 workflow was used as input. Three complementary problems were addressed: (1) cellular composition estimation via multi-method bulk RNA deconvolution with hierarchical clustering, (2) statistical comparison of cell-type estimates between tumour and normal groups using paired t-tests, and (3) pathway-level activity analysis using GSVA against KEGG gene sets to identify differentially regulated biological processes in tumour tissue.</w:t>
      </w:r>
    </w:p>
    <w:p>
      <w:r>
        <w:t xml:space="preserve"/>
      </w:r>
    </w:p>
    <w:p>
      <w:pPr>
        <w:pStyle w:val="Heading1"/>
      </w:pPr>
      <w:r>
        <w:rPr>
          <w:rFonts w:ascii="Arial" w:cs="Arial" w:eastAsia="Arial" w:hAnsi="Arial"/>
          <w:b/>
          <w:bCs/>
          <w:sz w:val="32"/>
          <w:szCs w:val="32"/>
        </w:rPr>
        <w:t xml:space="preserve">Methods</w:t>
      </w:r>
    </w:p>
    <w:p>
      <w:pPr>
        <w:pStyle w:val="Heading2"/>
      </w:pPr>
      <w:r>
        <w:rPr>
          <w:rFonts w:ascii="Arial" w:cs="Arial" w:eastAsia="Arial" w:hAnsi="Arial"/>
          <w:b/>
          <w:bCs/>
          <w:sz w:val="28"/>
          <w:szCs w:val="28"/>
        </w:rPr>
        <w:t xml:space="preserve">Data &amp; Normalisation</w:t>
      </w:r>
    </w:p>
    <w:p>
      <w:pPr>
        <w:spacing w:after="120"/>
      </w:pPr>
      <w:r>
        <w:rPr>
          <w:rFonts w:ascii="Arial" w:cs="Arial" w:eastAsia="Arial" w:hAnsi="Arial"/>
          <w:sz w:val="22"/>
          <w:szCs w:val="22"/>
        </w:rPr>
        <w:t xml:space="preserve">The DESeq2-normalised expression matrix was used as the primary input. DESeq2 applies size-factor normalisation to correct for differences in library depth and models count data using a negative binomial framework, producing statistically robust expression values comparable to CPM/RPKM. The linear-scale normalised matrix was used for deconvolution methods, and variance-stabilised/log-transformed values were used for GSVA, ensuring appropriate input scaling for each tool.</w:t>
      </w:r>
    </w:p>
    <w:p>
      <w:r>
        <w:t xml:space="preserve"/>
      </w:r>
    </w:p>
    <w:p>
      <w:pPr>
        <w:pStyle w:val="Heading2"/>
      </w:pPr>
      <w:r>
        <w:rPr>
          <w:rFonts w:ascii="Arial" w:cs="Arial" w:eastAsia="Arial" w:hAnsi="Arial"/>
          <w:b/>
          <w:bCs/>
          <w:sz w:val="28"/>
          <w:szCs w:val="28"/>
        </w:rPr>
        <w:t xml:space="preserve">Deconvolution Methods</w:t>
      </w:r>
    </w:p>
    <w:p>
      <w:pPr>
        <w:pStyle w:val="Heading3"/>
      </w:pPr>
      <w:r>
        <w:rPr>
          <w:rFonts w:ascii="Arial" w:cs="Arial" w:eastAsia="Arial" w:hAnsi="Arial"/>
          <w:b/>
          <w:bCs/>
          <w:sz w:val="24"/>
          <w:szCs w:val="24"/>
        </w:rPr>
        <w:t xml:space="preserve">Individual Methods</w:t>
      </w:r>
    </w:p>
    <w:p>
      <w:pPr>
        <w:pStyle w:val="ListParagraph"/>
        <w:numPr>
          <w:ilvl w:val="0"/>
          <w:numId w:val="2"/>
        </w:numPr>
      </w:pPr>
      <w:r>
        <w:rPr>
          <w:rFonts w:ascii="Arial" w:cs="Arial" w:eastAsia="Arial" w:hAnsi="Arial"/>
          <w:sz w:val="22"/>
          <w:szCs w:val="22"/>
        </w:rPr>
        <w:t xml:space="preserve">EPIC — Estimates relative proportions of immune and cancer cells using reference gene signatures, providing quantitative cell fractions.</w:t>
      </w:r>
    </w:p>
    <w:p>
      <w:pPr>
        <w:pStyle w:val="ListParagraph"/>
        <w:numPr>
          <w:ilvl w:val="0"/>
          <w:numId w:val="2"/>
        </w:numPr>
      </w:pPr>
      <w:r>
        <w:rPr>
          <w:rFonts w:ascii="Arial" w:cs="Arial" w:eastAsia="Arial" w:hAnsi="Arial"/>
          <w:sz w:val="22"/>
          <w:szCs w:val="22"/>
        </w:rPr>
        <w:t xml:space="preserve">MCPcounter — Calculates absolute enrichment scores for immune and stromal populations using highly specific marker genes, capturing fibroblasts and endothelial cells in addition to immune populations.</w:t>
      </w:r>
    </w:p>
    <w:p>
      <w:r>
        <w:t xml:space="preserve"/>
      </w:r>
    </w:p>
    <w:p>
      <w:pPr>
        <w:pStyle w:val="Heading3"/>
      </w:pPr>
      <w:r>
        <w:rPr>
          <w:rFonts w:ascii="Arial" w:cs="Arial" w:eastAsia="Arial" w:hAnsi="Arial"/>
          <w:b/>
          <w:bCs/>
          <w:sz w:val="24"/>
          <w:szCs w:val="24"/>
        </w:rPr>
        <w:t xml:space="preserve">Consensus Method</w:t>
      </w:r>
    </w:p>
    <w:p>
      <w:pPr>
        <w:pStyle w:val="ListParagraph"/>
        <w:numPr>
          <w:ilvl w:val="0"/>
          <w:numId w:val="2"/>
        </w:numPr>
      </w:pPr>
      <w:r>
        <w:rPr>
          <w:rFonts w:ascii="Arial" w:cs="Arial" w:eastAsia="Arial" w:hAnsi="Arial"/>
          <w:sz w:val="22"/>
          <w:szCs w:val="22"/>
        </w:rPr>
        <w:t xml:space="preserve">DECOSUS — Applies ssGSEA and quanTIseq internally as a consensus/regression-based framework, integrating multiple algorithms to increase sensitivity and reduce method-specific bias.</w:t>
      </w:r>
    </w:p>
    <w:p>
      <w:r>
        <w:t xml:space="preserve"/>
      </w:r>
    </w:p>
    <w:p>
      <w:pPr>
        <w:spacing w:after="120"/>
      </w:pPr>
      <w:r>
        <w:rPr>
          <w:rFonts w:ascii="Arial" w:cs="Arial" w:eastAsia="Arial" w:hAnsi="Arial"/>
          <w:sz w:val="22"/>
          <w:szCs w:val="22"/>
        </w:rPr>
        <w:t xml:space="preserve">Combining three methods reduces method-specific bias, enables cross-validation of cellular estimates, and increases confidence in tumour versus normal comparisons.</w:t>
      </w:r>
    </w:p>
    <w:p>
      <w:r>
        <w:t xml:space="preserve"/>
      </w:r>
    </w:p>
    <w:p>
      <w:pPr>
        <w:pStyle w:val="Heading1"/>
      </w:pPr>
      <w:r>
        <w:rPr>
          <w:rFonts w:ascii="Arial" w:cs="Arial" w:eastAsia="Arial" w:hAnsi="Arial"/>
          <w:b/>
          <w:bCs/>
          <w:sz w:val="32"/>
          <w:szCs w:val="32"/>
        </w:rPr>
        <w:t xml:space="preserve">Results: Deconvolution Heatmaps</w:t>
      </w:r>
    </w:p>
    <w:p>
      <w:pPr>
        <w:pStyle w:val="Heading2"/>
      </w:pPr>
      <w:r>
        <w:rPr>
          <w:rFonts w:ascii="Arial" w:cs="Arial" w:eastAsia="Arial" w:hAnsi="Arial"/>
          <w:b/>
          <w:bCs/>
          <w:sz w:val="28"/>
          <w:szCs w:val="28"/>
        </w:rPr>
        <w:t xml:space="preserve">EPIC Results</w:t>
      </w:r>
    </w:p>
    <w:p>
      <w:pPr>
        <w:spacing w:after="120"/>
      </w:pPr>
      <w:r>
        <w:rPr>
          <w:rFonts w:ascii="Arial" w:cs="Arial" w:eastAsia="Arial" w:hAnsi="Arial"/>
          <w:sz w:val="22"/>
          <w:szCs w:val="22"/>
        </w:rPr>
        <w:t xml:space="preserve">Both the mRNA Proportions and Cell Fractions heatmaps produced by EPIC showed the following patterns:</w:t>
      </w:r>
    </w:p>
    <w:p>
      <w:pPr>
        <w:pStyle w:val="ListParagraph"/>
        <w:numPr>
          <w:ilvl w:val="0"/>
          <w:numId w:val="2"/>
        </w:numPr>
      </w:pPr>
      <w:r>
        <w:rPr>
          <w:rFonts w:ascii="Arial" w:cs="Arial" w:eastAsia="Arial" w:hAnsi="Arial"/>
          <w:sz w:val="22"/>
          <w:szCs w:val="22"/>
        </w:rPr>
        <w:t xml:space="preserve">otherCells dominated all samples, comprising 38-70% across the cohort.</w:t>
      </w:r>
    </w:p>
    <w:p>
      <w:pPr>
        <w:pStyle w:val="ListParagraph"/>
        <w:numPr>
          <w:ilvl w:val="0"/>
          <w:numId w:val="2"/>
        </w:numPr>
      </w:pPr>
      <w:r>
        <w:rPr>
          <w:rFonts w:ascii="Arial" w:cs="Arial" w:eastAsia="Arial" w:hAnsi="Arial"/>
          <w:sz w:val="22"/>
          <w:szCs w:val="22"/>
        </w:rPr>
        <w:t xml:space="preserve">S06_Normal was a clear outlier, exhibiting extremely high CAFs (~99.9%), with near-zero Endothelial cells.</w:t>
      </w:r>
    </w:p>
    <w:p>
      <w:pPr>
        <w:pStyle w:val="ListParagraph"/>
        <w:numPr>
          <w:ilvl w:val="0"/>
          <w:numId w:val="2"/>
        </w:numPr>
      </w:pPr>
      <w:r>
        <w:rPr>
          <w:rFonts w:ascii="Arial" w:cs="Arial" w:eastAsia="Arial" w:hAnsi="Arial"/>
          <w:sz w:val="22"/>
          <w:szCs w:val="22"/>
        </w:rPr>
        <w:t xml:space="preserve">S02_Tumour also showed elevated CAFs relative to other samples.</w:t>
      </w:r>
    </w:p>
    <w:p>
      <w:pPr>
        <w:pStyle w:val="ListParagraph"/>
        <w:numPr>
          <w:ilvl w:val="0"/>
          <w:numId w:val="2"/>
        </w:numPr>
      </w:pPr>
      <w:r>
        <w:rPr>
          <w:rFonts w:ascii="Arial" w:cs="Arial" w:eastAsia="Arial" w:hAnsi="Arial"/>
          <w:sz w:val="22"/>
          <w:szCs w:val="22"/>
        </w:rPr>
        <w:t xml:space="preserve">Endothelial cells were moderately present in most samples (~13-27%), but nearly absent in S06_Normal.</w:t>
      </w:r>
    </w:p>
    <w:p>
      <w:pPr>
        <w:pStyle w:val="ListParagraph"/>
        <w:numPr>
          <w:ilvl w:val="0"/>
          <w:numId w:val="2"/>
        </w:numPr>
      </w:pPr>
      <w:r>
        <w:rPr>
          <w:rFonts w:ascii="Arial" w:cs="Arial" w:eastAsia="Arial" w:hAnsi="Arial"/>
          <w:sz w:val="22"/>
          <w:szCs w:val="22"/>
        </w:rPr>
        <w:t xml:space="preserve">All immune cell types (B cells, CD4, CD8, NK cells, Macrophages) were consistently very low (&lt;5%) across all samples.</w:t>
      </w:r>
    </w:p>
    <w:p>
      <w:pPr>
        <w:pStyle w:val="ListParagraph"/>
        <w:numPr>
          <w:ilvl w:val="0"/>
          <w:numId w:val="2"/>
        </w:numPr>
      </w:pPr>
      <w:r>
        <w:rPr>
          <w:rFonts w:ascii="Arial" w:cs="Arial" w:eastAsia="Arial" w:hAnsi="Arial"/>
          <w:sz w:val="22"/>
          <w:szCs w:val="22"/>
        </w:rPr>
        <w:t xml:space="preserve">Samples did not cluster cleanly by tumour/normal grouping.</w:t>
      </w:r>
    </w:p>
    <w:p>
      <w:r>
        <w:t xml:space="preserve"/>
      </w:r>
    </w:p>
    <w:p>
      <w:pPr>
        <w:pStyle w:val="Heading2"/>
      </w:pPr>
      <w:r>
        <w:rPr>
          <w:rFonts w:ascii="Arial" w:cs="Arial" w:eastAsia="Arial" w:hAnsi="Arial"/>
          <w:b/>
          <w:bCs/>
          <w:sz w:val="28"/>
          <w:szCs w:val="28"/>
        </w:rPr>
        <w:t xml:space="preserve">MCPcounter Results</w:t>
      </w:r>
    </w:p>
    <w:p>
      <w:pPr>
        <w:spacing w:after="120"/>
      </w:pPr>
      <w:r>
        <w:rPr>
          <w:rFonts w:ascii="Arial" w:cs="Arial" w:eastAsia="Arial" w:hAnsi="Arial"/>
          <w:sz w:val="22"/>
          <w:szCs w:val="22"/>
        </w:rPr>
        <w:t xml:space="preserve">MCPcounter provides absolute enrichment scores (not proportions), so values are not constrained to sum to 1. Key patterns observed:</w:t>
      </w:r>
    </w:p>
    <w:p>
      <w:pPr>
        <w:pStyle w:val="ListParagraph"/>
        <w:numPr>
          <w:ilvl w:val="0"/>
          <w:numId w:val="2"/>
        </w:numPr>
      </w:pPr>
      <w:r>
        <w:rPr>
          <w:rFonts w:ascii="Arial" w:cs="Arial" w:eastAsia="Arial" w:hAnsi="Arial"/>
          <w:sz w:val="22"/>
          <w:szCs w:val="22"/>
        </w:rPr>
        <w:t xml:space="preserve">Fibroblasts dominated with S06_Normal showing an extreme score of 31,556 vs. others (~850-4,970).</w:t>
      </w:r>
    </w:p>
    <w:p>
      <w:pPr>
        <w:pStyle w:val="ListParagraph"/>
        <w:numPr>
          <w:ilvl w:val="0"/>
          <w:numId w:val="2"/>
        </w:numPr>
      </w:pPr>
      <w:r>
        <w:rPr>
          <w:rFonts w:ascii="Arial" w:cs="Arial" w:eastAsia="Arial" w:hAnsi="Arial"/>
          <w:sz w:val="22"/>
          <w:szCs w:val="22"/>
        </w:rPr>
        <w:t xml:space="preserve">Monocytic lineage was consistently elevated across all samples (~60-265).</w:t>
      </w:r>
    </w:p>
    <w:p>
      <w:pPr>
        <w:pStyle w:val="ListParagraph"/>
        <w:numPr>
          <w:ilvl w:val="0"/>
          <w:numId w:val="2"/>
        </w:numPr>
      </w:pPr>
      <w:r>
        <w:rPr>
          <w:rFonts w:ascii="Arial" w:cs="Arial" w:eastAsia="Arial" w:hAnsi="Arial"/>
          <w:sz w:val="22"/>
          <w:szCs w:val="22"/>
        </w:rPr>
        <w:t xml:space="preserve">T cells, CD8 T cells, and Cytotoxic lymphocytes showed higher variability between samples, with S03_Tumour and S05_Tumour showing elevated scores.</w:t>
      </w:r>
    </w:p>
    <w:p>
      <w:pPr>
        <w:pStyle w:val="ListParagraph"/>
        <w:numPr>
          <w:ilvl w:val="0"/>
          <w:numId w:val="2"/>
        </w:numPr>
      </w:pPr>
      <w:r>
        <w:rPr>
          <w:rFonts w:ascii="Arial" w:cs="Arial" w:eastAsia="Arial" w:hAnsi="Arial"/>
          <w:sz w:val="22"/>
          <w:szCs w:val="22"/>
        </w:rPr>
        <w:t xml:space="preserve">B lineage remained low across most samples.</w:t>
      </w:r>
    </w:p>
    <w:p>
      <w:pPr>
        <w:pStyle w:val="ListParagraph"/>
        <w:numPr>
          <w:ilvl w:val="0"/>
          <w:numId w:val="2"/>
        </w:numPr>
      </w:pPr>
      <w:r>
        <w:rPr>
          <w:rFonts w:ascii="Arial" w:cs="Arial" w:eastAsia="Arial" w:hAnsi="Arial"/>
          <w:sz w:val="22"/>
          <w:szCs w:val="22"/>
        </w:rPr>
        <w:t xml:space="preserve">Myeloid dendritic cells and Neutrophils showed moderate scores.</w:t>
      </w:r>
    </w:p>
    <w:p>
      <w:pPr>
        <w:pStyle w:val="ListParagraph"/>
        <w:numPr>
          <w:ilvl w:val="0"/>
          <w:numId w:val="2"/>
        </w:numPr>
      </w:pPr>
      <w:r>
        <w:rPr>
          <w:rFonts w:ascii="Arial" w:cs="Arial" w:eastAsia="Arial" w:hAnsi="Arial"/>
          <w:sz w:val="22"/>
          <w:szCs w:val="22"/>
        </w:rPr>
        <w:t xml:space="preserve">S02_Tumour showed notably high Fibroblast scores.</w:t>
      </w:r>
    </w:p>
    <w:p>
      <w:pPr>
        <w:pStyle w:val="ListParagraph"/>
        <w:numPr>
          <w:ilvl w:val="0"/>
          <w:numId w:val="2"/>
        </w:numPr>
      </w:pPr>
      <w:r>
        <w:rPr>
          <w:rFonts w:ascii="Arial" w:cs="Arial" w:eastAsia="Arial" w:hAnsi="Arial"/>
          <w:sz w:val="22"/>
          <w:szCs w:val="22"/>
        </w:rPr>
        <w:t xml:space="preserve">Samples did not cluster cleanly by tumour/normal status. The S06_Normal Fibroblasts outlier is consistent across both methods, strengthening confidence in that finding.</w:t>
      </w:r>
    </w:p>
    <w:p>
      <w:r>
        <w:t xml:space="preserve"/>
      </w:r>
    </w:p>
    <w:p>
      <w:pPr>
        <w:pStyle w:val="Heading2"/>
      </w:pPr>
      <w:r>
        <w:rPr>
          <w:rFonts w:ascii="Arial" w:cs="Arial" w:eastAsia="Arial" w:hAnsi="Arial"/>
          <w:b/>
          <w:bCs/>
          <w:sz w:val="28"/>
          <w:szCs w:val="28"/>
        </w:rPr>
        <w:t xml:space="preserve">DECOSUS Results</w:t>
      </w:r>
    </w:p>
    <w:p>
      <w:pPr>
        <w:spacing w:after="120"/>
      </w:pPr>
      <w:r>
        <w:rPr>
          <w:rFonts w:ascii="Arial" w:cs="Arial" w:eastAsia="Arial" w:hAnsi="Arial"/>
          <w:sz w:val="22"/>
          <w:szCs w:val="22"/>
        </w:rPr>
        <w:t xml:space="preserve">DECOSUS used 7,849 genes, produced 80 sample-level scores and 15 cell types across 10 samples, with 104/153 (67.97%) signature genes found — an acceptable coverage. Key heatmap patterns:</w:t>
      </w:r>
    </w:p>
    <w:p>
      <w:pPr>
        <w:pStyle w:val="ListParagraph"/>
        <w:numPr>
          <w:ilvl w:val="0"/>
          <w:numId w:val="2"/>
        </w:numPr>
      </w:pPr>
      <w:r>
        <w:rPr>
          <w:rFonts w:ascii="Arial" w:cs="Arial" w:eastAsia="Arial" w:hAnsi="Arial"/>
          <w:sz w:val="22"/>
          <w:szCs w:val="22"/>
        </w:rPr>
        <w:t xml:space="preserve">Samples do not separate cleanly by tumour/normal, consistent with EPIC and MCPcounter.</w:t>
      </w:r>
    </w:p>
    <w:p>
      <w:pPr>
        <w:pStyle w:val="ListParagraph"/>
        <w:numPr>
          <w:ilvl w:val="0"/>
          <w:numId w:val="2"/>
        </w:numPr>
      </w:pPr>
      <w:r>
        <w:rPr>
          <w:rFonts w:ascii="Arial" w:cs="Arial" w:eastAsia="Arial" w:hAnsi="Arial"/>
          <w:sz w:val="22"/>
          <w:szCs w:val="22"/>
        </w:rPr>
        <w:t xml:space="preserve">S06_Normal again clustered separately with an extreme stromal signature (Cancer-associated fibroblasts, StromaScore, Mesangial cells all elevated).</w:t>
      </w:r>
    </w:p>
    <w:p>
      <w:pPr>
        <w:pStyle w:val="ListParagraph"/>
        <w:numPr>
          <w:ilvl w:val="0"/>
          <w:numId w:val="2"/>
        </w:numPr>
      </w:pPr>
      <w:r>
        <w:rPr>
          <w:rFonts w:ascii="Arial" w:cs="Arial" w:eastAsia="Arial" w:hAnsi="Arial"/>
          <w:sz w:val="22"/>
          <w:szCs w:val="22"/>
        </w:rPr>
        <w:t xml:space="preserve">S10_Tumour and S06_Tumour showed the strongest immune activation — high B cell clusters, Plasmacytoid dendritic cells, Memory B-cells, and pro B-cells.</w:t>
      </w:r>
    </w:p>
    <w:p>
      <w:pPr>
        <w:pStyle w:val="ListParagraph"/>
        <w:numPr>
          <w:ilvl w:val="0"/>
          <w:numId w:val="2"/>
        </w:numPr>
      </w:pPr>
      <w:r>
        <w:rPr>
          <w:rFonts w:ascii="Arial" w:cs="Arial" w:eastAsia="Arial" w:hAnsi="Arial"/>
          <w:sz w:val="22"/>
          <w:szCs w:val="22"/>
        </w:rPr>
        <w:t xml:space="preserve">B cell cluster was elevated in tumour samples, especially S10_Tumour and S06_Tumour.</w:t>
      </w:r>
    </w:p>
    <w:p>
      <w:pPr>
        <w:pStyle w:val="ListParagraph"/>
        <w:numPr>
          <w:ilvl w:val="0"/>
          <w:numId w:val="2"/>
        </w:numPr>
      </w:pPr>
      <w:r>
        <w:rPr>
          <w:rFonts w:ascii="Arial" w:cs="Arial" w:eastAsia="Arial" w:hAnsi="Arial"/>
          <w:sz w:val="22"/>
          <w:szCs w:val="22"/>
        </w:rPr>
        <w:t xml:space="preserve">Stromal cluster was elevated in normal samples, particularly S06_Normal.</w:t>
      </w:r>
    </w:p>
    <w:p>
      <w:pPr>
        <w:pStyle w:val="ListParagraph"/>
        <w:numPr>
          <w:ilvl w:val="0"/>
          <w:numId w:val="2"/>
        </w:numPr>
      </w:pPr>
      <w:r>
        <w:rPr>
          <w:rFonts w:ascii="Arial" w:cs="Arial" w:eastAsia="Arial" w:hAnsi="Arial"/>
          <w:sz w:val="22"/>
          <w:szCs w:val="22"/>
        </w:rPr>
        <w:t xml:space="preserve">Bottom rows (cDC, GMP, Neutrophil, Adipocytes) were higher in normal samples.</w:t>
      </w:r>
    </w:p>
    <w:p>
      <w:r>
        <w:t xml:space="preserve"/>
      </w:r>
    </w:p>
    <w:p>
      <w:pPr>
        <w:pStyle w:val="Heading1"/>
      </w:pPr>
      <w:r>
        <w:rPr>
          <w:rFonts w:ascii="Arial" w:cs="Arial" w:eastAsia="Arial" w:hAnsi="Arial"/>
          <w:b/>
          <w:bCs/>
          <w:sz w:val="32"/>
          <w:szCs w:val="32"/>
        </w:rPr>
        <w:t xml:space="preserve">Results: Paired T-test &amp; Boxplots</w:t>
      </w:r>
    </w:p>
    <w:p>
      <w:pPr>
        <w:pStyle w:val="Heading2"/>
      </w:pPr>
      <w:r>
        <w:rPr>
          <w:rFonts w:ascii="Arial" w:cs="Arial" w:eastAsia="Arial" w:hAnsi="Arial"/>
          <w:b/>
          <w:bCs/>
          <w:sz w:val="28"/>
          <w:szCs w:val="28"/>
        </w:rPr>
        <w:t xml:space="preserve">EPIC</w:t>
      </w:r>
    </w:p>
    <w:p>
      <w:pPr>
        <w:spacing w:after="120"/>
      </w:pPr>
      <w:r>
        <w:rPr>
          <w:rFonts w:ascii="Arial" w:cs="Arial" w:eastAsia="Arial" w:hAnsi="Arial"/>
          <w:sz w:val="22"/>
          <w:szCs w:val="22"/>
        </w:rPr>
        <w:t xml:space="preserve">Only one cell type reached statistical significance:</w:t>
      </w:r>
    </w:p>
    <w:p>
      <w:pPr>
        <w:pStyle w:val="ListParagraph"/>
        <w:numPr>
          <w:ilvl w:val="0"/>
          <w:numId w:val="2"/>
        </w:numPr>
      </w:pPr>
      <w:r>
        <w:rPr>
          <w:rFonts w:ascii="Arial" w:cs="Arial" w:eastAsia="Arial" w:hAnsi="Arial"/>
          <w:sz w:val="22"/>
          <w:szCs w:val="22"/>
        </w:rPr>
        <w:t xml:space="preserve">B cells (p = 0.045): Mean Normal = 0.0072, Mean Tumour = 0.0166 — higher in tumour samples, with large variability in the tumour group.</w:t>
      </w:r>
    </w:p>
    <w:p>
      <w:r>
        <w:t xml:space="preserve"/>
      </w:r>
    </w:p>
    <w:p>
      <w:pPr>
        <w:pStyle w:val="Heading2"/>
      </w:pPr>
      <w:r>
        <w:rPr>
          <w:rFonts w:ascii="Arial" w:cs="Arial" w:eastAsia="Arial" w:hAnsi="Arial"/>
          <w:b/>
          <w:bCs/>
          <w:sz w:val="28"/>
          <w:szCs w:val="28"/>
        </w:rPr>
        <w:t xml:space="preserve">MCPcounter</w:t>
      </w:r>
    </w:p>
    <w:p>
      <w:pPr>
        <w:spacing w:after="120"/>
      </w:pPr>
      <w:r>
        <w:rPr>
          <w:rFonts w:ascii="Arial" w:cs="Arial" w:eastAsia="Arial" w:hAnsi="Arial"/>
          <w:sz w:val="22"/>
          <w:szCs w:val="22"/>
        </w:rPr>
        <w:t xml:space="preserve">Only one cell type reached statistical significance:</w:t>
      </w:r>
    </w:p>
    <w:p>
      <w:pPr>
        <w:pStyle w:val="ListParagraph"/>
        <w:numPr>
          <w:ilvl w:val="0"/>
          <w:numId w:val="2"/>
        </w:numPr>
      </w:pPr>
      <w:r>
        <w:rPr>
          <w:rFonts w:ascii="Arial" w:cs="Arial" w:eastAsia="Arial" w:hAnsi="Arial"/>
          <w:sz w:val="22"/>
          <w:szCs w:val="22"/>
        </w:rPr>
        <w:t xml:space="preserve">B lineage (p = 0.037): Mean Normal = 22.99, Mean Tumour = 82.87 — markedly higher in tumour samples, with large spread in the tumour group.</w:t>
      </w:r>
    </w:p>
    <w:p>
      <w:r>
        <w:t xml:space="preserve"/>
      </w:r>
    </w:p>
    <w:p>
      <w:pPr>
        <w:pStyle w:val="Heading2"/>
      </w:pPr>
      <w:r>
        <w:rPr>
          <w:rFonts w:ascii="Arial" w:cs="Arial" w:eastAsia="Arial" w:hAnsi="Arial"/>
          <w:b/>
          <w:bCs/>
          <w:sz w:val="28"/>
          <w:szCs w:val="28"/>
        </w:rPr>
        <w:t xml:space="preserve">DECOSUS</w:t>
      </w:r>
    </w:p>
    <w:p>
      <w:pPr>
        <w:spacing w:after="120"/>
      </w:pPr>
      <w:r>
        <w:rPr>
          <w:rFonts w:ascii="Arial" w:cs="Arial" w:eastAsia="Arial" w:hAnsi="Arial"/>
          <w:sz w:val="22"/>
          <w:szCs w:val="22"/>
        </w:rPr>
        <w:t xml:space="preserve">Eleven cell types reached statistical significance (p &lt; 0.05):</w:t>
      </w:r>
    </w:p>
    <w:p>
      <w:pPr>
        <w:spacing w:after="120"/>
      </w:pPr>
      <w:r>
        <w:rPr>
          <w:rFonts w:ascii="Arial" w:cs="Arial" w:eastAsia="Arial" w:hAnsi="Arial"/>
          <w:b/>
          <w:bCs/>
          <w:sz w:val="22"/>
          <w:szCs w:val="22"/>
        </w:rPr>
        <w:t xml:space="preserve">Increased in tumour: </w:t>
      </w:r>
      <w:r>
        <w:rPr>
          <w:rFonts w:ascii="Arial" w:cs="Arial" w:eastAsia="Arial" w:hAnsi="Arial"/>
          <w:sz w:val="22"/>
          <w:szCs w:val="22"/>
        </w:rPr>
        <w:t xml:space="preserve">Class-switched memory B-cells, Co-inhibition T cell, Co-stimulation T cell, Epithelial cells, T cell regulatory (Tregs), NK CD56dim cells.</w:t>
      </w:r>
    </w:p>
    <w:p>
      <w:pPr>
        <w:spacing w:after="120"/>
      </w:pPr>
      <w:r>
        <w:rPr>
          <w:rFonts w:ascii="Arial" w:cs="Arial" w:eastAsia="Arial" w:hAnsi="Arial"/>
          <w:b/>
          <w:bCs/>
          <w:sz w:val="22"/>
          <w:szCs w:val="22"/>
        </w:rPr>
        <w:t xml:space="preserve">Decreased in tumour: </w:t>
      </w:r>
      <w:r>
        <w:rPr>
          <w:rFonts w:ascii="Arial" w:cs="Arial" w:eastAsia="Arial" w:hAnsi="Arial"/>
          <w:sz w:val="22"/>
          <w:szCs w:val="22"/>
        </w:rPr>
        <w:t xml:space="preserve">Adipocytes, Macrophage M1, HSC, Preadipocytes, cDC.</w:t>
      </w:r>
    </w:p>
    <w:p>
      <w:r>
        <w:t xml:space="preserve"/>
      </w:r>
    </w:p>
    <w:p>
      <w:pPr>
        <w:pStyle w:val="Heading2"/>
      </w:pPr>
      <w:r>
        <w:rPr>
          <w:rFonts w:ascii="Arial" w:cs="Arial" w:eastAsia="Arial" w:hAnsi="Arial"/>
          <w:b/>
          <w:bCs/>
          <w:sz w:val="28"/>
          <w:szCs w:val="28"/>
        </w:rPr>
        <w:t xml:space="preserve">Cross-Method Consistency</w:t>
      </w:r>
    </w:p>
    <w:p>
      <w:pPr>
        <w:pStyle w:val="ListParagraph"/>
        <w:numPr>
          <w:ilvl w:val="0"/>
          <w:numId w:val="2"/>
        </w:numPr>
      </w:pPr>
      <w:r>
        <w:rPr>
          <w:rFonts w:ascii="Arial" w:cs="Arial" w:eastAsia="Arial" w:hAnsi="Arial"/>
          <w:sz w:val="22"/>
          <w:szCs w:val="22"/>
        </w:rPr>
        <w:t xml:space="preserve">B cells/B lineage was significant in ALL three methods — a robust, convergent finding.</w:t>
      </w:r>
    </w:p>
    <w:p>
      <w:pPr>
        <w:pStyle w:val="ListParagraph"/>
        <w:numPr>
          <w:ilvl w:val="0"/>
          <w:numId w:val="2"/>
        </w:numPr>
      </w:pPr>
      <w:r>
        <w:rPr>
          <w:rFonts w:ascii="Arial" w:cs="Arial" w:eastAsia="Arial" w:hAnsi="Arial"/>
          <w:sz w:val="22"/>
          <w:szCs w:val="22"/>
        </w:rPr>
        <w:t xml:space="preserve">DECOSUS detected more significant cell types (11 hits) as a consensus method integrating multiple algorithms, giving it greater statistical power to detect subtle differences.</w:t>
      </w:r>
    </w:p>
    <w:p>
      <w:pPr>
        <w:pStyle w:val="ListParagraph"/>
        <w:numPr>
          <w:ilvl w:val="0"/>
          <w:numId w:val="2"/>
        </w:numPr>
      </w:pPr>
      <w:r>
        <w:rPr>
          <w:rFonts w:ascii="Arial" w:cs="Arial" w:eastAsia="Arial" w:hAnsi="Arial"/>
          <w:sz w:val="22"/>
          <w:szCs w:val="22"/>
        </w:rPr>
        <w:t xml:space="preserve">Large variability in tumour boxplots (especially EPIC and MCPcounter) reflects genuine inter-patient heterogeneity across the 5 patients.</w:t>
      </w:r>
    </w:p>
    <w:p>
      <w:r>
        <w:t xml:space="preserve"/>
      </w:r>
    </w:p>
    <w:p>
      <w:pPr>
        <w:pStyle w:val="Heading1"/>
      </w:pPr>
      <w:r>
        <w:rPr>
          <w:rFonts w:ascii="Arial" w:cs="Arial" w:eastAsia="Arial" w:hAnsi="Arial"/>
          <w:b/>
          <w:bCs/>
          <w:sz w:val="32"/>
          <w:szCs w:val="32"/>
        </w:rPr>
        <w:t xml:space="preserve">Results: GSVA Pathway Analysis</w:t>
      </w:r>
    </w:p>
    <w:p>
      <w:pPr>
        <w:pStyle w:val="Heading2"/>
      </w:pPr>
      <w:r>
        <w:rPr>
          <w:rFonts w:ascii="Arial" w:cs="Arial" w:eastAsia="Arial" w:hAnsi="Arial"/>
          <w:b/>
          <w:bCs/>
          <w:sz w:val="28"/>
          <w:szCs w:val="28"/>
        </w:rPr>
        <w:t xml:space="preserve">KEGG Pathway Heatmap</w:t>
      </w:r>
    </w:p>
    <w:p>
      <w:pPr>
        <w:spacing w:after="120"/>
      </w:pPr>
      <w:r>
        <w:rPr>
          <w:rFonts w:ascii="Arial" w:cs="Arial" w:eastAsia="Arial" w:hAnsi="Arial"/>
          <w:sz w:val="22"/>
          <w:szCs w:val="22"/>
        </w:rPr>
        <w:t xml:space="preserve">Using a cutoff of adjusted p-value &lt;= 0.01, no KEGG pathways survived Benjamini-Hochberg FDR correction, so a heatmap could not be generated. This is attributable to the following statistical constraints of the matched paired design:</w:t>
      </w:r>
    </w:p>
    <w:p>
      <w:pPr>
        <w:pStyle w:val="ListParagraph"/>
        <w:numPr>
          <w:ilvl w:val="0"/>
          <w:numId w:val="2"/>
        </w:numPr>
      </w:pPr>
      <w:r>
        <w:rPr>
          <w:rFonts w:ascii="Arial" w:cs="Arial" w:eastAsia="Arial" w:hAnsi="Arial"/>
          <w:sz w:val="22"/>
          <w:szCs w:val="22"/>
        </w:rPr>
        <w:t xml:space="preserve">The paired linear model (~ 0 + group + patient) with 10 samples and 5 patient covariates leaves only 4 residual degrees of freedom, severely limiting statistical power.</w:t>
      </w:r>
    </w:p>
    <w:p>
      <w:pPr>
        <w:pStyle w:val="ListParagraph"/>
        <w:numPr>
          <w:ilvl w:val="0"/>
          <w:numId w:val="2"/>
        </w:numPr>
      </w:pPr>
      <w:r>
        <w:rPr>
          <w:rFonts w:ascii="Arial" w:cs="Arial" w:eastAsia="Arial" w:hAnsi="Arial"/>
          <w:sz w:val="22"/>
          <w:szCs w:val="22"/>
        </w:rPr>
        <w:t xml:space="preserve">BH correction across 200+ KEGG pathways further inflated adjusted p-values. Six nominally significant pathways (raw p = 0.0002-0.0008) had adjusted p-values of 0.016-0.019, just above the threshold.</w:t>
      </w:r>
    </w:p>
    <w:p>
      <w:pPr>
        <w:pStyle w:val="ListParagraph"/>
        <w:numPr>
          <w:ilvl w:val="0"/>
          <w:numId w:val="2"/>
        </w:numPr>
      </w:pPr>
      <w:r>
        <w:rPr>
          <w:rFonts w:ascii="Arial" w:cs="Arial" w:eastAsia="Arial" w:hAnsi="Arial"/>
          <w:sz w:val="22"/>
          <w:szCs w:val="22"/>
        </w:rPr>
        <w:t xml:space="preserve">This is a known limitation of GSVA with small paired cohorts and does not invalidate the biological findings from nominally significant pathways.</w:t>
      </w:r>
    </w:p>
    <w:p>
      <w:r>
        <w:t xml:space="preserve"/>
      </w:r>
    </w:p>
    <w:p>
      <w:pPr>
        <w:spacing w:after="120"/>
      </w:pPr>
      <w:r>
        <w:rPr>
          <w:rFonts w:ascii="Arial" w:cs="Arial" w:eastAsia="Arial" w:hAnsi="Arial"/>
          <w:sz w:val="22"/>
          <w:szCs w:val="22"/>
        </w:rPr>
        <w:t xml:space="preserve">Six pathways showed nominal significance at raw p-value &lt;= 0.001: HISTIDINE_METABOLISM, DRUG_METABOLISM_CYTOCHROME_P450, STARCH_AND_SUCROSE_METABOLISM, LYSOSOME, P53_SIGNALING_PATHWAY, and PYRIMIDINE_METABOLISM.</w:t>
      </w:r>
    </w:p>
    <w:p>
      <w:r>
        <w:t xml:space="preserve"/>
      </w:r>
    </w:p>
    <w:p>
      <w:pPr>
        <w:pStyle w:val="Heading2"/>
      </w:pPr>
      <w:r>
        <w:rPr>
          <w:rFonts w:ascii="Arial" w:cs="Arial" w:eastAsia="Arial" w:hAnsi="Arial"/>
          <w:b/>
          <w:bCs/>
          <w:sz w:val="28"/>
          <w:szCs w:val="28"/>
        </w:rPr>
        <w:t xml:space="preserve">Top 10 Significant KEGG Pathways</w:t>
      </w:r>
    </w:p>
    <w:p>
      <w:pPr>
        <w:spacing w:after="120"/>
      </w:pPr>
      <w:r>
        <w:rPr>
          <w:rFonts w:ascii="Arial" w:cs="Arial" w:eastAsia="Arial" w:hAnsi="Arial"/>
          <w:sz w:val="22"/>
          <w:szCs w:val="22"/>
        </w:rPr>
        <w:t xml:space="preserve">The top 10 most significantly differentially expressed KEGG pathways were identified using FDR &lt;= 0.05 and |logFC| &gt;= 0.3:</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720"/>
        <w:gridCol w:w="1720"/>
        <w:gridCol w:w="1720"/>
      </w:tblGrid>
      <w:tr>
        <w:tc>
          <w:tcPr>
            <w:tcW w:type="dxa" w:w="420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KEGG Pathway</w:t>
            </w:r>
          </w:p>
        </w:tc>
        <w:tc>
          <w:tcPr>
            <w:tcW w:type="dxa" w:w="172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logFC</w:t>
            </w:r>
          </w:p>
        </w:tc>
        <w:tc>
          <w:tcPr>
            <w:tcW w:type="dxa" w:w="172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P.Value</w:t>
            </w:r>
          </w:p>
        </w:tc>
        <w:tc>
          <w:tcPr>
            <w:tcW w:type="dxa" w:w="172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adj.P.Val</w:t>
            </w:r>
          </w:p>
        </w:tc>
      </w:tr>
      <w:tr>
        <w:tc>
          <w:tcPr>
            <w:tcW w:type="dxa" w:w="4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Arial" w:cs="Arial" w:eastAsia="Arial" w:hAnsi="Arial"/>
                <w:sz w:val="18"/>
                <w:szCs w:val="18"/>
              </w:rPr>
              <w:t xml:space="preserve">KEGG_HISTIDINE_METABOLISM</w:t>
            </w:r>
          </w:p>
        </w:tc>
        <w:tc>
          <w:tcPr>
            <w:tcW w:type="dxa" w:w="172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-0.5830</w:t>
            </w:r>
          </w:p>
        </w:tc>
        <w:tc>
          <w:tcPr>
            <w:tcW w:type="dxa" w:w="172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0.000277</w:t>
            </w:r>
          </w:p>
        </w:tc>
        <w:tc>
          <w:tcPr>
            <w:tcW w:type="dxa" w:w="172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0.01623</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KEGG_DRUG_METABOLISM_CYTOCHROME_P450</w:t>
            </w:r>
          </w:p>
        </w:tc>
        <w:tc>
          <w:tcPr>
            <w:tcW w:type="dxa" w:w="1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-0.5565</w:t>
            </w:r>
          </w:p>
        </w:tc>
        <w:tc>
          <w:tcPr>
            <w:tcW w:type="dxa" w:w="1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0.000287</w:t>
            </w:r>
          </w:p>
        </w:tc>
        <w:tc>
          <w:tcPr>
            <w:tcW w:type="dxa" w:w="1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0.01623</w:t>
            </w:r>
          </w:p>
        </w:tc>
      </w:tr>
      <w:tr>
        <w:tc>
          <w:tcPr>
            <w:tcW w:type="dxa" w:w="4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Arial" w:cs="Arial" w:eastAsia="Arial" w:hAnsi="Arial"/>
                <w:sz w:val="18"/>
                <w:szCs w:val="18"/>
              </w:rPr>
              <w:t xml:space="preserve">KEGG_STARCH_AND_SUCROSE_METABOLISM</w:t>
            </w:r>
          </w:p>
        </w:tc>
        <w:tc>
          <w:tcPr>
            <w:tcW w:type="dxa" w:w="172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-0.5088</w:t>
            </w:r>
          </w:p>
        </w:tc>
        <w:tc>
          <w:tcPr>
            <w:tcW w:type="dxa" w:w="172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0.000448</w:t>
            </w:r>
          </w:p>
        </w:tc>
        <w:tc>
          <w:tcPr>
            <w:tcW w:type="dxa" w:w="172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0.01623</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KEGG_LYSOSOME</w:t>
            </w:r>
          </w:p>
        </w:tc>
        <w:tc>
          <w:tcPr>
            <w:tcW w:type="dxa" w:w="1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-0.4686</w:t>
            </w:r>
          </w:p>
        </w:tc>
        <w:tc>
          <w:tcPr>
            <w:tcW w:type="dxa" w:w="1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0.000454</w:t>
            </w:r>
          </w:p>
        </w:tc>
        <w:tc>
          <w:tcPr>
            <w:tcW w:type="dxa" w:w="1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0.01623</w:t>
            </w:r>
          </w:p>
        </w:tc>
      </w:tr>
      <w:tr>
        <w:tc>
          <w:tcPr>
            <w:tcW w:type="dxa" w:w="4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Arial" w:cs="Arial" w:eastAsia="Arial" w:hAnsi="Arial"/>
                <w:sz w:val="18"/>
                <w:szCs w:val="18"/>
              </w:rPr>
              <w:t xml:space="preserve">KEGG_P53_SIGNALING_PATHWAY</w:t>
            </w:r>
          </w:p>
        </w:tc>
        <w:tc>
          <w:tcPr>
            <w:tcW w:type="dxa" w:w="172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0.4330</w:t>
            </w:r>
          </w:p>
        </w:tc>
        <w:tc>
          <w:tcPr>
            <w:tcW w:type="dxa" w:w="172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0.000623</w:t>
            </w:r>
          </w:p>
        </w:tc>
        <w:tc>
          <w:tcPr>
            <w:tcW w:type="dxa" w:w="172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0.01781</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KEGG_PYRIMIDINE_METABOLISM</w:t>
            </w:r>
          </w:p>
        </w:tc>
        <w:tc>
          <w:tcPr>
            <w:tcW w:type="dxa" w:w="1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0.4587</w:t>
            </w:r>
          </w:p>
        </w:tc>
        <w:tc>
          <w:tcPr>
            <w:tcW w:type="dxa" w:w="1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0.000814</w:t>
            </w:r>
          </w:p>
        </w:tc>
        <w:tc>
          <w:tcPr>
            <w:tcW w:type="dxa" w:w="1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0.01939</w:t>
            </w:r>
          </w:p>
        </w:tc>
      </w:tr>
      <w:tr>
        <w:tc>
          <w:tcPr>
            <w:tcW w:type="dxa" w:w="4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Arial" w:cs="Arial" w:eastAsia="Arial" w:hAnsi="Arial"/>
                <w:sz w:val="18"/>
                <w:szCs w:val="18"/>
              </w:rPr>
              <w:t xml:space="preserve">KEGG_METABOLISM_OF_XENOBIOTICS_BY_CYTOCHROME_P450</w:t>
            </w:r>
          </w:p>
        </w:tc>
        <w:tc>
          <w:tcPr>
            <w:tcW w:type="dxa" w:w="172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-0.4905</w:t>
            </w:r>
          </w:p>
        </w:tc>
        <w:tc>
          <w:tcPr>
            <w:tcW w:type="dxa" w:w="172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0.001338</w:t>
            </w:r>
          </w:p>
        </w:tc>
        <w:tc>
          <w:tcPr>
            <w:tcW w:type="dxa" w:w="172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0.02730</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KEGG_CELL_CYCLE</w:t>
            </w:r>
          </w:p>
        </w:tc>
        <w:tc>
          <w:tcPr>
            <w:tcW w:type="dxa" w:w="1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0.3968</w:t>
            </w:r>
          </w:p>
        </w:tc>
        <w:tc>
          <w:tcPr>
            <w:tcW w:type="dxa" w:w="1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0.001527</w:t>
            </w:r>
          </w:p>
        </w:tc>
        <w:tc>
          <w:tcPr>
            <w:tcW w:type="dxa" w:w="1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0.02730</w:t>
            </w:r>
          </w:p>
        </w:tc>
      </w:tr>
      <w:tr>
        <w:tc>
          <w:tcPr>
            <w:tcW w:type="dxa" w:w="4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Arial" w:cs="Arial" w:eastAsia="Arial" w:hAnsi="Arial"/>
                <w:sz w:val="18"/>
                <w:szCs w:val="18"/>
              </w:rPr>
              <w:t xml:space="preserve">KEGG_ETHER_LIPID_METABOLISM</w:t>
            </w:r>
          </w:p>
        </w:tc>
        <w:tc>
          <w:tcPr>
            <w:tcW w:type="dxa" w:w="172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-0.3680</w:t>
            </w:r>
          </w:p>
        </w:tc>
        <w:tc>
          <w:tcPr>
            <w:tcW w:type="dxa" w:w="172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0.001796</w:t>
            </w:r>
          </w:p>
        </w:tc>
        <w:tc>
          <w:tcPr>
            <w:tcW w:type="dxa" w:w="172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0.02853</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KEGG_DNA_REPLICATION</w:t>
            </w:r>
          </w:p>
        </w:tc>
        <w:tc>
          <w:tcPr>
            <w:tcW w:type="dxa" w:w="1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0.5207</w:t>
            </w:r>
          </w:p>
        </w:tc>
        <w:tc>
          <w:tcPr>
            <w:tcW w:type="dxa" w:w="1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0.002585</w:t>
            </w:r>
          </w:p>
        </w:tc>
        <w:tc>
          <w:tcPr>
            <w:tcW w:type="dxa" w:w="1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0.03697</w:t>
            </w:r>
          </w:p>
        </w:tc>
      </w:tr>
    </w:tbl>
    <w:p>
      <w:r>
        <w:t xml:space="preserve"/>
      </w:r>
    </w:p>
    <w:p>
      <w:pPr>
        <w:spacing w:after="120"/>
      </w:pPr>
      <w:r>
        <w:rPr>
          <w:rFonts w:ascii="Arial" w:cs="Arial" w:eastAsia="Arial" w:hAnsi="Arial"/>
          <w:sz w:val="22"/>
          <w:szCs w:val="22"/>
        </w:rPr>
        <w:t xml:space="preserve">Note: Pathways with negative logFC are downregulated in tumour relative to normal; those with positive logFC are upregulated.</w:t>
      </w:r>
    </w:p>
    <w:p>
      <w:r>
        <w:t xml:space="preserve"/>
      </w:r>
    </w:p>
    <w:p>
      <w:pPr>
        <w:pStyle w:val="Heading1"/>
      </w:pPr>
      <w:r>
        <w:rPr>
          <w:rFonts w:ascii="Arial" w:cs="Arial" w:eastAsia="Arial" w:hAnsi="Arial"/>
          <w:b/>
          <w:bCs/>
          <w:sz w:val="32"/>
          <w:szCs w:val="32"/>
        </w:rPr>
        <w:t xml:space="preserve">Summary &amp; Key Findings</w:t>
      </w:r>
    </w:p>
    <w:p>
      <w:pPr>
        <w:pStyle w:val="ListParagraph"/>
        <w:numPr>
          <w:ilvl w:val="0"/>
          <w:numId w:val="2"/>
        </w:numPr>
      </w:pPr>
      <w:r>
        <w:rPr>
          <w:rFonts w:ascii="Arial" w:cs="Arial" w:eastAsia="Arial" w:hAnsi="Arial"/>
          <w:sz w:val="22"/>
          <w:szCs w:val="22"/>
        </w:rPr>
        <w:t xml:space="preserve">S06_Normal is a consistent outlier across all three deconvolution methods, showing an extreme Cancer-Associated Fibroblast/Fibroblast signature — a robust and reproducible finding.</w:t>
      </w:r>
    </w:p>
    <w:p>
      <w:pPr>
        <w:pStyle w:val="ListParagraph"/>
        <w:numPr>
          <w:ilvl w:val="0"/>
          <w:numId w:val="2"/>
        </w:numPr>
      </w:pPr>
      <w:r>
        <w:rPr>
          <w:rFonts w:ascii="Arial" w:cs="Arial" w:eastAsia="Arial" w:hAnsi="Arial"/>
          <w:sz w:val="22"/>
          <w:szCs w:val="22"/>
        </w:rPr>
        <w:t xml:space="preserve">B cell/B lineage enrichment in tumour samples is the only immune cell type reaching significance in all three methods (EPIC: p = 0.045; MCPcounter: p = 0.037; DECOSUS: p &lt; 0.05). This convergence strongly supports B cell infiltration as a genuine biological signal.</w:t>
      </w:r>
    </w:p>
    <w:p>
      <w:pPr>
        <w:pStyle w:val="ListParagraph"/>
        <w:numPr>
          <w:ilvl w:val="0"/>
          <w:numId w:val="2"/>
        </w:numPr>
      </w:pPr>
      <w:r>
        <w:rPr>
          <w:rFonts w:ascii="Arial" w:cs="Arial" w:eastAsia="Arial" w:hAnsi="Arial"/>
          <w:sz w:val="22"/>
          <w:szCs w:val="22"/>
        </w:rPr>
        <w:t xml:space="preserve">Samples do not cluster cleanly by tumour/normal status across any deconvolution method, reflecting the high inter-patient heterogeneity characteristic of a small 5-patient cohort.</w:t>
      </w:r>
    </w:p>
    <w:p>
      <w:pPr>
        <w:pStyle w:val="ListParagraph"/>
        <w:numPr>
          <w:ilvl w:val="0"/>
          <w:numId w:val="2"/>
        </w:numPr>
      </w:pPr>
      <w:r>
        <w:rPr>
          <w:rFonts w:ascii="Arial" w:cs="Arial" w:eastAsia="Arial" w:hAnsi="Arial"/>
          <w:sz w:val="22"/>
          <w:szCs w:val="22"/>
        </w:rPr>
        <w:t xml:space="preserve">GSVA analysis identified no KEGG pathways surviving strict FDR correction (adj. p &lt;= 0.01) due to limited degrees of freedom in the matched paired design. Nominally significant pathways include histidine metabolism, lysosome, P53 signalling, and cell cycle pathways, suggesting biologically plausible alterations in tumour biology.</w:t>
      </w:r>
    </w:p>
    <w:p>
      <w:pPr>
        <w:pStyle w:val="ListParagraph"/>
        <w:numPr>
          <w:ilvl w:val="0"/>
          <w:numId w:val="2"/>
        </w:numPr>
      </w:pPr>
      <w:r>
        <w:rPr>
          <w:rFonts w:ascii="Arial" w:cs="Arial" w:eastAsia="Arial" w:hAnsi="Arial"/>
          <w:sz w:val="22"/>
          <w:szCs w:val="22"/>
        </w:rPr>
        <w:t xml:space="preserve">DECOSUS, as a consensus method integrating multiple algorithms, showed the greatest sensitivity, identifying 11 significantly different cell types versus 1 each for EPIC and MCPcounter.</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E4057"/>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B6CA8"/>
      <w:sz w:val="28"/>
      <w:szCs w:val="28"/>
    </w:rPr>
  </w:style>
  <w:style w:type="paragraph" w:styleId="Heading3">
    <w:name w:val="Heading 3"/>
    <w:basedOn w:val="Normal"/>
    <w:next w:val="Normal"/>
    <w:qFormat/>
    <w:pPr>
      <w:spacing w:before="180" w:after="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2026-03-03T07:31:09.552Z</dcterms:created>
  <dcterms:modified xsi:type="dcterms:W3CDTF">2026-03-03T07:31:09.553Z</dcterms:modified>
</cp:coreProperties>
</file>

<file path=docProps/custom.xml><?xml version="1.0" encoding="utf-8"?>
<Properties xmlns="http://schemas.openxmlformats.org/officeDocument/2006/custom-properties" xmlns:vt="http://schemas.openxmlformats.org/officeDocument/2006/docPropsVTypes"/>
</file>