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i/>
          <w:iCs/>
          <w:color w:val="607D8B"/>
          <w:sz w:val="24"/>
          <w:szCs w:val="24"/>
        </w:rPr>
        <w:t xml:space="preserve">Artificial Intelligence in the Contemporary World</w:t>
      </w:r>
    </w:p>
    <w:p>
      <w:pPr>
        <w:spacing w:after="60"/>
        <w:jc w:val="center"/>
      </w:pPr>
      <w:r>
        <w:rPr>
          <w:b/>
          <w:bCs/>
          <w:color w:val="1565C0"/>
          <w:sz w:val="28"/>
          <w:szCs w:val="28"/>
        </w:rPr>
        <w:t xml:space="preserve">Project Synopsis</w:t>
      </w:r>
    </w:p>
    <w:p>
      <w:pPr>
        <w:spacing w:after="300"/>
        <w:jc w:val="center"/>
      </w:pPr>
      <w:r>
        <w:rPr>
          <w:i/>
          <w:iCs/>
          <w:color w:val="607D8B"/>
          <w:sz w:val="20"/>
          <w:szCs w:val="20"/>
        </w:rPr>
        <w:t xml:space="preserve">A Collaborative Initiative - Equipping Faculty with Practical Skills in AI, Data Analytics, and Business Intelligence</w:t>
      </w:r>
    </w:p>
    <w:p>
      <w:pPr>
        <w:spacing w:after="80" w:before="200"/>
        <w:jc w:val="center"/>
      </w:pPr>
      <w:r>
        <w:rPr>
          <w:b/>
          <w:bCs/>
          <w:color w:val="1B3A8A"/>
          <w:sz w:val="48"/>
          <w:szCs w:val="48"/>
        </w:rPr>
        <w:t xml:space="preserve">EchoLens</w:t>
      </w:r>
    </w:p>
    <w:p>
      <w:pPr>
        <w:spacing w:after="60"/>
        <w:jc w:val="center"/>
      </w:pPr>
      <w:r>
        <w:rPr>
          <w:b/>
          <w:bCs/>
          <w:color w:val="1565C0"/>
          <w:sz w:val="26"/>
          <w:szCs w:val="26"/>
        </w:rPr>
        <w:t xml:space="preserve">AI-Powered Faculty Feedback Intelligence</w:t>
      </w:r>
    </w:p>
    <w:p>
      <w:pPr>
        <w:spacing w:after="400"/>
        <w:jc w:val="center"/>
      </w:pPr>
      <w:r>
        <w:rPr>
          <w:i/>
          <w:iCs/>
          <w:color w:val="607D8B"/>
          <w:sz w:val="22"/>
          <w:szCs w:val="22"/>
        </w:rPr>
        <w:t xml:space="preserve">for Accelerated Academic Decision-Making</w:t>
      </w:r>
    </w:p>
    <w:p>
      <w:pPr>
        <w:pStyle w:val="Heading1"/>
      </w:pPr>
      <w:r>
        <w:t xml:space="preserve">1. Project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E3F2FD" w:val="clear"/>
            <w:tcMar>
              <w:top w:type="dxa" w:w="120"/>
              <w:left w:type="dxa" w:w="180"/>
              <w:bottom w:type="dxa" w:w="120"/>
              <w:right w:type="dxa" w:w="180"/>
            </w:tcMar>
          </w:tcPr>
          <w:p>
            <w:r>
              <w:rPr>
                <w:b/>
                <w:bCs/>
                <w:color w:val="1B3A8A"/>
                <w:sz w:val="22"/>
                <w:szCs w:val="22"/>
              </w:rPr>
              <w:t xml:space="preserve">Project Title</w:t>
            </w:r>
          </w:p>
        </w:tc>
        <w:tc>
          <w:tcPr>
            <w:tcW w:type="pct" w:w="72%"/>
            <w:tcMar>
              <w:top w:type="dxa" w:w="120"/>
              <w:left w:type="dxa" w:w="180"/>
              <w:bottom w:type="dxa" w:w="120"/>
              <w:right w:type="dxa" w:w="180"/>
            </w:tcMar>
          </w:tcPr>
          <w:p>
            <w:r>
              <w:rPr>
                <w:sz w:val="22"/>
                <w:szCs w:val="22"/>
              </w:rPr>
              <w:t xml:space="preserve">EchoLens - AI-Powered Faculty Feedback Intelligence for Accelerated Academic Decision-Making</w:t>
            </w:r>
          </w:p>
        </w:tc>
      </w:tr>
      <w:tr>
        <w:tc>
          <w:tcPr>
            <w:tcW w:type="pct" w:w="28%"/>
            <w:shd w:fill="E3F2FD" w:val="clear"/>
            <w:tcMar>
              <w:top w:type="dxa" w:w="120"/>
              <w:left w:type="dxa" w:w="180"/>
              <w:bottom w:type="dxa" w:w="120"/>
              <w:right w:type="dxa" w:w="180"/>
            </w:tcMar>
          </w:tcPr>
          <w:p>
            <w:r>
              <w:rPr>
                <w:b/>
                <w:bCs/>
                <w:color w:val="1B3A8A"/>
                <w:sz w:val="22"/>
                <w:szCs w:val="22"/>
              </w:rPr>
              <w:t xml:space="preserve">Domain</w:t>
            </w:r>
          </w:p>
        </w:tc>
        <w:tc>
          <w:tcPr>
            <w:tcW w:type="pct" w:w="72%"/>
            <w:tcMar>
              <w:top w:type="dxa" w:w="120"/>
              <w:left w:type="dxa" w:w="180"/>
              <w:bottom w:type="dxa" w:w="120"/>
              <w:right w:type="dxa" w:w="180"/>
            </w:tcMar>
          </w:tcPr>
          <w:p>
            <w:r>
              <w:rPr>
                <w:sz w:val="22"/>
                <w:szCs w:val="22"/>
              </w:rPr>
              <w:t xml:space="preserve">Educational Analytics, Natural Language Processing, Business Intelligence for Higher Education</w:t>
            </w:r>
          </w:p>
        </w:tc>
      </w:tr>
      <w:tr>
        <w:tc>
          <w:tcPr>
            <w:tcW w:type="pct" w:w="28%"/>
            <w:shd w:fill="E3F2FD" w:val="clear"/>
            <w:tcMar>
              <w:top w:type="dxa" w:w="120"/>
              <w:left w:type="dxa" w:w="180"/>
              <w:bottom w:type="dxa" w:w="120"/>
              <w:right w:type="dxa" w:w="180"/>
            </w:tcMar>
          </w:tcPr>
          <w:p>
            <w:r>
              <w:rPr>
                <w:b/>
                <w:bCs/>
                <w:color w:val="1B3A8A"/>
                <w:sz w:val="22"/>
                <w:szCs w:val="22"/>
              </w:rPr>
              <w:t xml:space="preserve">Sub-Domain</w:t>
            </w:r>
          </w:p>
        </w:tc>
        <w:tc>
          <w:tcPr>
            <w:tcW w:type="pct" w:w="72%"/>
            <w:tcMar>
              <w:top w:type="dxa" w:w="120"/>
              <w:left w:type="dxa" w:w="180"/>
              <w:bottom w:type="dxa" w:w="120"/>
              <w:right w:type="dxa" w:w="180"/>
            </w:tcMar>
          </w:tcPr>
          <w:p>
            <w:r>
              <w:rPr>
                <w:sz w:val="22"/>
                <w:szCs w:val="22"/>
              </w:rPr>
              <w:t xml:space="preserve">AI-assisted Quality Assurance for academic institutions</w:t>
            </w:r>
          </w:p>
        </w:tc>
      </w:tr>
      <w:tr>
        <w:tc>
          <w:tcPr>
            <w:tcW w:type="pct" w:w="28%"/>
            <w:shd w:fill="E3F2FD" w:val="clear"/>
            <w:tcMar>
              <w:top w:type="dxa" w:w="120"/>
              <w:left w:type="dxa" w:w="180"/>
              <w:bottom w:type="dxa" w:w="120"/>
              <w:right w:type="dxa" w:w="180"/>
            </w:tcMar>
          </w:tcPr>
          <w:p>
            <w:r>
              <w:rPr>
                <w:b/>
                <w:bCs/>
                <w:color w:val="1B3A8A"/>
                <w:sz w:val="22"/>
                <w:szCs w:val="22"/>
              </w:rPr>
              <w:t xml:space="preserve">Tools Used</w:t>
            </w:r>
          </w:p>
        </w:tc>
        <w:tc>
          <w:tcPr>
            <w:tcW w:type="pct" w:w="72%"/>
            <w:tcMar>
              <w:top w:type="dxa" w:w="120"/>
              <w:left w:type="dxa" w:w="180"/>
              <w:bottom w:type="dxa" w:w="120"/>
              <w:right w:type="dxa" w:w="180"/>
            </w:tcMar>
          </w:tcPr>
          <w:p>
            <w:r>
              <w:rPr>
                <w:sz w:val="22"/>
                <w:szCs w:val="22"/>
              </w:rPr>
              <w:t xml:space="preserve">Microsoft Excel (with Power Query), Microsoft Power BI, Microsoft Copilot / AI Chatbot</w:t>
            </w:r>
          </w:p>
        </w:tc>
      </w:tr>
      <w:tr>
        <w:tc>
          <w:tcPr>
            <w:tcW w:type="pct" w:w="28%"/>
            <w:shd w:fill="E3F2FD" w:val="clear"/>
            <w:tcMar>
              <w:top w:type="dxa" w:w="120"/>
              <w:left w:type="dxa" w:w="180"/>
              <w:bottom w:type="dxa" w:w="120"/>
              <w:right w:type="dxa" w:w="180"/>
            </w:tcMar>
          </w:tcPr>
          <w:p>
            <w:r>
              <w:rPr>
                <w:b/>
                <w:bCs/>
                <w:color w:val="1B3A8A"/>
                <w:sz w:val="22"/>
                <w:szCs w:val="22"/>
              </w:rPr>
              <w:t xml:space="preserve">Dataset</w:t>
            </w:r>
          </w:p>
        </w:tc>
        <w:tc>
          <w:tcPr>
            <w:tcW w:type="pct" w:w="72%"/>
            <w:tcMar>
              <w:top w:type="dxa" w:w="120"/>
              <w:left w:type="dxa" w:w="180"/>
              <w:bottom w:type="dxa" w:w="120"/>
              <w:right w:type="dxa" w:w="180"/>
            </w:tcMar>
          </w:tcPr>
          <w:p>
            <w:r>
              <w:rPr>
                <w:sz w:val="22"/>
                <w:szCs w:val="22"/>
              </w:rPr>
              <w:t xml:space="preserve">Synthetic feedback dataset (305 rows) representing 6 law courses, 8 faculty, across 2 semesters - Kaggle-style structure, no real student PII</w:t>
            </w:r>
          </w:p>
        </w:tc>
      </w:tr>
      <w:tr>
        <w:tc>
          <w:tcPr>
            <w:tcW w:type="pct" w:w="28%"/>
            <w:shd w:fill="E3F2FD" w:val="clear"/>
            <w:tcMar>
              <w:top w:type="dxa" w:w="120"/>
              <w:left w:type="dxa" w:w="180"/>
              <w:bottom w:type="dxa" w:w="120"/>
              <w:right w:type="dxa" w:w="180"/>
            </w:tcMar>
          </w:tcPr>
          <w:p>
            <w:r>
              <w:rPr>
                <w:b/>
                <w:bCs/>
                <w:color w:val="1B3A8A"/>
                <w:sz w:val="22"/>
                <w:szCs w:val="22"/>
              </w:rPr>
              <w:t xml:space="preserve">Target Users</w:t>
            </w:r>
          </w:p>
        </w:tc>
        <w:tc>
          <w:tcPr>
            <w:tcW w:type="pct" w:w="72%"/>
            <w:tcMar>
              <w:top w:type="dxa" w:w="120"/>
              <w:left w:type="dxa" w:w="180"/>
              <w:bottom w:type="dxa" w:w="120"/>
              <w:right w:type="dxa" w:w="180"/>
            </w:tcMar>
          </w:tcPr>
          <w:p>
            <w:r>
              <w:rPr>
                <w:sz w:val="22"/>
                <w:szCs w:val="22"/>
              </w:rPr>
              <w:t xml:space="preserve">Faculty, Heads of Department, Academic Coordinators, IQAC teams, Deans, Accreditation cells</w:t>
            </w:r>
          </w:p>
        </w:tc>
      </w:tr>
      <w:tr>
        <w:tc>
          <w:tcPr>
            <w:tcW w:type="pct" w:w="28%"/>
            <w:shd w:fill="E3F2FD" w:val="clear"/>
            <w:tcMar>
              <w:top w:type="dxa" w:w="120"/>
              <w:left w:type="dxa" w:w="180"/>
              <w:bottom w:type="dxa" w:w="120"/>
              <w:right w:type="dxa" w:w="180"/>
            </w:tcMar>
          </w:tcPr>
          <w:p>
            <w:r>
              <w:rPr>
                <w:b/>
                <w:bCs/>
                <w:color w:val="1B3A8A"/>
                <w:sz w:val="22"/>
                <w:szCs w:val="22"/>
              </w:rPr>
              <w:t xml:space="preserve">Fellowship</w:t>
            </w:r>
          </w:p>
        </w:tc>
        <w:tc>
          <w:tcPr>
            <w:tcW w:type="pct" w:w="72%"/>
            <w:tcMar>
              <w:top w:type="dxa" w:w="120"/>
              <w:left w:type="dxa" w:w="180"/>
              <w:bottom w:type="dxa" w:w="120"/>
              <w:right w:type="dxa" w:w="180"/>
            </w:tcMar>
          </w:tcPr>
          <w:p>
            <w:r>
              <w:rPr>
                <w:sz w:val="22"/>
                <w:szCs w:val="22"/>
              </w:rPr>
              <w:t xml:space="preserve">AICW LinkedIn Fellowship 2026 (Microsoft | LinkedIn | Edunet Foundation)</w:t>
            </w:r>
          </w:p>
        </w:tc>
      </w:tr>
      <w:tr>
        <w:tc>
          <w:tcPr>
            <w:tcW w:type="pct" w:w="28%"/>
            <w:shd w:fill="E3F2FD" w:val="clear"/>
            <w:tcMar>
              <w:top w:type="dxa" w:w="120"/>
              <w:left w:type="dxa" w:w="180"/>
              <w:bottom w:type="dxa" w:w="120"/>
              <w:right w:type="dxa" w:w="180"/>
            </w:tcMar>
          </w:tcPr>
          <w:p>
            <w:r>
              <w:rPr>
                <w:b/>
                <w:bCs/>
                <w:color w:val="1B3A8A"/>
                <w:sz w:val="22"/>
                <w:szCs w:val="22"/>
              </w:rPr>
              <w:t xml:space="preserve">Submitted by</w:t>
            </w:r>
          </w:p>
        </w:tc>
        <w:tc>
          <w:tcPr>
            <w:tcW w:type="pct" w:w="72%"/>
            <w:tcMar>
              <w:top w:type="dxa" w:w="120"/>
              <w:left w:type="dxa" w:w="180"/>
              <w:bottom w:type="dxa" w:w="120"/>
              <w:right w:type="dxa" w:w="180"/>
            </w:tcMar>
          </w:tcPr>
          <w:p>
            <w:r>
              <w:rPr>
                <w:sz w:val="22"/>
                <w:szCs w:val="22"/>
              </w:rPr>
              <w:t xml:space="preserve">Parul [Last Name], Faculty of Law, Marwadi University, Rajkot</w:t>
            </w:r>
          </w:p>
        </w:tc>
      </w:tr>
    </w:tbl>
    <w:p>
      <w:pPr>
        <w:pStyle w:val="Heading1"/>
      </w:pPr>
      <w:r>
        <w:t xml:space="preserve">2. Abstract</w:t>
      </w:r>
    </w:p>
    <w:p>
      <w:pPr>
        <w:spacing w:after="120"/>
      </w:pPr>
      <w:r>
        <w:t xml:space="preserve">EchoLens is a low-code, AI-assisted analytics pipeline that converts raw, unstructured student feedback into faculty-specific, action-ready insights within 48 hours of collection - compared to the 12 to 15 working days typical of manual review. The project addresses three concrete operational losses faced by academic Quality Assurance teams: reduced staff efficiency, delayed faculty productivity gains, and weak audit-traceability for NAAC and NBA cycles.</w:t>
      </w:r>
    </w:p>
    <w:p>
      <w:pPr>
        <w:spacing w:after="120"/>
      </w:pPr>
      <w:r>
        <w:t xml:space="preserve">Built entirely on Microsoft Excel, Microsoft Power BI, and Microsoft Copilot, the solution is deliberately designed for non-STEM faculty who may not have coding skills. It delivers measured improvements of around 85 percent in turnaround time, around 70 percent reduction in manual coding effort, and around 60 percent more actionable themes surfaced per course - with 100 percent of insights traceable back to anonymised source rows.</w:t>
      </w:r>
    </w:p>
    <w:p>
      <w:pPr>
        <w:pStyle w:val="Heading1"/>
      </w:pPr>
      <w:r>
        <w:t xml:space="preserve">3. Problem Statement</w:t>
      </w:r>
    </w:p>
    <w:p>
      <w:pPr>
        <w:spacing w:after="120"/>
      </w:pPr>
      <w:r>
        <w:t xml:space="preserve">Academic institutions routinely gather student feedback at the end of every course or semester as part of their quality assurance processes. Despite the wealth of information contained in these responses, the data frequently goes unanalysed - industry estimates suggest that 70 to 80 percent of qualitative comments are never systematically reviewed.</w:t>
      </w:r>
    </w:p>
    <w:p>
      <w:r>
        <w:t xml:space="preserve"/>
      </w:r>
    </w:p>
    <w:p>
      <w:pPr>
        <w:spacing w:after="120"/>
      </w:pPr>
      <w:r>
        <w:t xml:space="preserve">The resulting losses, framed in business-operational terms rather than academic ones, are specific and measurable:</w:t>
      </w:r>
    </w:p>
    <w:p>
      <w:pPr>
        <w:pStyle w:val="Heading2"/>
      </w:pPr>
      <w:r>
        <w:t xml:space="preserve">3.1 Reduced operational efficiency</w:t>
      </w:r>
    </w:p>
    <w:p>
      <w:pPr>
        <w:spacing w:after="120"/>
      </w:pPr>
      <w:r>
        <w:t xml:space="preserve">QA coordinators and Heads of Department spend an estimated 40 to 50 percent of their working hours during the feedback window on manually reading, categorising, and summarising open-ended comments. This is high-cost, low-leverage work that displaces curriculum design, faculty development, and accreditation preparation.</w:t>
      </w:r>
    </w:p>
    <w:p>
      <w:pPr>
        <w:pStyle w:val="Heading2"/>
      </w:pPr>
      <w:r>
        <w:t xml:space="preserve">3.2 Reduced faculty productivity</w:t>
      </w:r>
    </w:p>
    <w:p>
      <w:pPr>
        <w:spacing w:after="120"/>
      </w:pPr>
      <w:r>
        <w:t xml:space="preserve">When improvement insights arrive 12 to 15 working days after collection, corrective teaching changes rarely reach the same cohort that raised the concern. The feedback loop fails at the most important step - faculty cannot adjust within-semester and must wait for the next iteration of the course.</w:t>
      </w:r>
    </w:p>
    <w:p>
      <w:pPr>
        <w:pStyle w:val="Heading2"/>
      </w:pPr>
      <w:r>
        <w:t xml:space="preserve">3.3 Difficulty in evidence verification</w:t>
      </w:r>
    </w:p>
    <w:p>
      <w:pPr>
        <w:spacing w:after="120"/>
      </w:pPr>
      <w:r>
        <w:t xml:space="preserve">For accreditation cycles such as NAAC and NBA, institutions must demonstrate closed-loop feedback - specifically, that identified concerns led to documented actions. Traditional spreadsheet-based processes make this traceability extremely difficult to reconstruct after the fact, weakening audit evidence.</w:t>
      </w:r>
    </w:p>
    <w:p>
      <w:pPr>
        <w:pStyle w:val="Heading2"/>
      </w:pPr>
      <w:r>
        <w:t xml:space="preserve">3.4 Gap in existing tools</w:t>
      </w:r>
    </w:p>
    <w:p>
      <w:pPr>
        <w:spacing w:after="120"/>
      </w:pPr>
      <w:r>
        <w:t xml:space="preserve">Microsoft Excel alone cannot extract sentiment or themes from free text. Standalone NLP tools demand coding skills that most non-STEM faculty do not possess, and often raise data-protection concerns when student responses are uploaded to third-party services. The AICW Fellowship methodology - using Microsoft Copilot and structured prompt engineering - directly bridges this gap.</w:t>
      </w:r>
    </w:p>
    <w:p>
      <w:pPr>
        <w:pStyle w:val="Heading2"/>
      </w:pPr>
      <w:r>
        <w:t xml:space="preserve">3.5 Stakeholders who benefit</w:t>
      </w:r>
    </w:p>
    <w:p>
      <w:pPr>
        <w:pStyle w:val="ListParagraph"/>
        <w:numPr>
          <w:ilvl w:val="0"/>
          <w:numId w:val="2"/>
        </w:numPr>
        <w:spacing w:after="60"/>
      </w:pPr>
      <w:r>
        <w:t xml:space="preserve">Faculty members - receive timely, specific, and actionable feedback summaries.</w:t>
      </w:r>
    </w:p>
    <w:p>
      <w:pPr>
        <w:pStyle w:val="ListParagraph"/>
        <w:numPr>
          <w:ilvl w:val="0"/>
          <w:numId w:val="2"/>
        </w:numPr>
        <w:spacing w:after="60"/>
      </w:pPr>
      <w:r>
        <w:t xml:space="preserve">Heads of Department - gain faculty-level comparative views to plan interventions.</w:t>
      </w:r>
    </w:p>
    <w:p>
      <w:pPr>
        <w:pStyle w:val="ListParagraph"/>
        <w:numPr>
          <w:ilvl w:val="0"/>
          <w:numId w:val="2"/>
        </w:numPr>
        <w:spacing w:after="60"/>
      </w:pPr>
      <w:r>
        <w:t xml:space="preserve">Academic Coordinators and IQAC teams - recover 40-50 percent of their feedback-window time.</w:t>
      </w:r>
    </w:p>
    <w:p>
      <w:pPr>
        <w:pStyle w:val="ListParagraph"/>
        <w:numPr>
          <w:ilvl w:val="0"/>
          <w:numId w:val="2"/>
        </w:numPr>
        <w:spacing w:after="60"/>
      </w:pPr>
      <w:r>
        <w:t xml:space="preserve">Deans and Institutional Leadership - receive cross-course trend reports for strategic planning.</w:t>
      </w:r>
    </w:p>
    <w:p>
      <w:pPr>
        <w:pStyle w:val="ListParagraph"/>
        <w:numPr>
          <w:ilvl w:val="0"/>
          <w:numId w:val="2"/>
        </w:numPr>
        <w:spacing w:after="60"/>
      </w:pPr>
      <w:r>
        <w:t xml:space="preserve">Students - benefit from within-semester course corrections driven by their own feedback.</w:t>
      </w:r>
    </w:p>
    <w:p>
      <w:pPr>
        <w:pStyle w:val="ListParagraph"/>
        <w:numPr>
          <w:ilvl w:val="0"/>
          <w:numId w:val="2"/>
        </w:numPr>
        <w:spacing w:after="60"/>
      </w:pPr>
      <w:r>
        <w:t xml:space="preserve">Accreditation bodies - receive audit-traceable evidence of closed-loop quality assurance.</w:t>
      </w:r>
    </w:p>
    <w:p>
      <w:pPr>
        <w:pStyle w:val="Heading1"/>
      </w:pPr>
      <w:r>
        <w:t xml:space="preserve">4. Objectives</w:t>
      </w:r>
    </w:p>
    <w:p>
      <w:pPr>
        <w:spacing w:after="120"/>
      </w:pPr>
      <w:r>
        <w:t xml:space="preserve">The following objectives outline the specific, measurable goals EchoLens achieves:</w:t>
      </w:r>
    </w:p>
    <w:p>
      <w:pPr>
        <w:pStyle w:val="ListParagraph"/>
        <w:numPr>
          <w:ilvl w:val="0"/>
          <w:numId w:val="3"/>
        </w:numPr>
        <w:spacing w:after="60"/>
      </w:pPr>
      <w:r>
        <w:t xml:space="preserve">Identify and explore a representative student feedback dataset, assessing its structure, key fields, and data quality - and engineer realistic data-quality issues (duplicates, blanks, PII) to validate the cleaning pipeline.</w:t>
      </w:r>
    </w:p>
    <w:p>
      <w:pPr>
        <w:pStyle w:val="ListParagraph"/>
        <w:numPr>
          <w:ilvl w:val="0"/>
          <w:numId w:val="3"/>
        </w:numPr>
        <w:spacing w:after="60"/>
      </w:pPr>
      <w:r>
        <w:t xml:space="preserve">Perform thorough data cleaning and preprocessing using Microsoft Excel with Power Query - including duplicate removal, blank-response handling, rating normalisation, and mandatory PII masking.</w:t>
      </w:r>
    </w:p>
    <w:p>
      <w:pPr>
        <w:pStyle w:val="ListParagraph"/>
        <w:numPr>
          <w:ilvl w:val="0"/>
          <w:numId w:val="3"/>
        </w:numPr>
        <w:spacing w:after="60"/>
      </w:pPr>
      <w:r>
        <w:t xml:space="preserve">Apply sentiment analysis and theme extraction using a structured prompt library designed for Microsoft Copilot / AI Chatbot - enforcing grounding constraints that prevent fabrication beyond source text.</w:t>
      </w:r>
    </w:p>
    <w:p>
      <w:pPr>
        <w:pStyle w:val="ListParagraph"/>
        <w:numPr>
          <w:ilvl w:val="0"/>
          <w:numId w:val="3"/>
        </w:numPr>
        <w:spacing w:after="60"/>
      </w:pPr>
      <w:r>
        <w:t xml:space="preserve">Design and develop an interactive Power BI dashboard presenting KPI cards, sentiment trends, and course-level and faculty-level comparisons - with role-based drill-down.</w:t>
      </w:r>
    </w:p>
    <w:p>
      <w:pPr>
        <w:pStyle w:val="ListParagraph"/>
        <w:numPr>
          <w:ilvl w:val="0"/>
          <w:numId w:val="3"/>
        </w:numPr>
        <w:spacing w:after="60"/>
      </w:pPr>
      <w:r>
        <w:t xml:space="preserve">Generate automated, faculty-specific teaching improvement reports that include strengths, concerns, and time-boxed corrective actions - with every claim traceable to a supporting quoted phrase.</w:t>
      </w:r>
    </w:p>
    <w:p>
      <w:pPr>
        <w:pStyle w:val="ListParagraph"/>
        <w:numPr>
          <w:ilvl w:val="0"/>
          <w:numId w:val="3"/>
        </w:numPr>
        <w:spacing w:after="60"/>
      </w:pPr>
      <w:r>
        <w:t xml:space="preserve">Quantify business impact against a pre-EchoLens manual baseline across six operational metrics (turnaround, effort, insights, traceability, privacy, action rate).</w:t>
      </w:r>
    </w:p>
    <w:p>
      <w:pPr>
        <w:pStyle w:val="ListParagraph"/>
        <w:numPr>
          <w:ilvl w:val="0"/>
          <w:numId w:val="3"/>
        </w:numPr>
        <w:spacing w:after="60"/>
      </w:pPr>
      <w:r>
        <w:t xml:space="preserve">Document the end-to-end workflow in a reusable project report and prompt library, host all files on GitHub, and produce a recorded walkthrough for fellowship evaluation.</w:t>
      </w:r>
    </w:p>
    <w:p>
      <w:pPr>
        <w:pStyle w:val="Heading1"/>
      </w:pPr>
      <w:r>
        <w:t xml:space="preserve">5. Methodology and Implementation Plan</w:t>
      </w:r>
    </w:p>
    <w:p>
      <w:pPr>
        <w:spacing w:after="120"/>
      </w:pPr>
      <w:r>
        <w:t xml:space="preserve">EchoLens follows a structured five-phase plan. Each phase produces a verifiable artefact that feeds the next phase.</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8A" w:val="clear"/>
            <w:tcMar>
              <w:top w:type="dxa" w:w="120"/>
              <w:left w:type="dxa" w:w="150"/>
              <w:bottom w:type="dxa" w:w="120"/>
              <w:right w:type="dxa" w:w="150"/>
            </w:tcMar>
          </w:tcPr>
          <w:p>
            <w:r>
              <w:rPr>
                <w:b/>
                <w:bCs/>
                <w:color w:val="FFFFFF"/>
                <w:sz w:val="20"/>
                <w:szCs w:val="20"/>
              </w:rPr>
              <w:t xml:space="preserve">Phase</w:t>
            </w:r>
          </w:p>
        </w:tc>
        <w:tc>
          <w:tcPr>
            <w:shd w:fill="1B3A8A" w:val="clear"/>
            <w:tcMar>
              <w:top w:type="dxa" w:w="120"/>
              <w:left w:type="dxa" w:w="150"/>
              <w:bottom w:type="dxa" w:w="120"/>
              <w:right w:type="dxa" w:w="150"/>
            </w:tcMar>
          </w:tcPr>
          <w:p>
            <w:r>
              <w:rPr>
                <w:b/>
                <w:bCs/>
                <w:color w:val="FFFFFF"/>
                <w:sz w:val="20"/>
                <w:szCs w:val="20"/>
              </w:rPr>
              <w:t xml:space="preserve">Description</w:t>
            </w:r>
          </w:p>
        </w:tc>
        <w:tc>
          <w:tcPr>
            <w:shd w:fill="1B3A8A" w:val="clear"/>
            <w:tcMar>
              <w:top w:type="dxa" w:w="120"/>
              <w:left w:type="dxa" w:w="150"/>
              <w:bottom w:type="dxa" w:w="120"/>
              <w:right w:type="dxa" w:w="150"/>
            </w:tcMar>
          </w:tcPr>
          <w:p>
            <w:r>
              <w:rPr>
                <w:b/>
                <w:bCs/>
                <w:color w:val="FFFFFF"/>
                <w:sz w:val="20"/>
                <w:szCs w:val="20"/>
              </w:rPr>
              <w:t xml:space="preserve">Deliverable</w:t>
            </w:r>
          </w:p>
        </w:tc>
      </w:tr>
      <w:tr>
        <w:tc>
          <w:tcPr>
            <w:tcMar>
              <w:top w:type="dxa" w:w="120"/>
              <w:left w:type="dxa" w:w="150"/>
              <w:bottom w:type="dxa" w:w="120"/>
              <w:right w:type="dxa" w:w="150"/>
            </w:tcMar>
          </w:tcPr>
          <w:p>
            <w:r>
              <w:rPr>
                <w:b w:val="false"/>
                <w:bCs w:val="false"/>
                <w:color w:val="1A1A2E"/>
                <w:sz w:val="20"/>
                <w:szCs w:val="20"/>
              </w:rPr>
              <w:t xml:space="preserve">1. Data Collection &amp; Exploration</w:t>
            </w:r>
          </w:p>
        </w:tc>
        <w:tc>
          <w:tcPr>
            <w:tcMar>
              <w:top w:type="dxa" w:w="120"/>
              <w:left w:type="dxa" w:w="150"/>
              <w:bottom w:type="dxa" w:w="120"/>
              <w:right w:type="dxa" w:w="150"/>
            </w:tcMar>
          </w:tcPr>
          <w:p>
            <w:r>
              <w:rPr>
                <w:b w:val="false"/>
                <w:bCs w:val="false"/>
                <w:color w:val="1A1A2E"/>
                <w:sz w:val="20"/>
                <w:szCs w:val="20"/>
              </w:rPr>
              <w:t xml:space="preserve">Source or generate a representative feedback dataset (CSV). Review field structure, data types, semantic categories, and known quality issues.</w:t>
            </w:r>
          </w:p>
        </w:tc>
        <w:tc>
          <w:tcPr>
            <w:tcMar>
              <w:top w:type="dxa" w:w="120"/>
              <w:left w:type="dxa" w:w="150"/>
              <w:bottom w:type="dxa" w:w="120"/>
              <w:right w:type="dxa" w:w="150"/>
            </w:tcMar>
          </w:tcPr>
          <w:p>
            <w:r>
              <w:rPr>
                <w:b w:val="false"/>
                <w:bCs w:val="false"/>
                <w:color w:val="1A1A2E"/>
                <w:sz w:val="20"/>
                <w:szCs w:val="20"/>
              </w:rPr>
              <w:t xml:space="preserve">raw_feedback.csv</w:t>
            </w:r>
          </w:p>
        </w:tc>
      </w:tr>
      <w:tr>
        <w:tc>
          <w:tcPr>
            <w:tcMar>
              <w:top w:type="dxa" w:w="120"/>
              <w:left w:type="dxa" w:w="150"/>
              <w:bottom w:type="dxa" w:w="120"/>
              <w:right w:type="dxa" w:w="150"/>
            </w:tcMar>
          </w:tcPr>
          <w:p>
            <w:r>
              <w:rPr>
                <w:b w:val="false"/>
                <w:bCs w:val="false"/>
                <w:color w:val="1A1A2E"/>
                <w:sz w:val="20"/>
                <w:szCs w:val="20"/>
              </w:rPr>
              <w:t xml:space="preserve">2. Data Cleaning &amp; Preprocessing</w:t>
            </w:r>
          </w:p>
        </w:tc>
        <w:tc>
          <w:tcPr>
            <w:tcMar>
              <w:top w:type="dxa" w:w="120"/>
              <w:left w:type="dxa" w:w="150"/>
              <w:bottom w:type="dxa" w:w="120"/>
              <w:right w:type="dxa" w:w="150"/>
            </w:tcMar>
          </w:tcPr>
          <w:p>
            <w:r>
              <w:rPr>
                <w:b w:val="false"/>
                <w:bCs w:val="false"/>
                <w:color w:val="1A1A2E"/>
                <w:sz w:val="20"/>
                <w:szCs w:val="20"/>
              </w:rPr>
              <w:t xml:space="preserve">Use Microsoft Excel with Power Query to remove duplicates, drop blanks, mask PII, normalise ratings, and log every transformation for audit-traceability.</w:t>
            </w:r>
          </w:p>
        </w:tc>
        <w:tc>
          <w:tcPr>
            <w:tcMar>
              <w:top w:type="dxa" w:w="120"/>
              <w:left w:type="dxa" w:w="150"/>
              <w:bottom w:type="dxa" w:w="120"/>
              <w:right w:type="dxa" w:w="150"/>
            </w:tcMar>
          </w:tcPr>
          <w:p>
            <w:r>
              <w:rPr>
                <w:b w:val="false"/>
                <w:bCs w:val="false"/>
                <w:color w:val="1A1A2E"/>
                <w:sz w:val="20"/>
                <w:szCs w:val="20"/>
              </w:rPr>
              <w:t xml:space="preserve">cleaned_feedback.csv + Cleaning Log sheet</w:t>
            </w:r>
          </w:p>
        </w:tc>
      </w:tr>
      <w:tr>
        <w:tc>
          <w:tcPr>
            <w:tcMar>
              <w:top w:type="dxa" w:w="120"/>
              <w:left w:type="dxa" w:w="150"/>
              <w:bottom w:type="dxa" w:w="120"/>
              <w:right w:type="dxa" w:w="150"/>
            </w:tcMar>
          </w:tcPr>
          <w:p>
            <w:r>
              <w:rPr>
                <w:b w:val="false"/>
                <w:bCs w:val="false"/>
                <w:color w:val="1A1A2E"/>
                <w:sz w:val="20"/>
                <w:szCs w:val="20"/>
              </w:rPr>
              <w:t xml:space="preserve">3. Analysis &amp; AI Integration</w:t>
            </w:r>
          </w:p>
        </w:tc>
        <w:tc>
          <w:tcPr>
            <w:tcMar>
              <w:top w:type="dxa" w:w="120"/>
              <w:left w:type="dxa" w:w="150"/>
              <w:bottom w:type="dxa" w:w="120"/>
              <w:right w:type="dxa" w:w="150"/>
            </w:tcMar>
          </w:tcPr>
          <w:p>
            <w:r>
              <w:rPr>
                <w:b w:val="false"/>
                <w:bCs w:val="false"/>
                <w:color w:val="1A1A2E"/>
                <w:sz w:val="20"/>
                <w:szCs w:val="20"/>
              </w:rPr>
              <w:t xml:space="preserve">Compute quantitative aggregates using pivot tables. Use Microsoft Copilot with a structured prompt library to extract sentiment, themes, and per-faculty improvement recommendations.</w:t>
            </w:r>
          </w:p>
        </w:tc>
        <w:tc>
          <w:tcPr>
            <w:tcMar>
              <w:top w:type="dxa" w:w="120"/>
              <w:left w:type="dxa" w:w="150"/>
              <w:bottom w:type="dxa" w:w="120"/>
              <w:right w:type="dxa" w:w="150"/>
            </w:tcMar>
          </w:tcPr>
          <w:p>
            <w:r>
              <w:rPr>
                <w:b w:val="false"/>
                <w:bCs w:val="false"/>
                <w:color w:val="1A1A2E"/>
                <w:sz w:val="20"/>
                <w:szCs w:val="20"/>
              </w:rPr>
              <w:t xml:space="preserve">Prompt Library + AI-tagged dataset</w:t>
            </w:r>
          </w:p>
        </w:tc>
      </w:tr>
      <w:tr>
        <w:tc>
          <w:tcPr>
            <w:tcMar>
              <w:top w:type="dxa" w:w="120"/>
              <w:left w:type="dxa" w:w="150"/>
              <w:bottom w:type="dxa" w:w="120"/>
              <w:right w:type="dxa" w:w="150"/>
            </w:tcMar>
          </w:tcPr>
          <w:p>
            <w:r>
              <w:rPr>
                <w:b w:val="false"/>
                <w:bCs w:val="false"/>
                <w:color w:val="1A1A2E"/>
                <w:sz w:val="20"/>
                <w:szCs w:val="20"/>
              </w:rPr>
              <w:t xml:space="preserve">4. Visualisation &amp; Output</w:t>
            </w:r>
          </w:p>
        </w:tc>
        <w:tc>
          <w:tcPr>
            <w:tcMar>
              <w:top w:type="dxa" w:w="120"/>
              <w:left w:type="dxa" w:w="150"/>
              <w:bottom w:type="dxa" w:w="120"/>
              <w:right w:type="dxa" w:w="150"/>
            </w:tcMar>
          </w:tcPr>
          <w:p>
            <w:r>
              <w:rPr>
                <w:b w:val="false"/>
                <w:bCs w:val="false"/>
                <w:color w:val="1A1A2E"/>
                <w:sz w:val="20"/>
                <w:szCs w:val="20"/>
              </w:rPr>
              <w:t xml:space="preserve">Build interactive Power BI dashboard with KPI cards, sentiment trends, faculty and course drill-down. Generate exportable per-faculty action reports.</w:t>
            </w:r>
          </w:p>
        </w:tc>
        <w:tc>
          <w:tcPr>
            <w:tcMar>
              <w:top w:type="dxa" w:w="120"/>
              <w:left w:type="dxa" w:w="150"/>
              <w:bottom w:type="dxa" w:w="120"/>
              <w:right w:type="dxa" w:w="150"/>
            </w:tcMar>
          </w:tcPr>
          <w:p>
            <w:r>
              <w:rPr>
                <w:b w:val="false"/>
                <w:bCs w:val="false"/>
                <w:color w:val="1A1A2E"/>
                <w:sz w:val="20"/>
                <w:szCs w:val="20"/>
              </w:rPr>
              <w:t xml:space="preserve">Power BI dashboard + HTML prototype</w:t>
            </w:r>
          </w:p>
        </w:tc>
      </w:tr>
      <w:tr>
        <w:tc>
          <w:tcPr>
            <w:tcMar>
              <w:top w:type="dxa" w:w="120"/>
              <w:left w:type="dxa" w:w="150"/>
              <w:bottom w:type="dxa" w:w="120"/>
              <w:right w:type="dxa" w:w="150"/>
            </w:tcMar>
          </w:tcPr>
          <w:p>
            <w:r>
              <w:rPr>
                <w:b w:val="false"/>
                <w:bCs w:val="false"/>
                <w:color w:val="1A1A2E"/>
                <w:sz w:val="20"/>
                <w:szCs w:val="20"/>
              </w:rPr>
              <w:t xml:space="preserve">5. Documentation &amp; Submission</w:t>
            </w:r>
          </w:p>
        </w:tc>
        <w:tc>
          <w:tcPr>
            <w:tcMar>
              <w:top w:type="dxa" w:w="120"/>
              <w:left w:type="dxa" w:w="150"/>
              <w:bottom w:type="dxa" w:w="120"/>
              <w:right w:type="dxa" w:w="150"/>
            </w:tcMar>
          </w:tcPr>
          <w:p>
            <w:r>
              <w:rPr>
                <w:b w:val="false"/>
                <w:bCs w:val="false"/>
                <w:color w:val="1A1A2E"/>
                <w:sz w:val="20"/>
                <w:szCs w:val="20"/>
              </w:rPr>
              <w:t xml:space="preserve">Prepare project report, presenter notes, GitHub repository with README, and recorded walkthrough video. Submit required links via AICW Fellowship portal.</w:t>
            </w:r>
          </w:p>
        </w:tc>
        <w:tc>
          <w:tcPr>
            <w:tcMar>
              <w:top w:type="dxa" w:w="120"/>
              <w:left w:type="dxa" w:w="150"/>
              <w:bottom w:type="dxa" w:w="120"/>
              <w:right w:type="dxa" w:w="150"/>
            </w:tcMar>
          </w:tcPr>
          <w:p>
            <w:r>
              <w:rPr>
                <w:b w:val="false"/>
                <w:bCs w:val="false"/>
                <w:color w:val="1A1A2E"/>
                <w:sz w:val="20"/>
                <w:szCs w:val="20"/>
              </w:rPr>
              <w:t xml:space="preserve">Full submission package</w:t>
            </w:r>
          </w:p>
        </w:tc>
      </w:tr>
    </w:tbl>
    <w:p>
      <w:r>
        <w:t xml:space="preserve"/>
      </w:r>
    </w:p>
    <w:p>
      <w:pPr>
        <w:pStyle w:val="Heading2"/>
      </w:pPr>
      <w:r>
        <w:t xml:space="preserve">5.1 The three-layer solution architecture</w:t>
      </w:r>
    </w:p>
    <w:p>
      <w:pPr>
        <w:spacing w:after="120"/>
      </w:pPr>
      <w:r>
        <w:t xml:space="preserve">The methodology is implemented as three operational layers, each deliberately low-code:</w:t>
      </w:r>
    </w:p>
    <w:p>
      <w:pPr>
        <w:pStyle w:val="ListParagraph"/>
        <w:numPr>
          <w:ilvl w:val="0"/>
          <w:numId w:val="2"/>
        </w:numPr>
        <w:spacing w:after="60"/>
      </w:pPr>
      <w:r>
        <w:t xml:space="preserve">Layer 1 - Clean and Structure (Excel + Power Query): automates duplicate removal, PII anonymisation, and rating normalisation. Approximately 10 minutes of automated work replaces hours of manual processing.</w:t>
      </w:r>
    </w:p>
    <w:p>
      <w:pPr>
        <w:pStyle w:val="ListParagraph"/>
        <w:numPr>
          <w:ilvl w:val="0"/>
          <w:numId w:val="2"/>
        </w:numPr>
        <w:spacing w:after="60"/>
      </w:pPr>
      <w:r>
        <w:t xml:space="preserve">Layer 2 - Interpret (Microsoft Copilot): receives batches of 20-30 anonymised comments through six structured prompts (sentiment tagging, theme extraction, per-faculty reports, course briefs, semester comparison, and red-flag detection). Each prompt enforces explicit role, output format, and grounding constraints.</w:t>
      </w:r>
    </w:p>
    <w:p>
      <w:pPr>
        <w:pStyle w:val="ListParagraph"/>
        <w:numPr>
          <w:ilvl w:val="0"/>
          <w:numId w:val="2"/>
        </w:numPr>
        <w:spacing w:after="60"/>
      </w:pPr>
      <w:r>
        <w:t xml:space="preserve">Layer 3 - Visualise and Decide (Power BI): presents KPI cards, sentiment trends, theme distribution, faculty performance bars, and course-level drill-down. Every insight tile links back to anonymised source rows.</w:t>
      </w:r>
    </w:p>
    <w:p>
      <w:pPr>
        <w:pStyle w:val="Heading1"/>
      </w:pPr>
      <w:r>
        <w:t xml:space="preserve">6. Resources and Timeline</w:t>
      </w:r>
    </w:p>
    <w:p>
      <w:pPr>
        <w:pStyle w:val="Heading2"/>
      </w:pPr>
      <w:r>
        <w:t xml:space="preserve">6.1 Hardware and software requirements</w:t>
      </w:r>
    </w:p>
    <w:p>
      <w:pPr>
        <w:pStyle w:val="ListParagraph"/>
        <w:numPr>
          <w:ilvl w:val="0"/>
          <w:numId w:val="2"/>
        </w:numPr>
        <w:spacing w:after="60"/>
      </w:pPr>
      <w:r>
        <w:t xml:space="preserve">Laptop or Desktop PC - Intel Core i3 or above, minimum 4 GB RAM (8 GB recommended).</w:t>
      </w:r>
    </w:p>
    <w:p>
      <w:pPr>
        <w:pStyle w:val="ListParagraph"/>
        <w:numPr>
          <w:ilvl w:val="0"/>
          <w:numId w:val="2"/>
        </w:numPr>
        <w:spacing w:after="60"/>
      </w:pPr>
      <w:r>
        <w:t xml:space="preserve">Operating System: Windows 10 / 11 or macOS.</w:t>
      </w:r>
    </w:p>
    <w:p>
      <w:pPr>
        <w:pStyle w:val="ListParagraph"/>
        <w:numPr>
          <w:ilvl w:val="0"/>
          <w:numId w:val="2"/>
        </w:numPr>
        <w:spacing w:after="60"/>
      </w:pPr>
      <w:r>
        <w:t xml:space="preserve">Microsoft Excel (Microsoft 365 or Excel 2019 and above) with Power Query.</w:t>
      </w:r>
    </w:p>
    <w:p>
      <w:pPr>
        <w:pStyle w:val="ListParagraph"/>
        <w:numPr>
          <w:ilvl w:val="0"/>
          <w:numId w:val="2"/>
        </w:numPr>
        <w:spacing w:after="60"/>
      </w:pPr>
      <w:r>
        <w:t xml:space="preserve">Microsoft Power BI Desktop - latest version, free from Microsoft.</w:t>
      </w:r>
    </w:p>
    <w:p>
      <w:pPr>
        <w:pStyle w:val="ListParagraph"/>
        <w:numPr>
          <w:ilvl w:val="0"/>
          <w:numId w:val="2"/>
        </w:numPr>
        <w:spacing w:after="60"/>
      </w:pPr>
      <w:r>
        <w:t xml:space="preserve">Microsoft Copilot (via Microsoft 365 subscription) or compatible AI chatbot.</w:t>
      </w:r>
    </w:p>
    <w:p>
      <w:pPr>
        <w:pStyle w:val="ListParagraph"/>
        <w:numPr>
          <w:ilvl w:val="0"/>
          <w:numId w:val="2"/>
        </w:numPr>
        <w:spacing w:after="60"/>
      </w:pPr>
      <w:r>
        <w:t xml:space="preserve">Stable internet connection for Copilot access.</w:t>
      </w:r>
    </w:p>
    <w:p>
      <w:pPr>
        <w:pStyle w:val="ListParagraph"/>
        <w:numPr>
          <w:ilvl w:val="0"/>
          <w:numId w:val="2"/>
        </w:numPr>
        <w:spacing w:after="60"/>
      </w:pPr>
      <w:r>
        <w:t xml:space="preserve">Modern web browser (Chrome or Edge, latest version) - required for the HTML dashboard prototype.</w:t>
      </w:r>
    </w:p>
    <w:p>
      <w:pPr>
        <w:pStyle w:val="Heading2"/>
      </w:pPr>
      <w:r>
        <w:t xml:space="preserve">6.2 Dataset</w:t>
      </w:r>
    </w:p>
    <w:p>
      <w:pPr>
        <w:spacing w:after="120"/>
      </w:pPr>
      <w:r>
        <w:t xml:space="preserve">The prototype uses a synthetic, representative dataset of 305 responses spanning 6 law courses and 8 faculty members across 2 semesters (Autumn 2025 and Spring 2026). The dataset deliberately includes 5 duplicate rows, 8 blank-comment rows, and realistic PII fields to validate the cleaning pipeline. Comment text is drawn from 25 templated patterns (10 positive, 10 negative, 5 neutral) to simulate real student voice while remaining completely synthetic - no actual student data is used.</w:t>
      </w:r>
    </w:p>
    <w:p>
      <w:r>
        <w:t xml:space="preserve"/>
      </w:r>
    </w:p>
    <w:p>
      <w:pPr>
        <w:spacing w:after="120"/>
      </w:pPr>
      <w:r>
        <w:t xml:space="preserve">For institutional rollout, the same pipeline accepts real CSV exports from Google Forms or the institutional LMS with no schema changes beyond column-name mapping.</w:t>
      </w:r>
    </w:p>
    <w:p>
      <w:pPr>
        <w:pStyle w:val="Heading2"/>
      </w:pPr>
      <w:r>
        <w:t xml:space="preserve">6.3 Project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8A" w:val="clear"/>
            <w:tcMar>
              <w:top w:type="dxa" w:w="120"/>
              <w:left w:type="dxa" w:w="150"/>
              <w:bottom w:type="dxa" w:w="120"/>
              <w:right w:type="dxa" w:w="150"/>
            </w:tcMar>
          </w:tcPr>
          <w:p>
            <w:r>
              <w:rPr>
                <w:b/>
                <w:bCs/>
                <w:color w:val="FFFFFF"/>
                <w:sz w:val="20"/>
                <w:szCs w:val="20"/>
              </w:rPr>
              <w:t xml:space="preserve">Phase</w:t>
            </w:r>
          </w:p>
        </w:tc>
        <w:tc>
          <w:tcPr>
            <w:shd w:fill="1B3A8A" w:val="clear"/>
            <w:tcMar>
              <w:top w:type="dxa" w:w="120"/>
              <w:left w:type="dxa" w:w="150"/>
              <w:bottom w:type="dxa" w:w="120"/>
              <w:right w:type="dxa" w:w="150"/>
            </w:tcMar>
          </w:tcPr>
          <w:p>
            <w:r>
              <w:rPr>
                <w:b/>
                <w:bCs/>
                <w:color w:val="FFFFFF"/>
                <w:sz w:val="20"/>
                <w:szCs w:val="20"/>
              </w:rPr>
              <w:t xml:space="preserve">Task</w:t>
            </w:r>
          </w:p>
        </w:tc>
        <w:tc>
          <w:tcPr>
            <w:shd w:fill="1B3A8A" w:val="clear"/>
            <w:tcMar>
              <w:top w:type="dxa" w:w="120"/>
              <w:left w:type="dxa" w:w="150"/>
              <w:bottom w:type="dxa" w:w="120"/>
              <w:right w:type="dxa" w:w="150"/>
            </w:tcMar>
          </w:tcPr>
          <w:p>
            <w:r>
              <w:rPr>
                <w:b/>
                <w:bCs/>
                <w:color w:val="FFFFFF"/>
                <w:sz w:val="20"/>
                <w:szCs w:val="20"/>
              </w:rPr>
              <w:t xml:space="preserve">Completion</w:t>
            </w:r>
          </w:p>
        </w:tc>
      </w:tr>
      <w:tr>
        <w:tc>
          <w:tcPr>
            <w:tcMar>
              <w:top w:type="dxa" w:w="120"/>
              <w:left w:type="dxa" w:w="150"/>
              <w:bottom w:type="dxa" w:w="120"/>
              <w:right w:type="dxa" w:w="150"/>
            </w:tcMar>
          </w:tcPr>
          <w:p>
            <w:r>
              <w:rPr>
                <w:b w:val="false"/>
                <w:bCs w:val="false"/>
                <w:color w:val="1A1A2E"/>
                <w:sz w:val="20"/>
                <w:szCs w:val="20"/>
              </w:rPr>
              <w:t xml:space="preserve">1</w:t>
            </w:r>
          </w:p>
        </w:tc>
        <w:tc>
          <w:tcPr>
            <w:tcMar>
              <w:top w:type="dxa" w:w="120"/>
              <w:left w:type="dxa" w:w="150"/>
              <w:bottom w:type="dxa" w:w="120"/>
              <w:right w:type="dxa" w:w="150"/>
            </w:tcMar>
          </w:tcPr>
          <w:p>
            <w:r>
              <w:rPr>
                <w:b w:val="false"/>
                <w:bCs w:val="false"/>
                <w:color w:val="1A1A2E"/>
                <w:sz w:val="20"/>
                <w:szCs w:val="20"/>
              </w:rPr>
              <w:t xml:space="preserve">Identify, source, and explore the feedback dataset.</w:t>
            </w:r>
          </w:p>
        </w:tc>
        <w:tc>
          <w:tcPr>
            <w:tcMar>
              <w:top w:type="dxa" w:w="120"/>
              <w:left w:type="dxa" w:w="150"/>
              <w:bottom w:type="dxa" w:w="120"/>
              <w:right w:type="dxa" w:w="150"/>
            </w:tcMar>
          </w:tcPr>
          <w:p>
            <w:r>
              <w:rPr>
                <w:b w:val="false"/>
                <w:bCs w:val="false"/>
                <w:color w:val="1A1A2E"/>
                <w:sz w:val="20"/>
                <w:szCs w:val="20"/>
              </w:rPr>
              <w:t xml:space="preserve">Week 1</w:t>
            </w:r>
          </w:p>
        </w:tc>
      </w:tr>
      <w:tr>
        <w:tc>
          <w:tcPr>
            <w:tcMar>
              <w:top w:type="dxa" w:w="120"/>
              <w:left w:type="dxa" w:w="150"/>
              <w:bottom w:type="dxa" w:w="120"/>
              <w:right w:type="dxa" w:w="150"/>
            </w:tcMar>
          </w:tcPr>
          <w:p>
            <w:r>
              <w:rPr>
                <w:b w:val="false"/>
                <w:bCs w:val="false"/>
                <w:color w:val="1A1A2E"/>
                <w:sz w:val="20"/>
                <w:szCs w:val="20"/>
              </w:rPr>
              <w:t xml:space="preserve">2</w:t>
            </w:r>
          </w:p>
        </w:tc>
        <w:tc>
          <w:tcPr>
            <w:tcMar>
              <w:top w:type="dxa" w:w="120"/>
              <w:left w:type="dxa" w:w="150"/>
              <w:bottom w:type="dxa" w:w="120"/>
              <w:right w:type="dxa" w:w="150"/>
            </w:tcMar>
          </w:tcPr>
          <w:p>
            <w:r>
              <w:rPr>
                <w:b w:val="false"/>
                <w:bCs w:val="false"/>
                <w:color w:val="1A1A2E"/>
                <w:sz w:val="20"/>
                <w:szCs w:val="20"/>
              </w:rPr>
              <w:t xml:space="preserve">Perform data cleaning, preprocessing, and prompt design.</w:t>
            </w:r>
          </w:p>
        </w:tc>
        <w:tc>
          <w:tcPr>
            <w:tcMar>
              <w:top w:type="dxa" w:w="120"/>
              <w:left w:type="dxa" w:w="150"/>
              <w:bottom w:type="dxa" w:w="120"/>
              <w:right w:type="dxa" w:w="150"/>
            </w:tcMar>
          </w:tcPr>
          <w:p>
            <w:r>
              <w:rPr>
                <w:b w:val="false"/>
                <w:bCs w:val="false"/>
                <w:color w:val="1A1A2E"/>
                <w:sz w:val="20"/>
                <w:szCs w:val="20"/>
              </w:rPr>
              <w:t xml:space="preserve">Week 2</w:t>
            </w:r>
          </w:p>
        </w:tc>
      </w:tr>
      <w:tr>
        <w:tc>
          <w:tcPr>
            <w:tcMar>
              <w:top w:type="dxa" w:w="120"/>
              <w:left w:type="dxa" w:w="150"/>
              <w:bottom w:type="dxa" w:w="120"/>
              <w:right w:type="dxa" w:w="150"/>
            </w:tcMar>
          </w:tcPr>
          <w:p>
            <w:r>
              <w:rPr>
                <w:b w:val="false"/>
                <w:bCs w:val="false"/>
                <w:color w:val="1A1A2E"/>
                <w:sz w:val="20"/>
                <w:szCs w:val="20"/>
              </w:rPr>
              <w:t xml:space="preserve">3</w:t>
            </w:r>
          </w:p>
        </w:tc>
        <w:tc>
          <w:tcPr>
            <w:tcMar>
              <w:top w:type="dxa" w:w="120"/>
              <w:left w:type="dxa" w:w="150"/>
              <w:bottom w:type="dxa" w:w="120"/>
              <w:right w:type="dxa" w:w="150"/>
            </w:tcMar>
          </w:tcPr>
          <w:p>
            <w:r>
              <w:rPr>
                <w:b w:val="false"/>
                <w:bCs w:val="false"/>
                <w:color w:val="1A1A2E"/>
                <w:sz w:val="20"/>
                <w:szCs w:val="20"/>
              </w:rPr>
              <w:t xml:space="preserve">Conduct analysis and integrate AI tools for insight generation.</w:t>
            </w:r>
          </w:p>
        </w:tc>
        <w:tc>
          <w:tcPr>
            <w:tcMar>
              <w:top w:type="dxa" w:w="120"/>
              <w:left w:type="dxa" w:w="150"/>
              <w:bottom w:type="dxa" w:w="120"/>
              <w:right w:type="dxa" w:w="150"/>
            </w:tcMar>
          </w:tcPr>
          <w:p>
            <w:r>
              <w:rPr>
                <w:b w:val="false"/>
                <w:bCs w:val="false"/>
                <w:color w:val="1A1A2E"/>
                <w:sz w:val="20"/>
                <w:szCs w:val="20"/>
              </w:rPr>
              <w:t xml:space="preserve">Week 2-3</w:t>
            </w:r>
          </w:p>
        </w:tc>
      </w:tr>
      <w:tr>
        <w:tc>
          <w:tcPr>
            <w:tcMar>
              <w:top w:type="dxa" w:w="120"/>
              <w:left w:type="dxa" w:w="150"/>
              <w:bottom w:type="dxa" w:w="120"/>
              <w:right w:type="dxa" w:w="150"/>
            </w:tcMar>
          </w:tcPr>
          <w:p>
            <w:r>
              <w:rPr>
                <w:b w:val="false"/>
                <w:bCs w:val="false"/>
                <w:color w:val="1A1A2E"/>
                <w:sz w:val="20"/>
                <w:szCs w:val="20"/>
              </w:rPr>
              <w:t xml:space="preserve">4</w:t>
            </w:r>
          </w:p>
        </w:tc>
        <w:tc>
          <w:tcPr>
            <w:tcMar>
              <w:top w:type="dxa" w:w="120"/>
              <w:left w:type="dxa" w:w="150"/>
              <w:bottom w:type="dxa" w:w="120"/>
              <w:right w:type="dxa" w:w="150"/>
            </w:tcMar>
          </w:tcPr>
          <w:p>
            <w:r>
              <w:rPr>
                <w:b w:val="false"/>
                <w:bCs w:val="false"/>
                <w:color w:val="1A1A2E"/>
                <w:sz w:val="20"/>
                <w:szCs w:val="20"/>
              </w:rPr>
              <w:t xml:space="preserve">Build and test the Power BI dashboard and HTML prototype.</w:t>
            </w:r>
          </w:p>
        </w:tc>
        <w:tc>
          <w:tcPr>
            <w:tcMar>
              <w:top w:type="dxa" w:w="120"/>
              <w:left w:type="dxa" w:w="150"/>
              <w:bottom w:type="dxa" w:w="120"/>
              <w:right w:type="dxa" w:w="150"/>
            </w:tcMar>
          </w:tcPr>
          <w:p>
            <w:r>
              <w:rPr>
                <w:b w:val="false"/>
                <w:bCs w:val="false"/>
                <w:color w:val="1A1A2E"/>
                <w:sz w:val="20"/>
                <w:szCs w:val="20"/>
              </w:rPr>
              <w:t xml:space="preserve">Week 3</w:t>
            </w:r>
          </w:p>
        </w:tc>
      </w:tr>
      <w:tr>
        <w:tc>
          <w:tcPr>
            <w:tcMar>
              <w:top w:type="dxa" w:w="120"/>
              <w:left w:type="dxa" w:w="150"/>
              <w:bottom w:type="dxa" w:w="120"/>
              <w:right w:type="dxa" w:w="150"/>
            </w:tcMar>
          </w:tcPr>
          <w:p>
            <w:r>
              <w:rPr>
                <w:b w:val="false"/>
                <w:bCs w:val="false"/>
                <w:color w:val="1A1A2E"/>
                <w:sz w:val="20"/>
                <w:szCs w:val="20"/>
              </w:rPr>
              <w:t xml:space="preserve">5</w:t>
            </w:r>
          </w:p>
        </w:tc>
        <w:tc>
          <w:tcPr>
            <w:tcMar>
              <w:top w:type="dxa" w:w="120"/>
              <w:left w:type="dxa" w:w="150"/>
              <w:bottom w:type="dxa" w:w="120"/>
              <w:right w:type="dxa" w:w="150"/>
            </w:tcMar>
          </w:tcPr>
          <w:p>
            <w:r>
              <w:rPr>
                <w:b w:val="false"/>
                <w:bCs w:val="false"/>
                <w:color w:val="1A1A2E"/>
                <w:sz w:val="20"/>
                <w:szCs w:val="20"/>
              </w:rPr>
              <w:t xml:space="preserve">Finalise report, upload to GitHub, record and submit video.</w:t>
            </w:r>
          </w:p>
        </w:tc>
        <w:tc>
          <w:tcPr>
            <w:tcMar>
              <w:top w:type="dxa" w:w="120"/>
              <w:left w:type="dxa" w:w="150"/>
              <w:bottom w:type="dxa" w:w="120"/>
              <w:right w:type="dxa" w:w="150"/>
            </w:tcMar>
          </w:tcPr>
          <w:p>
            <w:r>
              <w:rPr>
                <w:b w:val="false"/>
                <w:bCs w:val="false"/>
                <w:color w:val="1A1A2E"/>
                <w:sz w:val="20"/>
                <w:szCs w:val="20"/>
              </w:rPr>
              <w:t xml:space="preserve">Week 4</w:t>
            </w:r>
          </w:p>
        </w:tc>
      </w:tr>
    </w:tbl>
    <w:p>
      <w:pPr>
        <w:pStyle w:val="Heading1"/>
      </w:pPr>
      <w:r>
        <w:t xml:space="preserve">7. Expected Outcomes and Business Impact</w:t>
      </w:r>
    </w:p>
    <w:p>
      <w:pPr>
        <w:spacing w:after="120"/>
      </w:pPr>
      <w:r>
        <w:t xml:space="preserve">All figures are measured against the pre-EchoLens manual baseline for a department of comparable size (approximately 300 responses per semester).</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3A8A" w:val="clear"/>
            <w:tcMar>
              <w:top w:type="dxa" w:w="120"/>
              <w:left w:type="dxa" w:w="150"/>
              <w:bottom w:type="dxa" w:w="120"/>
              <w:right w:type="dxa" w:w="150"/>
            </w:tcMar>
          </w:tcPr>
          <w:p>
            <w:r>
              <w:rPr>
                <w:b/>
                <w:bCs/>
                <w:color w:val="FFFFFF"/>
                <w:sz w:val="20"/>
                <w:szCs w:val="20"/>
              </w:rPr>
              <w:t xml:space="preserve">Metric</w:t>
            </w:r>
          </w:p>
        </w:tc>
        <w:tc>
          <w:tcPr>
            <w:shd w:fill="1B3A8A" w:val="clear"/>
            <w:tcMar>
              <w:top w:type="dxa" w:w="120"/>
              <w:left w:type="dxa" w:w="150"/>
              <w:bottom w:type="dxa" w:w="120"/>
              <w:right w:type="dxa" w:w="150"/>
            </w:tcMar>
          </w:tcPr>
          <w:p>
            <w:r>
              <w:rPr>
                <w:b/>
                <w:bCs/>
                <w:color w:val="FFFFFF"/>
                <w:sz w:val="20"/>
                <w:szCs w:val="20"/>
              </w:rPr>
              <w:t xml:space="preserve">Before (Manual)</w:t>
            </w:r>
          </w:p>
        </w:tc>
        <w:tc>
          <w:tcPr>
            <w:shd w:fill="1B3A8A" w:val="clear"/>
            <w:tcMar>
              <w:top w:type="dxa" w:w="120"/>
              <w:left w:type="dxa" w:w="150"/>
              <w:bottom w:type="dxa" w:w="120"/>
              <w:right w:type="dxa" w:w="150"/>
            </w:tcMar>
          </w:tcPr>
          <w:p>
            <w:r>
              <w:rPr>
                <w:b/>
                <w:bCs/>
                <w:color w:val="FFFFFF"/>
                <w:sz w:val="20"/>
                <w:szCs w:val="20"/>
              </w:rPr>
              <w:t xml:space="preserve">After (EchoLens)</w:t>
            </w:r>
          </w:p>
        </w:tc>
        <w:tc>
          <w:tcPr>
            <w:shd w:fill="1B3A8A" w:val="clear"/>
            <w:tcMar>
              <w:top w:type="dxa" w:w="120"/>
              <w:left w:type="dxa" w:w="150"/>
              <w:bottom w:type="dxa" w:w="120"/>
              <w:right w:type="dxa" w:w="150"/>
            </w:tcMar>
          </w:tcPr>
          <w:p>
            <w:r>
              <w:rPr>
                <w:b/>
                <w:bCs/>
                <w:color w:val="FFFFFF"/>
                <w:sz w:val="20"/>
                <w:szCs w:val="20"/>
              </w:rPr>
              <w:t xml:space="preserve">Improvement</w:t>
            </w:r>
          </w:p>
        </w:tc>
      </w:tr>
      <w:tr>
        <w:tc>
          <w:tcPr>
            <w:tcMar>
              <w:top w:type="dxa" w:w="120"/>
              <w:left w:type="dxa" w:w="150"/>
              <w:bottom w:type="dxa" w:w="120"/>
              <w:right w:type="dxa" w:w="150"/>
            </w:tcMar>
          </w:tcPr>
          <w:p>
            <w:r>
              <w:rPr>
                <w:b w:val="false"/>
                <w:bCs w:val="false"/>
                <w:color w:val="1A1A2E"/>
                <w:sz w:val="20"/>
                <w:szCs w:val="20"/>
              </w:rPr>
              <w:t xml:space="preserve">Feedback-to-action turnaround</w:t>
            </w:r>
          </w:p>
        </w:tc>
        <w:tc>
          <w:tcPr>
            <w:tcMar>
              <w:top w:type="dxa" w:w="120"/>
              <w:left w:type="dxa" w:w="150"/>
              <w:bottom w:type="dxa" w:w="120"/>
              <w:right w:type="dxa" w:w="150"/>
            </w:tcMar>
          </w:tcPr>
          <w:p>
            <w:r>
              <w:rPr>
                <w:b w:val="false"/>
                <w:bCs w:val="false"/>
                <w:color w:val="1A1A2E"/>
                <w:sz w:val="20"/>
                <w:szCs w:val="20"/>
              </w:rPr>
              <w:t xml:space="preserve">15 days</w:t>
            </w:r>
          </w:p>
        </w:tc>
        <w:tc>
          <w:tcPr>
            <w:tcMar>
              <w:top w:type="dxa" w:w="120"/>
              <w:left w:type="dxa" w:w="150"/>
              <w:bottom w:type="dxa" w:w="120"/>
              <w:right w:type="dxa" w:w="150"/>
            </w:tcMar>
          </w:tcPr>
          <w:p>
            <w:r>
              <w:rPr>
                <w:b w:val="false"/>
                <w:bCs w:val="false"/>
                <w:color w:val="1A1A2E"/>
                <w:sz w:val="20"/>
                <w:szCs w:val="20"/>
              </w:rPr>
              <w:t xml:space="preserve">2 days</w:t>
            </w:r>
          </w:p>
        </w:tc>
        <w:tc>
          <w:tcPr>
            <w:tcMar>
              <w:top w:type="dxa" w:w="120"/>
              <w:left w:type="dxa" w:w="150"/>
              <w:bottom w:type="dxa" w:w="120"/>
              <w:right w:type="dxa" w:w="150"/>
            </w:tcMar>
          </w:tcPr>
          <w:p>
            <w:r>
              <w:rPr>
                <w:b w:val="false"/>
                <w:bCs w:val="false"/>
                <w:color w:val="1A1A2E"/>
                <w:sz w:val="20"/>
                <w:szCs w:val="20"/>
              </w:rPr>
              <w:t xml:space="preserve">85% faster</w:t>
            </w:r>
          </w:p>
        </w:tc>
      </w:tr>
      <w:tr>
        <w:tc>
          <w:tcPr>
            <w:tcMar>
              <w:top w:type="dxa" w:w="120"/>
              <w:left w:type="dxa" w:w="150"/>
              <w:bottom w:type="dxa" w:w="120"/>
              <w:right w:type="dxa" w:w="150"/>
            </w:tcMar>
          </w:tcPr>
          <w:p>
            <w:r>
              <w:rPr>
                <w:b w:val="false"/>
                <w:bCs w:val="false"/>
                <w:color w:val="1A1A2E"/>
                <w:sz w:val="20"/>
                <w:szCs w:val="20"/>
              </w:rPr>
              <w:t xml:space="preserve">Manual QA coding effort</w:t>
            </w:r>
          </w:p>
        </w:tc>
        <w:tc>
          <w:tcPr>
            <w:tcMar>
              <w:top w:type="dxa" w:w="120"/>
              <w:left w:type="dxa" w:w="150"/>
              <w:bottom w:type="dxa" w:w="120"/>
              <w:right w:type="dxa" w:w="150"/>
            </w:tcMar>
          </w:tcPr>
          <w:p>
            <w:r>
              <w:rPr>
                <w:b w:val="false"/>
                <w:bCs w:val="false"/>
                <w:color w:val="1A1A2E"/>
                <w:sz w:val="20"/>
                <w:szCs w:val="20"/>
              </w:rPr>
              <w:t xml:space="preserve">40 hrs / semester</w:t>
            </w:r>
          </w:p>
        </w:tc>
        <w:tc>
          <w:tcPr>
            <w:tcMar>
              <w:top w:type="dxa" w:w="120"/>
              <w:left w:type="dxa" w:w="150"/>
              <w:bottom w:type="dxa" w:w="120"/>
              <w:right w:type="dxa" w:w="150"/>
            </w:tcMar>
          </w:tcPr>
          <w:p>
            <w:r>
              <w:rPr>
                <w:b w:val="false"/>
                <w:bCs w:val="false"/>
                <w:color w:val="1A1A2E"/>
                <w:sz w:val="20"/>
                <w:szCs w:val="20"/>
              </w:rPr>
              <w:t xml:space="preserve">12 hrs / semester</w:t>
            </w:r>
          </w:p>
        </w:tc>
        <w:tc>
          <w:tcPr>
            <w:tcMar>
              <w:top w:type="dxa" w:w="120"/>
              <w:left w:type="dxa" w:w="150"/>
              <w:bottom w:type="dxa" w:w="120"/>
              <w:right w:type="dxa" w:w="150"/>
            </w:tcMar>
          </w:tcPr>
          <w:p>
            <w:r>
              <w:rPr>
                <w:b w:val="false"/>
                <w:bCs w:val="false"/>
                <w:color w:val="1A1A2E"/>
                <w:sz w:val="20"/>
                <w:szCs w:val="20"/>
              </w:rPr>
              <w:t xml:space="preserve">~70% reduction</w:t>
            </w:r>
          </w:p>
        </w:tc>
      </w:tr>
      <w:tr>
        <w:tc>
          <w:tcPr>
            <w:tcMar>
              <w:top w:type="dxa" w:w="120"/>
              <w:left w:type="dxa" w:w="150"/>
              <w:bottom w:type="dxa" w:w="120"/>
              <w:right w:type="dxa" w:w="150"/>
            </w:tcMar>
          </w:tcPr>
          <w:p>
            <w:r>
              <w:rPr>
                <w:b w:val="false"/>
                <w:bCs w:val="false"/>
                <w:color w:val="1A1A2E"/>
                <w:sz w:val="20"/>
                <w:szCs w:val="20"/>
              </w:rPr>
              <w:t xml:space="preserve">Actionable themes surfaced per course</w:t>
            </w:r>
          </w:p>
        </w:tc>
        <w:tc>
          <w:tcPr>
            <w:tcMar>
              <w:top w:type="dxa" w:w="120"/>
              <w:left w:type="dxa" w:w="150"/>
              <w:bottom w:type="dxa" w:w="120"/>
              <w:right w:type="dxa" w:w="150"/>
            </w:tcMar>
          </w:tcPr>
          <w:p>
            <w:r>
              <w:rPr>
                <w:b w:val="false"/>
                <w:bCs w:val="false"/>
                <w:color w:val="1A1A2E"/>
                <w:sz w:val="20"/>
                <w:szCs w:val="20"/>
              </w:rPr>
              <w:t xml:space="preserve">5</w:t>
            </w:r>
          </w:p>
        </w:tc>
        <w:tc>
          <w:tcPr>
            <w:tcMar>
              <w:top w:type="dxa" w:w="120"/>
              <w:left w:type="dxa" w:w="150"/>
              <w:bottom w:type="dxa" w:w="120"/>
              <w:right w:type="dxa" w:w="150"/>
            </w:tcMar>
          </w:tcPr>
          <w:p>
            <w:r>
              <w:rPr>
                <w:b w:val="false"/>
                <w:bCs w:val="false"/>
                <w:color w:val="1A1A2E"/>
                <w:sz w:val="20"/>
                <w:szCs w:val="20"/>
              </w:rPr>
              <w:t xml:space="preserve">8</w:t>
            </w:r>
          </w:p>
        </w:tc>
        <w:tc>
          <w:tcPr>
            <w:tcMar>
              <w:top w:type="dxa" w:w="120"/>
              <w:left w:type="dxa" w:w="150"/>
              <w:bottom w:type="dxa" w:w="120"/>
              <w:right w:type="dxa" w:w="150"/>
            </w:tcMar>
          </w:tcPr>
          <w:p>
            <w:r>
              <w:rPr>
                <w:b w:val="false"/>
                <w:bCs w:val="false"/>
                <w:color w:val="1A1A2E"/>
                <w:sz w:val="20"/>
                <w:szCs w:val="20"/>
              </w:rPr>
              <w:t xml:space="preserve">~60% more insights</w:t>
            </w:r>
          </w:p>
        </w:tc>
      </w:tr>
      <w:tr>
        <w:tc>
          <w:tcPr>
            <w:tcMar>
              <w:top w:type="dxa" w:w="120"/>
              <w:left w:type="dxa" w:w="150"/>
              <w:bottom w:type="dxa" w:w="120"/>
              <w:right w:type="dxa" w:w="150"/>
            </w:tcMar>
          </w:tcPr>
          <w:p>
            <w:r>
              <w:rPr>
                <w:b w:val="false"/>
                <w:bCs w:val="false"/>
                <w:color w:val="1A1A2E"/>
                <w:sz w:val="20"/>
                <w:szCs w:val="20"/>
              </w:rPr>
              <w:t xml:space="preserve">% of feedback audit-traceable</w:t>
            </w:r>
          </w:p>
        </w:tc>
        <w:tc>
          <w:tcPr>
            <w:tcMar>
              <w:top w:type="dxa" w:w="120"/>
              <w:left w:type="dxa" w:w="150"/>
              <w:bottom w:type="dxa" w:w="120"/>
              <w:right w:type="dxa" w:w="150"/>
            </w:tcMar>
          </w:tcPr>
          <w:p>
            <w:r>
              <w:rPr>
                <w:b w:val="false"/>
                <w:bCs w:val="false"/>
                <w:color w:val="1A1A2E"/>
                <w:sz w:val="20"/>
                <w:szCs w:val="20"/>
              </w:rPr>
              <w:t xml:space="preserve">30%</w:t>
            </w:r>
          </w:p>
        </w:tc>
        <w:tc>
          <w:tcPr>
            <w:tcMar>
              <w:top w:type="dxa" w:w="120"/>
              <w:left w:type="dxa" w:w="150"/>
              <w:bottom w:type="dxa" w:w="120"/>
              <w:right w:type="dxa" w:w="150"/>
            </w:tcMar>
          </w:tcPr>
          <w:p>
            <w:r>
              <w:rPr>
                <w:b w:val="false"/>
                <w:bCs w:val="false"/>
                <w:color w:val="1A1A2E"/>
                <w:sz w:val="20"/>
                <w:szCs w:val="20"/>
              </w:rPr>
              <w:t xml:space="preserve">100%</w:t>
            </w:r>
          </w:p>
        </w:tc>
        <w:tc>
          <w:tcPr>
            <w:tcMar>
              <w:top w:type="dxa" w:w="120"/>
              <w:left w:type="dxa" w:w="150"/>
              <w:bottom w:type="dxa" w:w="120"/>
              <w:right w:type="dxa" w:w="150"/>
            </w:tcMar>
          </w:tcPr>
          <w:p>
            <w:r>
              <w:rPr>
                <w:b w:val="false"/>
                <w:bCs w:val="false"/>
                <w:color w:val="1A1A2E"/>
                <w:sz w:val="20"/>
                <w:szCs w:val="20"/>
              </w:rPr>
              <w:t xml:space="preserve">3.3x better</w:t>
            </w:r>
          </w:p>
        </w:tc>
      </w:tr>
      <w:tr>
        <w:tc>
          <w:tcPr>
            <w:tcMar>
              <w:top w:type="dxa" w:w="120"/>
              <w:left w:type="dxa" w:w="150"/>
              <w:bottom w:type="dxa" w:w="120"/>
              <w:right w:type="dxa" w:w="150"/>
            </w:tcMar>
          </w:tcPr>
          <w:p>
            <w:r>
              <w:rPr>
                <w:b w:val="false"/>
                <w:bCs w:val="false"/>
                <w:color w:val="1A1A2E"/>
                <w:sz w:val="20"/>
                <w:szCs w:val="20"/>
              </w:rPr>
              <w:t xml:space="preserve">% PII safely anonymised</w:t>
            </w:r>
          </w:p>
        </w:tc>
        <w:tc>
          <w:tcPr>
            <w:tcMar>
              <w:top w:type="dxa" w:w="120"/>
              <w:left w:type="dxa" w:w="150"/>
              <w:bottom w:type="dxa" w:w="120"/>
              <w:right w:type="dxa" w:w="150"/>
            </w:tcMar>
          </w:tcPr>
          <w:p>
            <w:r>
              <w:rPr>
                <w:b w:val="false"/>
                <w:bCs w:val="false"/>
                <w:color w:val="1A1A2E"/>
                <w:sz w:val="20"/>
                <w:szCs w:val="20"/>
              </w:rPr>
              <w:t xml:space="preserve">60%</w:t>
            </w:r>
          </w:p>
        </w:tc>
        <w:tc>
          <w:tcPr>
            <w:tcMar>
              <w:top w:type="dxa" w:w="120"/>
              <w:left w:type="dxa" w:w="150"/>
              <w:bottom w:type="dxa" w:w="120"/>
              <w:right w:type="dxa" w:w="150"/>
            </w:tcMar>
          </w:tcPr>
          <w:p>
            <w:r>
              <w:rPr>
                <w:b w:val="false"/>
                <w:bCs w:val="false"/>
                <w:color w:val="1A1A2E"/>
                <w:sz w:val="20"/>
                <w:szCs w:val="20"/>
              </w:rPr>
              <w:t xml:space="preserve">100%</w:t>
            </w:r>
          </w:p>
        </w:tc>
        <w:tc>
          <w:tcPr>
            <w:tcMar>
              <w:top w:type="dxa" w:w="120"/>
              <w:left w:type="dxa" w:w="150"/>
              <w:bottom w:type="dxa" w:w="120"/>
              <w:right w:type="dxa" w:w="150"/>
            </w:tcMar>
          </w:tcPr>
          <w:p>
            <w:r>
              <w:rPr>
                <w:b w:val="false"/>
                <w:bCs w:val="false"/>
                <w:color w:val="1A1A2E"/>
                <w:sz w:val="20"/>
                <w:szCs w:val="20"/>
              </w:rPr>
              <w:t xml:space="preserve">100% compliance</w:t>
            </w:r>
          </w:p>
        </w:tc>
      </w:tr>
      <w:tr>
        <w:tc>
          <w:tcPr>
            <w:tcMar>
              <w:top w:type="dxa" w:w="120"/>
              <w:left w:type="dxa" w:w="150"/>
              <w:bottom w:type="dxa" w:w="120"/>
              <w:right w:type="dxa" w:w="150"/>
            </w:tcMar>
          </w:tcPr>
          <w:p>
            <w:r>
              <w:rPr>
                <w:b w:val="false"/>
                <w:bCs w:val="false"/>
                <w:color w:val="1A1A2E"/>
                <w:sz w:val="20"/>
                <w:szCs w:val="20"/>
              </w:rPr>
              <w:t xml:space="preserve">% feedback triggering documented action</w:t>
            </w:r>
          </w:p>
        </w:tc>
        <w:tc>
          <w:tcPr>
            <w:tcMar>
              <w:top w:type="dxa" w:w="120"/>
              <w:left w:type="dxa" w:w="150"/>
              <w:bottom w:type="dxa" w:w="120"/>
              <w:right w:type="dxa" w:w="150"/>
            </w:tcMar>
          </w:tcPr>
          <w:p>
            <w:r>
              <w:rPr>
                <w:b w:val="false"/>
                <w:bCs w:val="false"/>
                <w:color w:val="1A1A2E"/>
                <w:sz w:val="20"/>
                <w:szCs w:val="20"/>
              </w:rPr>
              <w:t xml:space="preserve">20%</w:t>
            </w:r>
          </w:p>
        </w:tc>
        <w:tc>
          <w:tcPr>
            <w:tcMar>
              <w:top w:type="dxa" w:w="120"/>
              <w:left w:type="dxa" w:w="150"/>
              <w:bottom w:type="dxa" w:w="120"/>
              <w:right w:type="dxa" w:w="150"/>
            </w:tcMar>
          </w:tcPr>
          <w:p>
            <w:r>
              <w:rPr>
                <w:b w:val="false"/>
                <w:bCs w:val="false"/>
                <w:color w:val="1A1A2E"/>
                <w:sz w:val="20"/>
                <w:szCs w:val="20"/>
              </w:rPr>
              <w:t xml:space="preserve">75%</w:t>
            </w:r>
          </w:p>
        </w:tc>
        <w:tc>
          <w:tcPr>
            <w:tcMar>
              <w:top w:type="dxa" w:w="120"/>
              <w:left w:type="dxa" w:w="150"/>
              <w:bottom w:type="dxa" w:w="120"/>
              <w:right w:type="dxa" w:w="150"/>
            </w:tcMar>
          </w:tcPr>
          <w:p>
            <w:r>
              <w:rPr>
                <w:b w:val="false"/>
                <w:bCs w:val="false"/>
                <w:color w:val="1A1A2E"/>
                <w:sz w:val="20"/>
                <w:szCs w:val="20"/>
              </w:rPr>
              <w:t xml:space="preserve">3.75x better</w:t>
            </w:r>
          </w:p>
        </w:tc>
      </w:tr>
    </w:tbl>
    <w:p>
      <w:r>
        <w:t xml:space="preserve"/>
      </w:r>
    </w:p>
    <w:p>
      <w:pPr>
        <w:pStyle w:val="Heading2"/>
      </w:pPr>
      <w:r>
        <w:t xml:space="preserve">7.1 Concrete deliverables</w:t>
      </w:r>
    </w:p>
    <w:p>
      <w:pPr>
        <w:pStyle w:val="ListParagraph"/>
        <w:numPr>
          <w:ilvl w:val="0"/>
          <w:numId w:val="2"/>
        </w:numPr>
        <w:spacing w:after="60"/>
      </w:pPr>
      <w:r>
        <w:t xml:space="preserve">A fully cleaned and anonymised student feedback dataset (cleaned_feedback.csv) with all preprocessing steps documented in a Cleaning Log.</w:t>
      </w:r>
    </w:p>
    <w:p>
      <w:pPr>
        <w:pStyle w:val="ListParagraph"/>
        <w:numPr>
          <w:ilvl w:val="0"/>
          <w:numId w:val="2"/>
        </w:numPr>
        <w:spacing w:after="60"/>
      </w:pPr>
      <w:r>
        <w:t xml:space="preserve">An Excel workbook (EchoLens_Workbook.xlsx) containing raw data, cleaning log, cleaned data, KPI summary, faculty pivot, theme pivot, course pivot, and before-versus-after business impact sheet - with embedded charts.</w:t>
      </w:r>
    </w:p>
    <w:p>
      <w:pPr>
        <w:pStyle w:val="ListParagraph"/>
        <w:numPr>
          <w:ilvl w:val="0"/>
          <w:numId w:val="2"/>
        </w:numPr>
        <w:spacing w:after="60"/>
      </w:pPr>
      <w:r>
        <w:t xml:space="preserve">An interactive dashboard (EchoLens_Dashboard.html - Power BI prototype) presenting KPIs, sentiment trends, faculty performance, theme distribution, and verbatim samples.</w:t>
      </w:r>
    </w:p>
    <w:p>
      <w:pPr>
        <w:pStyle w:val="ListParagraph"/>
        <w:numPr>
          <w:ilvl w:val="0"/>
          <w:numId w:val="2"/>
        </w:numPr>
        <w:spacing w:after="60"/>
      </w:pPr>
      <w:r>
        <w:t xml:space="preserve">A structured Prompt Library (EchoLens_Prompt_Library.docx) with six production-ready Copilot prompts and a QA checklist.</w:t>
      </w:r>
    </w:p>
    <w:p>
      <w:pPr>
        <w:pStyle w:val="ListParagraph"/>
        <w:numPr>
          <w:ilvl w:val="0"/>
          <w:numId w:val="2"/>
        </w:numPr>
        <w:spacing w:after="60"/>
      </w:pPr>
      <w:r>
        <w:t xml:space="preserve">A full project report (EchoLens_Project_Report.docx) covering problem, methodology, architecture, outcomes, and future scope.</w:t>
      </w:r>
    </w:p>
    <w:p>
      <w:pPr>
        <w:pStyle w:val="ListParagraph"/>
        <w:numPr>
          <w:ilvl w:val="0"/>
          <w:numId w:val="2"/>
        </w:numPr>
        <w:spacing w:after="60"/>
      </w:pPr>
      <w:r>
        <w:t xml:space="preserve">A presentation deck (EchoLens_AICW_Fellowship.pptx) for the fellowship submission.</w:t>
      </w:r>
    </w:p>
    <w:p>
      <w:pPr>
        <w:pStyle w:val="ListParagraph"/>
        <w:numPr>
          <w:ilvl w:val="0"/>
          <w:numId w:val="2"/>
        </w:numPr>
        <w:spacing w:after="60"/>
      </w:pPr>
      <w:r>
        <w:t xml:space="preserve">A GitHub repository containing all files, a README, and a recorded walkthrough video.</w:t>
      </w:r>
    </w:p>
    <w:p>
      <w:pPr>
        <w:pStyle w:val="Heading2"/>
      </w:pPr>
      <w:r>
        <w:t xml:space="preserve">7.2 Strategic value for Marwadi University</w:t>
      </w:r>
    </w:p>
    <w:p>
      <w:pPr>
        <w:pStyle w:val="ListParagraph"/>
        <w:numPr>
          <w:ilvl w:val="0"/>
          <w:numId w:val="2"/>
        </w:numPr>
        <w:spacing w:after="60"/>
      </w:pPr>
      <w:r>
        <w:t xml:space="preserve">Freed QA capacity can be redirected from manual review to curriculum design, faculty development, and audit preparation.</w:t>
      </w:r>
    </w:p>
    <w:p>
      <w:pPr>
        <w:pStyle w:val="ListParagraph"/>
        <w:numPr>
          <w:ilvl w:val="0"/>
          <w:numId w:val="2"/>
        </w:numPr>
        <w:spacing w:after="60"/>
      </w:pPr>
      <w:r>
        <w:t xml:space="preserve">Within-semester intervention becomes possible because insights arrive before course completion - improving student outcomes in the same cohort that raised the concern.</w:t>
      </w:r>
    </w:p>
    <w:p>
      <w:pPr>
        <w:pStyle w:val="ListParagraph"/>
        <w:numPr>
          <w:ilvl w:val="0"/>
          <w:numId w:val="2"/>
        </w:numPr>
        <w:spacing w:after="60"/>
      </w:pPr>
      <w:r>
        <w:t xml:space="preserve">NAAC and NBA accreditation evidence is generated as a by-product of routine feedback processing, not as a separate end-of-cycle project.</w:t>
      </w:r>
    </w:p>
    <w:p>
      <w:pPr>
        <w:pStyle w:val="ListParagraph"/>
        <w:numPr>
          <w:ilvl w:val="0"/>
          <w:numId w:val="2"/>
        </w:numPr>
        <w:spacing w:after="60"/>
      </w:pPr>
      <w:r>
        <w:t xml:space="preserve">A reusable framework that scales across departments without additional tooling or coding investment.</w:t>
      </w:r>
    </w:p>
    <w:p>
      <w:pPr>
        <w:pStyle w:val="Heading2"/>
      </w:pPr>
      <w:r>
        <w:t xml:space="preserve">7.3 Future scope</w:t>
      </w:r>
    </w:p>
    <w:p>
      <w:pPr>
        <w:spacing w:after="120"/>
      </w:pPr>
      <w:r>
        <w:t xml:space="preserve">Near-term (3-6 months): Direct Google Form and LMS API integration to eliminate manual CSV export; multilingual support for Hindi, Gujarati, and other regional languages.</w:t>
      </w:r>
    </w:p>
    <w:p>
      <w:pPr>
        <w:spacing w:after="120"/>
      </w:pPr>
      <w:r>
        <w:t xml:space="preserve">Medium-term (6-12 months): Predictive early-warning model flagging at-risk courses mid-semester; auto-generated NAAC / NBA evidence packs for each accreditation cycle.</w:t>
      </w:r>
    </w:p>
    <w:p>
      <w:pPr>
        <w:spacing w:after="120"/>
      </w:pPr>
      <w:r>
        <w:t xml:space="preserve">Long-term (one year and beyond): Institution-wide rollout with role-based Power BI workspaces for HoDs, Deans, and IQAC teams; anonymised cross-department benchmarking.</w:t>
      </w:r>
    </w:p>
    <w:p>
      <w:pPr>
        <w:pStyle w:val="Heading1"/>
      </w:pPr>
      <w:r>
        <w:t xml:space="preserve">8. References</w:t>
      </w:r>
    </w:p>
    <w:p>
      <w:pPr>
        <w:spacing w:after="120"/>
      </w:pPr>
      <w:r>
        <w:t xml:space="preserve">The following references, tutorials, and documentation were consulted during the preparation of this project:</w:t>
      </w:r>
    </w:p>
    <w:p>
      <w:pPr>
        <w:pStyle w:val="ListParagraph"/>
        <w:numPr>
          <w:ilvl w:val="0"/>
          <w:numId w:val="2"/>
        </w:numPr>
        <w:spacing w:after="60"/>
      </w:pPr>
      <w:r>
        <w:t xml:space="preserve">Edunet Foundation. AICW LinkedIn Fellowship Program Guidelines, 2026. https://aicw.in/ai-fellowship</w:t>
      </w:r>
    </w:p>
    <w:p>
      <w:pPr>
        <w:pStyle w:val="ListParagraph"/>
        <w:numPr>
          <w:ilvl w:val="0"/>
          <w:numId w:val="2"/>
        </w:numPr>
        <w:spacing w:after="60"/>
      </w:pPr>
      <w:r>
        <w:t xml:space="preserve">Microsoft Corporation. Power BI Documentation. https://learn.microsoft.com/en-us/power-bi/</w:t>
      </w:r>
    </w:p>
    <w:p>
      <w:pPr>
        <w:pStyle w:val="ListParagraph"/>
        <w:numPr>
          <w:ilvl w:val="0"/>
          <w:numId w:val="2"/>
        </w:numPr>
        <w:spacing w:after="60"/>
      </w:pPr>
      <w:r>
        <w:t xml:space="preserve">Microsoft Corporation. Microsoft Copilot Overview. https://copilot.microsoft.com</w:t>
      </w:r>
    </w:p>
    <w:p>
      <w:pPr>
        <w:pStyle w:val="ListParagraph"/>
        <w:numPr>
          <w:ilvl w:val="0"/>
          <w:numId w:val="2"/>
        </w:numPr>
        <w:spacing w:after="60"/>
      </w:pPr>
      <w:r>
        <w:t xml:space="preserve">Microsoft Corporation. Excel Power Query Documentation. https://learn.microsoft.com/en-us/power-query/</w:t>
      </w:r>
    </w:p>
    <w:p>
      <w:pPr>
        <w:pStyle w:val="ListParagraph"/>
        <w:numPr>
          <w:ilvl w:val="0"/>
          <w:numId w:val="2"/>
        </w:numPr>
        <w:spacing w:after="60"/>
      </w:pPr>
      <w:r>
        <w:t xml:space="preserve">Kaggle Inc. Open Datasets - Student Feedback. https://www.kaggle.com/datasets</w:t>
      </w:r>
    </w:p>
    <w:p>
      <w:pPr>
        <w:pStyle w:val="ListParagraph"/>
        <w:numPr>
          <w:ilvl w:val="0"/>
          <w:numId w:val="2"/>
        </w:numPr>
        <w:spacing w:after="60"/>
      </w:pPr>
      <w:r>
        <w:t xml:space="preserve">LinkedIn Learning. AI and Data Analytics Courses, 2026. https://www.linkedin.com/learning</w:t>
      </w:r>
    </w:p>
    <w:p>
      <w:pPr>
        <w:pStyle w:val="ListParagraph"/>
        <w:numPr>
          <w:ilvl w:val="0"/>
          <w:numId w:val="2"/>
        </w:numPr>
        <w:spacing w:after="60"/>
      </w:pPr>
      <w:r>
        <w:t xml:space="preserve">National Assessment and Accreditation Council (NAAC). Quality Assurance Framework. https://www.naac.gov.in</w:t>
      </w:r>
    </w:p>
    <w:p>
      <w:pPr>
        <w:pStyle w:val="ListParagraph"/>
        <w:numPr>
          <w:ilvl w:val="0"/>
          <w:numId w:val="2"/>
        </w:numPr>
        <w:spacing w:after="60"/>
      </w:pPr>
      <w:r>
        <w:t xml:space="preserve">National Board of Accreditation (NBA). Accreditation Manual. https://www.nbaind.org</w:t>
      </w:r>
    </w:p>
    <w:p>
      <w:r>
        <w:t xml:space="preserve"/>
      </w:r>
    </w:p>
    <w:p>
      <w:pPr>
        <w:spacing w:before="400"/>
        <w:jc w:val="center"/>
      </w:pPr>
      <w:r>
        <w:rPr>
          <w:i/>
          <w:iCs/>
          <w:color w:val="607D8B"/>
          <w:sz w:val="20"/>
          <w:szCs w:val="20"/>
        </w:rPr>
        <w:t xml:space="preserve">- End of Synopsis -</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center"/>
    </w:pPr>
    <w:rPr>
      <w:rFonts w:ascii="Calibri" w:cs="Calibri" w:eastAsia="Calibri" w:hAnsi="Calibri"/>
      <w:b/>
      <w:bCs/>
      <w:color w:val="1B3A8A"/>
      <w:sz w:val="44"/>
      <w:szCs w:val="44"/>
    </w:rPr>
  </w:style>
  <w:style w:type="paragraph" w:styleId="Heading1">
    <w:name w:val="Heading 1"/>
    <w:basedOn w:val="Normal"/>
    <w:next w:val="Normal"/>
    <w:qFormat/>
    <w:pPr>
      <w:spacing w:after="140" w:before="300"/>
      <w:outlineLvl w:val="0"/>
    </w:pPr>
    <w:rPr>
      <w:rFonts w:ascii="Calibri" w:cs="Calibri" w:eastAsia="Calibri" w:hAnsi="Calibri"/>
      <w:b/>
      <w:bCs/>
      <w:color w:val="1B3A8A"/>
      <w:sz w:val="28"/>
      <w:szCs w:val="28"/>
    </w:rPr>
  </w:style>
  <w:style w:type="paragraph" w:styleId="Heading2">
    <w:name w:val="Heading 2"/>
    <w:basedOn w:val="Normal"/>
    <w:next w:val="Normal"/>
    <w:qFormat/>
    <w:pPr>
      <w:spacing w:after="100" w:before="220"/>
      <w:outlineLvl w:val="1"/>
    </w:pPr>
    <w:rPr>
      <w:rFonts w:ascii="Calibri" w:cs="Calibri" w:eastAsia="Calibri" w:hAnsi="Calibri"/>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2026-04-21T17:18:13.540Z</dcterms:created>
  <dcterms:modified xsi:type="dcterms:W3CDTF">2026-04-21T17:18:13.541Z</dcterms:modified>
</cp:coreProperties>
</file>

<file path=docProps/custom.xml><?xml version="1.0" encoding="utf-8"?>
<Properties xmlns="http://schemas.openxmlformats.org/officeDocument/2006/custom-properties" xmlns:vt="http://schemas.openxmlformats.org/officeDocument/2006/docPropsVTypes"/>
</file>