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0000" w14:textId="00100001" w:rsidR="00474CC8" w:rsidRDefault="00000000">
      <w:pPr>
        <w:pStyle w:val="Title"/>
        <w:spacing w:after="240"/>
        <w:jc w:val="center"/>
      </w:pPr>
      <w:r>
        <w:rPr>
          <w:b/>
        </w:rPr>
        <w:t>EcoBuild AI — Building Energy Efficiency Analysis &amp; Prediction</w:t>
      </w:r>
    </w:p>
    <w:p w14:paraId="00100002" w14:textId="00100003" w:rsidR="00474CC8" w:rsidRDefault="00000000">
      <w:pPr>
        <w:spacing w:after="120"/>
        <w:jc w:val="center"/>
      </w:pPr>
      <w:r>
        <w:rPr>
          <w:color w:val="57606A"/>
          <w:sz w:val="28"/>
        </w:rPr>
        <w:t>Data Analytics &amp; AI/ML Internship Project</w:t>
      </w:r>
    </w:p>
    <w:p w14:paraId="00100004" w14:textId="49F64CE8" w:rsidR="00474CC8" w:rsidRDefault="00000000">
      <w:pPr>
        <w:spacing w:after="480"/>
        <w:jc w:val="center"/>
      </w:pPr>
      <w:r>
        <w:rPr>
          <w:color w:val="57606A"/>
          <w:sz w:val="24"/>
        </w:rPr>
        <w:t>Dataset: UCI Energy Efficiency Dataset (2012)</w:t>
      </w:r>
    </w:p>
    <w:p w14:paraId="00100006" w14:textId="00100007" w:rsidR="00474CC8" w:rsidRDefault="00000000">
      <w:pPr>
        <w:pStyle w:val="Heading1"/>
        <w:spacing w:before="360" w:after="160"/>
      </w:pPr>
      <w:r>
        <w:rPr>
          <w:b/>
          <w:sz w:val="36"/>
        </w:rPr>
        <w:t>1. Executive Summary</w:t>
      </w:r>
    </w:p>
    <w:p w14:paraId="00100008" w14:textId="00100009" w:rsidR="00474CC8" w:rsidRDefault="00000000">
      <w:pPr>
        <w:spacing w:after="160"/>
      </w:pPr>
      <w:r>
        <w:t>EcoBuild AI is a data analytics and machine learning project that analyses the structural characteristics of residential buildings and predicts their annual energy demands. Using the UCI Energy Efficiency Dataset — 768 building configurations simulated in the Ecotect tool — the project performs exploratory data analysis, trains regression models, and delivers an interactive Streamlit application for real-time energy load prediction.</w:t>
      </w:r>
    </w:p>
    <w:p w14:paraId="0010000A" w14:textId="0010000B" w:rsidR="00474CC8" w:rsidRDefault="00000000">
      <w:pPr>
        <w:spacing w:after="160"/>
      </w:pPr>
      <w:r>
        <w:t>Two machine learning models are implemented: a Linear Regression baseline and a Random Forest regressor as the primary model. Both predict Heating Load (Y1) and Cooling Load (Y2) in kWh/m² simultaneously. Key findings show that Overall Height and Relative Compactness are the dominant predictors, while Glazing Area and its distribution play a secondary but meaningful role. The Random Forest model achieves high predictive accuracy on both targets.</w:t>
      </w:r>
    </w:p>
    <w:p w14:paraId="0010000C" w14:textId="0010000D" w:rsidR="00474CC8" w:rsidRDefault="00000000">
      <w:pPr>
        <w:pStyle w:val="Heading1"/>
        <w:spacing w:before="360" w:after="160"/>
      </w:pPr>
      <w:r>
        <w:rPr>
          <w:b/>
          <w:sz w:val="36"/>
        </w:rPr>
        <w:t>2. Problem Statement</w:t>
      </w:r>
    </w:p>
    <w:p w14:paraId="0010000E" w14:textId="0010000F" w:rsidR="00474CC8" w:rsidRDefault="00000000">
      <w:pPr>
        <w:spacing w:after="160"/>
      </w:pPr>
      <w:r>
        <w:t>Buildings account for approximately 40% of global energy consumption. The ability to predict a building's heating and cooling energy demand at the design stage — before construction — enables architects and engineers to make energy-efficient decisions early in the design process. Traditional energy simulations require specialist software and detailed building models, making them inaccessible for rapid design exploration.</w:t>
      </w:r>
    </w:p>
    <w:p w14:paraId="00100010" w14:textId="00100011" w:rsidR="00474CC8" w:rsidRDefault="00000000">
      <w:pPr>
        <w:spacing w:after="160"/>
      </w:pPr>
      <w:r>
        <w:t>This project addresses this gap by developing a machine learning model trained on 768 simulated building configurations. Given eight structural parameters, the model can instantly predict heating and cooling loads with high accuracy, supporting informed early-stage design decisions without requiring expensive simulation software.</w:t>
      </w:r>
    </w:p>
    <w:p w14:paraId="00100012" w14:textId="00100013" w:rsidR="00474CC8" w:rsidRDefault="00000000">
      <w:pPr>
        <w:pStyle w:val="Heading1"/>
        <w:spacing w:before="360" w:after="160"/>
      </w:pPr>
      <w:r>
        <w:rPr>
          <w:b/>
          <w:sz w:val="36"/>
        </w:rPr>
        <w:t>3. Objectives</w:t>
      </w:r>
    </w:p>
    <w:p w14:paraId="00100014" w14:textId="00100015" w:rsidR="00474CC8" w:rsidRDefault="00000000">
      <w:pPr>
        <w:numPr>
          <w:ilvl w:val="0"/>
          <w:numId w:val="1"/>
        </w:numPr>
        <w:spacing w:after="80"/>
      </w:pPr>
      <w:r>
        <w:t>1. Perform thorough exploratory data analysis on the building energy efficiency dataset.</w:t>
      </w:r>
    </w:p>
    <w:p w14:paraId="00100016" w14:textId="00100017" w:rsidR="00474CC8" w:rsidRDefault="00000000">
      <w:pPr>
        <w:numPr>
          <w:ilvl w:val="0"/>
          <w:numId w:val="1"/>
        </w:numPr>
        <w:spacing w:after="80"/>
      </w:pPr>
      <w:r>
        <w:t>2. Identify the structural features most strongly associated with heating and cooling loads.</w:t>
      </w:r>
    </w:p>
    <w:p w14:paraId="00100018" w14:textId="00100019" w:rsidR="00474CC8" w:rsidRDefault="00000000">
      <w:pPr>
        <w:numPr>
          <w:ilvl w:val="0"/>
          <w:numId w:val="1"/>
        </w:numPr>
        <w:spacing w:after="80"/>
      </w:pPr>
      <w:r>
        <w:t>3. Train and compare Linear Regression and Random Forest regression models.</w:t>
      </w:r>
    </w:p>
    <w:p w14:paraId="0010001A" w14:textId="0010001B" w:rsidR="00474CC8" w:rsidRDefault="00000000">
      <w:pPr>
        <w:numPr>
          <w:ilvl w:val="0"/>
          <w:numId w:val="1"/>
        </w:numPr>
        <w:spacing w:after="80"/>
      </w:pPr>
      <w:r>
        <w:t>4. Evaluate both models using MAE, RMSE, and R² on a held-out test set.</w:t>
      </w:r>
    </w:p>
    <w:p w14:paraId="0010001C" w14:textId="0010001D" w:rsidR="00474CC8" w:rsidRDefault="00000000">
      <w:pPr>
        <w:numPr>
          <w:ilvl w:val="0"/>
          <w:numId w:val="1"/>
        </w:numPr>
        <w:spacing w:after="80"/>
      </w:pPr>
      <w:r>
        <w:lastRenderedPageBreak/>
        <w:t>5. Generate evidence-based business insights, hypotheses, and design recommendations.</w:t>
      </w:r>
    </w:p>
    <w:p w14:paraId="0010001E" w14:textId="0010001F" w:rsidR="00474CC8" w:rsidRDefault="00000000">
      <w:pPr>
        <w:numPr>
          <w:ilvl w:val="0"/>
          <w:numId w:val="1"/>
        </w:numPr>
        <w:spacing w:after="160"/>
      </w:pPr>
      <w:r>
        <w:t>6. Deliver an interactive Streamlit application for real-time energy load prediction.</w:t>
      </w:r>
    </w:p>
    <w:p w14:paraId="00100020" w14:textId="00100021" w:rsidR="00474CC8" w:rsidRDefault="00000000">
      <w:pPr>
        <w:pStyle w:val="Heading1"/>
        <w:spacing w:before="360" w:after="160"/>
      </w:pPr>
      <w:r>
        <w:rPr>
          <w:b/>
          <w:sz w:val="36"/>
        </w:rPr>
        <w:t>4. Dataset</w:t>
      </w:r>
    </w:p>
    <w:p w14:paraId="00100022" w14:textId="00100023" w:rsidR="00474CC8" w:rsidRDefault="00000000">
      <w:pPr>
        <w:pStyle w:val="Heading2"/>
        <w:spacing w:before="200" w:after="120"/>
      </w:pPr>
      <w:r>
        <w:rPr>
          <w:b/>
          <w:sz w:val="28"/>
        </w:rPr>
        <w:t>4.1 Source and Citation</w:t>
      </w:r>
    </w:p>
    <w:p w14:paraId="00100024" w14:textId="00100025" w:rsidR="00474CC8" w:rsidRDefault="00000000">
      <w:pPr>
        <w:spacing w:after="160"/>
      </w:pPr>
      <w:r>
        <w:t>The dataset is the UCI Energy Efficiency Dataset, originally published by Tsanas and Xifara (2012) in the journal Energy and Buildings (Volume 49, pages 560-567). It was generated by simulating 768 different residential building configurations in Ecotect, a building energy simulation tool developed by Autodesk. The dataset is publicly available from the UCI Machine Learning Repository.</w:t>
      </w:r>
    </w:p>
    <w:p w14:paraId="00100026" w14:textId="00100027" w:rsidR="00474CC8" w:rsidRDefault="00000000">
      <w:pPr>
        <w:pStyle w:val="Heading2"/>
        <w:spacing w:before="200" w:after="120"/>
      </w:pPr>
      <w:r>
        <w:rPr>
          <w:b/>
          <w:sz w:val="28"/>
        </w:rPr>
        <w:t>4.2 Dataset Structure</w:t>
      </w:r>
    </w:p>
    <w:p w14:paraId="00100028" w14:textId="00100029" w:rsidR="00474CC8" w:rsidRDefault="00000000">
      <w:pPr>
        <w:spacing w:after="160"/>
      </w:pPr>
      <w:r>
        <w:t>The raw Excel file contains 1,297 rows and 12 columns. Rows 770 to 1,297 (528 rows) are entirely empty — pre-formatted blank rows that contain no values and must be removed during data loading. Columns K and L are also empty with no headers and are excluded. After cleaning, the dataset contains exactly 768 observations across 10 columns: 8 input features and 2 target variables. There are zero missing values and zero duplicate rows in the cleaned dataset.</w:t>
      </w:r>
    </w:p>
    <w:p w14:paraId="0010002A" w14:textId="0010002B" w:rsidR="00474CC8" w:rsidRDefault="00000000">
      <w:pPr>
        <w:pStyle w:val="Heading2"/>
        <w:spacing w:before="200" w:after="120"/>
      </w:pPr>
      <w:r>
        <w:rPr>
          <w:b/>
          <w:sz w:val="28"/>
        </w:rPr>
        <w:t>4.3 Column Descriptions</w:t>
      </w:r>
    </w:p>
    <w:p w14:paraId="0010002C" w14:textId="0010002D" w:rsidR="00474CC8" w:rsidRDefault="00000000">
      <w:pPr>
        <w:spacing w:after="80"/>
      </w:pPr>
      <w:r>
        <w:t>X1 (Relative Compactness): Ratio of building volume to surface area. Ranges from 0.62 to 0.98 across 12 discrete levels. More compact buildings have higher values and lose proportionally less heat through their envelope.</w:t>
      </w:r>
    </w:p>
    <w:p w14:paraId="0010002E" w14:textId="0010002F" w:rsidR="00474CC8" w:rsidRDefault="00000000">
      <w:pPr>
        <w:spacing w:after="80"/>
      </w:pPr>
      <w:r>
        <w:t>X2 (Surface Area): Total external surface area in square metres. Ranges from 514.5 to 808.5 m² across 12 discrete levels. Geometrically linked to X1 — as compactness increases, surface area decreases for a fixed volume.</w:t>
      </w:r>
    </w:p>
    <w:p w14:paraId="00100030" w14:textId="00100031" w:rsidR="00474CC8" w:rsidRDefault="00000000">
      <w:pPr>
        <w:spacing w:after="80"/>
      </w:pPr>
      <w:r>
        <w:t>X3 (Wall Area): Total wall surface area in square metres. Ranges from 245 to 416.5 m² across 7 discrete levels.</w:t>
      </w:r>
    </w:p>
    <w:p w14:paraId="00100032" w14:textId="00100033" w:rsidR="00474CC8" w:rsidRDefault="00000000">
      <w:pPr>
        <w:spacing w:after="80"/>
      </w:pPr>
      <w:r>
        <w:t>X4 (Roof Area): Horizontal roof area in square metres. Only 4 distinct values (110.25, 122.5, 147, 220.5 m²), as roof area is constrained by building footprint and height.</w:t>
      </w:r>
    </w:p>
    <w:p w14:paraId="00100034" w14:textId="00100035" w:rsidR="00474CC8" w:rsidRDefault="00000000">
      <w:pPr>
        <w:spacing w:after="80"/>
      </w:pPr>
      <w:r>
        <w:t>X5 (Overall Height): Binary variable — 3.5 metres (single storey) or 7.0 metres (double storey). This is effectively a storey-count flag and one of the strongest predictors in the dataset.</w:t>
      </w:r>
    </w:p>
    <w:p w14:paraId="00100036" w14:textId="00100037" w:rsidR="00474CC8" w:rsidRDefault="00000000">
      <w:pPr>
        <w:spacing w:after="80"/>
      </w:pPr>
      <w:r>
        <w:t>X6 (Orientation): Integer encoding of the building's compass orientation: 2 = North, 3 = East, 4 = South, 5 = West. Affects directional solar gain.</w:t>
      </w:r>
    </w:p>
    <w:p w14:paraId="00100038" w14:textId="00100039" w:rsidR="00474CC8" w:rsidRDefault="00000000">
      <w:pPr>
        <w:spacing w:after="80"/>
      </w:pPr>
      <w:r>
        <w:t>X7 (Glazing Area): The fraction of floor area covered by windows. Four levels: 0 (no glazing), 0.10 (10%), 0.25 (25%), and 0.40 (40%). Larger glazing increases both solar gain and heat loss.</w:t>
      </w:r>
    </w:p>
    <w:p w14:paraId="0010003A" w14:textId="0010003B" w:rsidR="00474CC8" w:rsidRDefault="00000000">
      <w:pPr>
        <w:spacing w:after="80"/>
      </w:pPr>
      <w:r>
        <w:t>X8 (Glazing Area Distribution): Identifies which facade carries the glazing: 0 = none, 1 = uniform, 2 = North, 3 = East, 4 = South, 5 = West. Only meaningful when X7 &gt; 0.</w:t>
      </w:r>
    </w:p>
    <w:p w14:paraId="0010003C" w14:textId="0010003D" w:rsidR="00474CC8" w:rsidRDefault="00000000">
      <w:pPr>
        <w:spacing w:after="80"/>
      </w:pPr>
      <w:r>
        <w:t>Y1 (Heating Load): Annual heating energy demand in kWh per square metre. Continuous variable ranging from 6.01 to 43.10 kWh/m² with a mean of approximately 22.3 kWh/m². This is Target 1.</w:t>
      </w:r>
    </w:p>
    <w:p w14:paraId="0010003E" w14:textId="0010003F" w:rsidR="00474CC8" w:rsidRDefault="00000000">
      <w:pPr>
        <w:spacing w:after="160"/>
      </w:pPr>
      <w:r>
        <w:t>Y2 (Cooling Load): Annual cooling energy demand in kWh per square metre. Continuous variable ranging from 10.90 to 48.03 kWh/m² with a mean of approximately 24.6 kWh/m². This is Target 2.</w:t>
      </w:r>
    </w:p>
    <w:p w14:paraId="00100040" w14:textId="00100041" w:rsidR="00474CC8" w:rsidRDefault="00000000">
      <w:pPr>
        <w:pStyle w:val="Heading1"/>
        <w:spacing w:before="360" w:after="160"/>
      </w:pPr>
      <w:r>
        <w:rPr>
          <w:b/>
          <w:sz w:val="36"/>
        </w:rPr>
        <w:t>5. Data Preparation</w:t>
      </w:r>
    </w:p>
    <w:p w14:paraId="00100042" w14:textId="00100043" w:rsidR="00474CC8" w:rsidRDefault="00000000">
      <w:pPr>
        <w:spacing w:after="160"/>
      </w:pPr>
      <w:r>
        <w:t>The data preparation pipeline is implemented in src/data_loader.py and src/data_cleaning.py. The original Excel file is never modified; all processing operates on in-memory copies. The key steps are as follows:</w:t>
      </w:r>
    </w:p>
    <w:p w14:paraId="00100044" w14:textId="00100045" w:rsidR="00474CC8" w:rsidRDefault="00000000">
      <w:pPr>
        <w:spacing w:after="80"/>
      </w:pPr>
      <w:r>
        <w:t>Step 1 — Loading: The Excel file is read using openpyxl via pandas. Only the first worksheet (Phyllo1) is used. The first 10 columns (A through J) are retained; columns K and L are excluded.</w:t>
      </w:r>
    </w:p>
    <w:p w14:paraId="00100046" w14:textId="00100047" w:rsidR="00474CC8" w:rsidRDefault="00000000">
      <w:pPr>
        <w:spacing w:after="80"/>
      </w:pPr>
      <w:r>
        <w:t>Step 2 — Removing empty rows: Rows where every column is NaN (the 528 trailing blank rows from rows 770 to 1,297) are dropped using pandas dropna(how='all'). This reduces the dataset from 1,296 rows to exactly 768 data rows.</w:t>
      </w:r>
    </w:p>
    <w:p w14:paraId="00100048" w14:textId="00100049" w:rsidR="00474CC8" w:rsidRDefault="00000000">
      <w:pPr>
        <w:spacing w:after="80"/>
      </w:pPr>
      <w:r>
        <w:t>Step 3 — Column renaming: The generic column names X1 through X8 and Y1 through Y2 are renamed to descriptive physical names: Relative_Compactness, Surface_Area, Wall_Area, Roof_Area, Overall_Height, Orientation, Glazing_Area, Glazing_Area_Distribution, Heating_Load, and Cooling_Load.</w:t>
      </w:r>
    </w:p>
    <w:p w14:paraId="0010004A" w14:textId="0010004B" w:rsidR="00474CC8" w:rsidRDefault="00000000">
      <w:pPr>
        <w:spacing w:after="80"/>
      </w:pPr>
      <w:r>
        <w:t>Step 4 — Type casting: All columns are cast to float64 for numerical consistency.</w:t>
      </w:r>
    </w:p>
    <w:p w14:paraId="0010004C" w14:textId="0010004D" w:rsidR="00474CC8" w:rsidRDefault="00000000">
      <w:pPr>
        <w:spacing w:after="160"/>
      </w:pPr>
      <w:r>
        <w:t>Step 5 — Quality verification: Zero missing values and zero duplicate rows are confirmed in the cleaned dataset. A data quality report and descriptive statistics table are generated programmatically.</w:t>
      </w:r>
    </w:p>
    <w:p w14:paraId="0010004E" w14:textId="0010004F" w:rsidR="00474CC8" w:rsidRDefault="00000000">
      <w:pPr>
        <w:pStyle w:val="Heading1"/>
        <w:spacing w:before="360" w:after="160"/>
      </w:pPr>
      <w:r>
        <w:rPr>
          <w:b/>
          <w:sz w:val="36"/>
        </w:rPr>
        <w:t>6. Exploratory Data Analysis Methodology</w:t>
      </w:r>
    </w:p>
    <w:p w14:paraId="00100050" w14:textId="00100051" w:rsidR="00474CC8" w:rsidRDefault="00000000">
      <w:pPr>
        <w:spacing w:after="160"/>
      </w:pPr>
      <w:r>
        <w:t>EDA is implemented in src/analysis.py. All visualizations are generated as Matplotlib figures and rendered in the Streamlit application. The following analyses were performed:</w:t>
      </w:r>
    </w:p>
    <w:p w14:paraId="00100052" w14:textId="00100053" w:rsidR="00474CC8" w:rsidRDefault="00000000">
      <w:pPr>
        <w:spacing w:after="80"/>
      </w:pPr>
      <w:r>
        <w:t>Feature Distribution Analysis: Box plots for all 8 input features provide a view of the range, median, and spread of each variable. All features are purely numeric with discrete levels (2 to 12 unique values per feature).</w:t>
      </w:r>
    </w:p>
    <w:p w14:paraId="00100054" w14:textId="00100055" w:rsidR="00474CC8" w:rsidRDefault="00000000">
      <w:pPr>
        <w:spacing w:after="80"/>
      </w:pPr>
      <w:r>
        <w:t>Target Distribution Analysis: Histograms with kernel density estimation (KDE) overlay for Heating Load (Y1) and Cooling Load (Y2). Both targets are right-skewed with wide ranges, indicating significant variation across building configurations.</w:t>
      </w:r>
    </w:p>
    <w:p w14:paraId="00100056" w14:textId="00100057" w:rsidR="00474CC8" w:rsidRDefault="00000000">
      <w:pPr>
        <w:spacing w:after="80"/>
      </w:pPr>
      <w:r>
        <w:t>Correlation Analysis: A Pearson correlation matrix is computed for all 10 variables. The lower triangle is visualised as a colour-coded heatmap (diverging RdBu palette). Strong negative correlations between Relative Compactness and energy loads, and strong positive correlations for Surface Area, are immediately apparent.</w:t>
      </w:r>
    </w:p>
    <w:p w14:paraId="00100058" w14:textId="00100059" w:rsidR="00474CC8" w:rsidRDefault="00000000">
      <w:pPr>
        <w:spacing w:after="80"/>
      </w:pPr>
      <w:r>
        <w:t>Feature-Target Scatter Plots: Each of the 8 features is plotted against both Heating Load and Cooling Load in scatter grids with trend lines. These reveal clearly non-linear relationships for Overall Height (binary split) and nearly linear relationships for Relative Compactness.</w:t>
      </w:r>
    </w:p>
    <w:p w14:paraId="0010005A" w14:textId="0010005B" w:rsidR="00474CC8" w:rsidRDefault="00000000">
      <w:pPr>
        <w:spacing w:after="80"/>
      </w:pPr>
      <w:r>
        <w:t>Glazing Area Analysis: Box plots of energy loads grouped by glazing area level (0%, 10%, 25%, 40%) show a clear positive relationship between glazing fraction and both loads, with the effect on cooling load being more pronounced.</w:t>
      </w:r>
    </w:p>
    <w:p w14:paraId="0010005C" w14:textId="0010005D" w:rsidR="00474CC8" w:rsidRDefault="00000000">
      <w:pPr>
        <w:spacing w:after="80"/>
      </w:pPr>
      <w:r>
        <w:t>Orientation Comparison: Grouped bar charts of mean Heating and Cooling Load by orientation (North, East, South, West) show modest differences between orientations, confirming that orientation is a secondary factor compared to height and compactness.</w:t>
      </w:r>
    </w:p>
    <w:p w14:paraId="0010005E" w14:textId="0010005F" w:rsidR="00474CC8" w:rsidRDefault="00000000">
      <w:pPr>
        <w:spacing w:after="160"/>
      </w:pPr>
      <w:r>
        <w:t>Heating vs Cooling Load Scatter: A scatter plot of Y1 versus Y2, coloured by Overall Height, reveals that the two targets are strongly correlated and that building height creates a clear separation into two clouds.</w:t>
      </w:r>
    </w:p>
    <w:p w14:paraId="00100060" w14:textId="00100061" w:rsidR="00474CC8" w:rsidRDefault="00000000">
      <w:pPr>
        <w:pStyle w:val="Heading1"/>
        <w:spacing w:before="360" w:after="160"/>
      </w:pPr>
      <w:r>
        <w:rPr>
          <w:b/>
          <w:sz w:val="36"/>
        </w:rPr>
        <w:t>7. Machine Learning Methodology</w:t>
      </w:r>
    </w:p>
    <w:p w14:paraId="00100062" w14:textId="00100063" w:rsidR="00474CC8" w:rsidRDefault="00000000">
      <w:pPr>
        <w:pStyle w:val="Heading2"/>
        <w:spacing w:before="200" w:after="120"/>
      </w:pPr>
      <w:r>
        <w:rPr>
          <w:b/>
          <w:sz w:val="28"/>
        </w:rPr>
        <w:t>7.1 Problem Formulation</w:t>
      </w:r>
    </w:p>
    <w:p w14:paraId="00100064" w14:textId="00100065" w:rsidR="00474CC8" w:rsidRDefault="00000000">
      <w:pPr>
        <w:spacing w:after="160"/>
      </w:pPr>
      <w:r>
        <w:t>This is a multi-output regression problem. Both target variables — Heating Load (Y1) and Cooling Load (Y2) — are continuous numeric values representing annual energy consumption in kWh/m². The task is to learn a function f: R8 -&gt; R2 mapping the 8 input features to both targets simultaneously.</w:t>
      </w:r>
    </w:p>
    <w:p w14:paraId="00100066" w14:textId="00100067" w:rsidR="00474CC8" w:rsidRDefault="00000000">
      <w:pPr>
        <w:pStyle w:val="Heading2"/>
        <w:spacing w:before="200" w:after="120"/>
      </w:pPr>
      <w:r>
        <w:rPr>
          <w:b/>
          <w:sz w:val="28"/>
        </w:rPr>
        <w:t>7.2 Train-Test Split</w:t>
      </w:r>
    </w:p>
    <w:p w14:paraId="00100068" w14:textId="00100069" w:rsidR="00474CC8" w:rsidRDefault="00000000">
      <w:pPr>
        <w:spacing w:after="160"/>
      </w:pPr>
      <w:r>
        <w:t>The dataset is split into a training set (80%, 614 samples) and a hold-out test set (20%, 154 samples) using sklearn.model_selection.train_test_split with random_state=42 for reproducibility. All reported metrics are computed exclusively on the test set.</w:t>
      </w:r>
    </w:p>
    <w:p w14:paraId="0010006A" w14:textId="0010006B" w:rsidR="00474CC8" w:rsidRDefault="00000000">
      <w:pPr>
        <w:pStyle w:val="Heading2"/>
        <w:spacing w:before="200" w:after="120"/>
      </w:pPr>
      <w:r>
        <w:rPr>
          <w:b/>
          <w:sz w:val="28"/>
        </w:rPr>
        <w:t>7.3 Model 1 — Linear Regression (Baseline)</w:t>
      </w:r>
    </w:p>
    <w:p w14:paraId="0010006C" w14:textId="0010006D" w:rsidR="00474CC8" w:rsidRDefault="00000000">
      <w:pPr>
        <w:spacing w:after="160"/>
      </w:pPr>
      <w:r>
        <w:t>A Multiple Linear Regression model is used as a performance baseline. Features are standardised using StandardScaler (zero mean, unit variance) before training, which is required for correct interpretation of linear model coefficients. The model is wrapped in sklearn's MultiOutputRegressor to predict both targets simultaneously. Linear Regression assumes a linear relationship between each feature and the target, which may not hold fully for this dataset given the binary nature of Overall Height.</w:t>
      </w:r>
    </w:p>
    <w:p w14:paraId="0010006E" w14:textId="0010006F" w:rsidR="00474CC8" w:rsidRDefault="00000000">
      <w:pPr>
        <w:pStyle w:val="Heading2"/>
        <w:spacing w:before="200" w:after="120"/>
      </w:pPr>
      <w:r>
        <w:rPr>
          <w:b/>
          <w:sz w:val="28"/>
        </w:rPr>
        <w:t>7.4 Model 2 — Random Forest Regressor (Main Model)</w:t>
      </w:r>
    </w:p>
    <w:p w14:paraId="00100070" w14:textId="00100071" w:rsidR="00474CC8" w:rsidRDefault="00000000">
      <w:pPr>
        <w:spacing w:after="160"/>
      </w:pPr>
      <w:r>
        <w:t>A Random Forest Regressor with 200 trees (n_estimators=200) is used as the primary prediction model. Random Forest is an ensemble method that combines predictions from many decision trees trained on bootstrap samples of the data. It handles non-linear relationships, mixed discrete and continuous features, and interactions between variables natively. No feature scaling is required. The model is also wrapped in MultiOutputRegressor. Random state is fixed at 42. Feature importances are extracted using the Mean Decrease in Impurity (MDI) criterion.</w:t>
      </w:r>
    </w:p>
    <w:p w14:paraId="00100072" w14:textId="00100073" w:rsidR="00474CC8" w:rsidRDefault="00000000">
      <w:pPr>
        <w:pStyle w:val="Heading1"/>
        <w:spacing w:before="360" w:after="160"/>
      </w:pPr>
      <w:r>
        <w:rPr>
          <w:b/>
          <w:sz w:val="36"/>
        </w:rPr>
        <w:t>8. Model Evaluation</w:t>
      </w:r>
    </w:p>
    <w:p w14:paraId="00100074" w14:textId="00100075" w:rsidR="00474CC8" w:rsidRDefault="00000000">
      <w:pPr>
        <w:spacing w:after="160"/>
      </w:pPr>
      <w:r>
        <w:t>Three evaluation metrics are reported for each model and each target variable, all computed on the 20% hold-out test set (154 samples):</w:t>
      </w:r>
    </w:p>
    <w:p w14:paraId="00100076" w14:textId="00100077" w:rsidR="00474CC8" w:rsidRDefault="00000000">
      <w:pPr>
        <w:spacing w:after="80"/>
      </w:pPr>
      <w:r>
        <w:t>MAE (Mean Absolute Error): The average absolute difference between predicted and actual values, in kWh/m². Provides an interpretable error magnitude in the target unit.</w:t>
      </w:r>
    </w:p>
    <w:p w14:paraId="00100078" w14:textId="00100079" w:rsidR="00474CC8" w:rsidRDefault="00000000">
      <w:pPr>
        <w:spacing w:after="80"/>
      </w:pPr>
      <w:r>
        <w:t>RMSE (Root Mean Squared Error): The square root of the mean squared error. Penalises larger errors more than MAE, making it more sensitive to outliers.</w:t>
      </w:r>
    </w:p>
    <w:p w14:paraId="0010007A" w14:textId="0010007B" w:rsidR="00474CC8" w:rsidRDefault="00000000">
      <w:pPr>
        <w:spacing w:after="160"/>
      </w:pPr>
      <w:r>
        <w:t>R2 (Coefficient of Determination): The proportion of variance in the target that is explained by the model. A value of 1.0 represents a perfect fit; 0.0 means the model performs no better than predicting the mean.</w:t>
      </w:r>
    </w:p>
    <w:p w14:paraId="0010007C" w14:textId="0010007D" w:rsidR="00474CC8" w:rsidRDefault="00000000">
      <w:pPr>
        <w:spacing w:after="160"/>
      </w:pPr>
      <w:r>
        <w:rPr>
          <w:color w:val="57606A"/>
        </w:rPr>
        <w:t>Note: Exact numerical metric values are not reproduced in this report to avoid hard-coding results that depend on the training run. All metrics are calculated dynamically from the actual dataset and displayed in the Streamlit application and in the models/metrics.json file generated by running the project.</w:t>
      </w:r>
    </w:p>
    <w:sectPr w:rsidR="00474CC8">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D3256"/>
    <w:multiLevelType w:val="hybridMultilevel"/>
    <w:tmpl w:val="87D227F2"/>
    <w:lvl w:ilvl="0" w:tplc="DBC8231C">
      <w:start w:val="1"/>
      <w:numFmt w:val="bullet"/>
      <w:lvlText w:val="•"/>
      <w:lvlJc w:val="left"/>
      <w:pPr>
        <w:ind w:left="720" w:hanging="360"/>
      </w:pPr>
    </w:lvl>
    <w:lvl w:ilvl="1" w:tplc="30F826B6">
      <w:start w:val="1"/>
      <w:numFmt w:val="bullet"/>
      <w:lvlText w:val="◦"/>
      <w:lvlJc w:val="left"/>
      <w:pPr>
        <w:ind w:left="1440" w:hanging="360"/>
      </w:pPr>
    </w:lvl>
    <w:lvl w:ilvl="2" w:tplc="99C838D0">
      <w:start w:val="1"/>
      <w:numFmt w:val="bullet"/>
      <w:lvlText w:val="▪"/>
      <w:lvlJc w:val="left"/>
      <w:pPr>
        <w:ind w:left="2160" w:hanging="360"/>
      </w:pPr>
    </w:lvl>
    <w:lvl w:ilvl="3" w:tplc="02084B0E">
      <w:start w:val="1"/>
      <w:numFmt w:val="bullet"/>
      <w:lvlText w:val="•"/>
      <w:lvlJc w:val="left"/>
      <w:pPr>
        <w:ind w:left="2880" w:hanging="360"/>
      </w:pPr>
    </w:lvl>
    <w:lvl w:ilvl="4" w:tplc="E0105782">
      <w:start w:val="1"/>
      <w:numFmt w:val="bullet"/>
      <w:lvlText w:val="◦"/>
      <w:lvlJc w:val="left"/>
      <w:pPr>
        <w:ind w:left="3600" w:hanging="360"/>
      </w:pPr>
    </w:lvl>
    <w:lvl w:ilvl="5" w:tplc="A5CE503E">
      <w:start w:val="1"/>
      <w:numFmt w:val="bullet"/>
      <w:lvlText w:val="▪"/>
      <w:lvlJc w:val="left"/>
      <w:pPr>
        <w:ind w:left="4320" w:hanging="360"/>
      </w:pPr>
    </w:lvl>
    <w:lvl w:ilvl="6" w:tplc="ACC6A414">
      <w:start w:val="1"/>
      <w:numFmt w:val="bullet"/>
      <w:lvlText w:val="•"/>
      <w:lvlJc w:val="left"/>
      <w:pPr>
        <w:ind w:left="5040" w:hanging="360"/>
      </w:pPr>
    </w:lvl>
    <w:lvl w:ilvl="7" w:tplc="2B40A6CC">
      <w:start w:val="1"/>
      <w:numFmt w:val="bullet"/>
      <w:lvlText w:val="◦"/>
      <w:lvlJc w:val="left"/>
      <w:pPr>
        <w:ind w:left="5760" w:hanging="360"/>
      </w:pPr>
    </w:lvl>
    <w:lvl w:ilvl="8" w:tplc="66F8BAEC">
      <w:start w:val="1"/>
      <w:numFmt w:val="bullet"/>
      <w:lvlText w:val="▪"/>
      <w:lvlJc w:val="left"/>
      <w:pPr>
        <w:ind w:left="6480" w:hanging="360"/>
      </w:pPr>
    </w:lvl>
  </w:abstractNum>
  <w:num w:numId="1" w16cid:durableId="194912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CC8"/>
    <w:rsid w:val="00365961"/>
    <w:rsid w:val="00474CC8"/>
    <w:rsid w:val="0071187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B1E8"/>
  <w15:docId w15:val="{8040398F-54FF-43FA-9618-C03E990A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1648</Words>
  <Characters>9400</Characters>
  <Application>Microsoft Office Word</Application>
  <DocSecurity>0</DocSecurity>
  <Lines>78</Lines>
  <Paragraphs>22</Paragraphs>
  <ScaleCrop>false</ScaleCrop>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Parv Prajapati</cp:lastModifiedBy>
  <cp:revision>2</cp:revision>
  <dcterms:created xsi:type="dcterms:W3CDTF">2026-09-24T11:49:00Z</dcterms:created>
  <dcterms:modified xsi:type="dcterms:W3CDTF">2026-09-24T13:05:00Z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2026-09-24T11:50:48Z</vt:lpwstr>
  </property>
</Properties>
</file>