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B876" w14:textId="715193C5" w:rsidR="00027ABF" w:rsidRDefault="00012298" w:rsidP="00012298">
      <w:pPr>
        <w:pStyle w:val="Heading1"/>
      </w:pPr>
      <w:r>
        <w:t xml:space="preserve">KEY FINDINDS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3696"/>
        <w:gridCol w:w="2752"/>
      </w:tblGrid>
      <w:tr w:rsidR="00586837" w14:paraId="76C2F920" w14:textId="77777777" w:rsidTr="00027ABF">
        <w:tc>
          <w:tcPr>
            <w:tcW w:w="2568" w:type="dxa"/>
          </w:tcPr>
          <w:p w14:paraId="1D672B12" w14:textId="48A6DFDB" w:rsidR="00586837" w:rsidRDefault="00586837" w:rsidP="00027ABF">
            <w:pPr>
              <w:pStyle w:val="Heading2"/>
              <w:jc w:val="center"/>
            </w:pPr>
            <w:r>
              <w:t>No.</w:t>
            </w:r>
          </w:p>
        </w:tc>
        <w:tc>
          <w:tcPr>
            <w:tcW w:w="3696" w:type="dxa"/>
          </w:tcPr>
          <w:p w14:paraId="19EC0E89" w14:textId="7C3C5BAE" w:rsidR="00586837" w:rsidRDefault="00586837" w:rsidP="00027ABF">
            <w:pPr>
              <w:pStyle w:val="Heading2"/>
              <w:jc w:val="center"/>
            </w:pPr>
            <w:r>
              <w:t>Findings</w:t>
            </w:r>
          </w:p>
        </w:tc>
        <w:tc>
          <w:tcPr>
            <w:tcW w:w="2752" w:type="dxa"/>
          </w:tcPr>
          <w:p w14:paraId="0FF64BB4" w14:textId="4C887538" w:rsidR="00586837" w:rsidRDefault="00586837" w:rsidP="00027ABF">
            <w:pPr>
              <w:pStyle w:val="Heading2"/>
              <w:jc w:val="center"/>
            </w:pPr>
            <w:r>
              <w:t>Result</w:t>
            </w:r>
          </w:p>
        </w:tc>
      </w:tr>
      <w:tr w:rsidR="00586837" w14:paraId="40988325" w14:textId="77777777" w:rsidTr="00027ABF">
        <w:tc>
          <w:tcPr>
            <w:tcW w:w="2568" w:type="dxa"/>
          </w:tcPr>
          <w:p w14:paraId="30DC3E6E" w14:textId="44E6BE95" w:rsidR="00586837" w:rsidRDefault="00586837" w:rsidP="00027ABF">
            <w:pPr>
              <w:jc w:val="center"/>
            </w:pPr>
            <w:r>
              <w:t>1</w:t>
            </w:r>
          </w:p>
        </w:tc>
        <w:tc>
          <w:tcPr>
            <w:tcW w:w="3696" w:type="dxa"/>
          </w:tcPr>
          <w:p w14:paraId="03319C7A" w14:textId="77777777" w:rsidR="00586837" w:rsidRDefault="00586837" w:rsidP="00027ABF">
            <w:pPr>
              <w:jc w:val="center"/>
              <w:rPr>
                <w:rFonts w:ascii="Segoe UI" w:hAnsi="Segoe UI" w:cs="Segoe UI"/>
                <w:color w:val="1A1C1F"/>
                <w:sz w:val="22"/>
                <w:szCs w:val="22"/>
              </w:rPr>
            </w:pPr>
            <w:r>
              <w:rPr>
                <w:rFonts w:ascii="Segoe UI" w:hAnsi="Segoe UI" w:cs="Segoe UI"/>
                <w:color w:val="1A1C1F"/>
                <w:sz w:val="22"/>
                <w:szCs w:val="22"/>
              </w:rPr>
              <w:t>Energy Consumption by Zone</w:t>
            </w:r>
          </w:p>
          <w:p w14:paraId="0C53DAE8" w14:textId="77777777" w:rsidR="00586837" w:rsidRDefault="00586837" w:rsidP="00027ABF">
            <w:pPr>
              <w:jc w:val="center"/>
            </w:pPr>
          </w:p>
        </w:tc>
        <w:tc>
          <w:tcPr>
            <w:tcW w:w="2752" w:type="dxa"/>
          </w:tcPr>
          <w:p w14:paraId="7DBE9CA6" w14:textId="77777777" w:rsidR="00586837" w:rsidRDefault="00586837" w:rsidP="00027ABF">
            <w:pPr>
              <w:jc w:val="center"/>
              <w:rPr>
                <w:rFonts w:ascii="Segoe UI" w:hAnsi="Segoe UI" w:cs="Segoe UI"/>
                <w:color w:val="1A1C1F"/>
                <w:sz w:val="22"/>
                <w:szCs w:val="22"/>
              </w:rPr>
            </w:pPr>
            <w:r>
              <w:rPr>
                <w:rFonts w:ascii="Segoe UI" w:hAnsi="Segoe UI" w:cs="Segoe UI"/>
                <w:color w:val="1A1C1F"/>
                <w:sz w:val="22"/>
                <w:szCs w:val="22"/>
              </w:rPr>
              <w:t>North recorded the highest total consumption at 108,386.46 kWh, while South recorded the lowest at 52,021.57 kWh.</w:t>
            </w:r>
          </w:p>
          <w:p w14:paraId="08019AB3" w14:textId="77777777" w:rsidR="00586837" w:rsidRDefault="00586837" w:rsidP="00027ABF">
            <w:pPr>
              <w:jc w:val="center"/>
            </w:pPr>
          </w:p>
        </w:tc>
      </w:tr>
      <w:tr w:rsidR="00027ABF" w14:paraId="135AFFE1" w14:textId="77777777" w:rsidTr="00027ABF">
        <w:trPr>
          <w:trHeight w:val="1673"/>
        </w:trPr>
        <w:tc>
          <w:tcPr>
            <w:tcW w:w="2568" w:type="dxa"/>
          </w:tcPr>
          <w:p w14:paraId="2D730486" w14:textId="25171602" w:rsidR="00027ABF" w:rsidRDefault="00027ABF" w:rsidP="00027ABF">
            <w:pPr>
              <w:jc w:val="center"/>
            </w:pPr>
            <w:r>
              <w:t>2</w:t>
            </w:r>
          </w:p>
        </w:tc>
        <w:tc>
          <w:tcPr>
            <w:tcW w:w="3696" w:type="dxa"/>
          </w:tcPr>
          <w:p w14:paraId="30815EB3" w14:textId="44828BB3" w:rsidR="00027ABF" w:rsidRPr="00586837" w:rsidRDefault="00027ABF" w:rsidP="00027ABF">
            <w:pPr>
              <w:jc w:val="center"/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Highest-Consuming Meter</w:t>
            </w:r>
          </w:p>
        </w:tc>
        <w:tc>
          <w:tcPr>
            <w:tcW w:w="2752" w:type="dxa"/>
          </w:tcPr>
          <w:p w14:paraId="3D4BE92A" w14:textId="77777777" w:rsidR="00027ABF" w:rsidRDefault="00027ABF" w:rsidP="00027ABF">
            <w:pPr>
              <w:jc w:val="center"/>
              <w:rPr>
                <w:rFonts w:ascii="Segoe UI" w:hAnsi="Segoe UI" w:cs="Segoe UI"/>
                <w:color w:val="1A1C1F"/>
                <w:sz w:val="22"/>
                <w:szCs w:val="22"/>
              </w:rPr>
            </w:pPr>
            <w:r>
              <w:rPr>
                <w:rFonts w:ascii="Segoe UI" w:hAnsi="Segoe UI" w:cs="Segoe UI"/>
                <w:color w:val="1A1C1F"/>
                <w:sz w:val="22"/>
                <w:szCs w:val="22"/>
              </w:rPr>
              <w:t>Meter M0029 in the East zone had the highest consumption at 19,125.12 kWh. All five top-consuming meters were industrial.</w:t>
            </w:r>
          </w:p>
          <w:p w14:paraId="6E1AC095" w14:textId="77777777" w:rsidR="00027ABF" w:rsidRDefault="00027ABF" w:rsidP="00027ABF">
            <w:pPr>
              <w:jc w:val="center"/>
              <w:rPr>
                <w:rFonts w:ascii="Segoe UI" w:hAnsi="Segoe UI" w:cs="Segoe UI"/>
                <w:color w:val="1A1C1F"/>
                <w:sz w:val="22"/>
                <w:szCs w:val="22"/>
              </w:rPr>
            </w:pPr>
          </w:p>
        </w:tc>
      </w:tr>
      <w:tr w:rsidR="00586837" w14:paraId="3AFEBCB7" w14:textId="77777777" w:rsidTr="00027ABF">
        <w:tc>
          <w:tcPr>
            <w:tcW w:w="2568" w:type="dxa"/>
          </w:tcPr>
          <w:p w14:paraId="74695D24" w14:textId="65382157" w:rsidR="00586837" w:rsidRDefault="00586837" w:rsidP="00027ABF">
            <w:pPr>
              <w:jc w:val="center"/>
            </w:pPr>
            <w:r>
              <w:t>3</w:t>
            </w:r>
          </w:p>
        </w:tc>
        <w:tc>
          <w:tcPr>
            <w:tcW w:w="3696" w:type="dxa"/>
          </w:tcPr>
          <w:p w14:paraId="7B262167" w14:textId="77777777" w:rsidR="00586837" w:rsidRPr="00586837" w:rsidRDefault="00586837" w:rsidP="00027ABF">
            <w:pPr>
              <w:jc w:val="center"/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</w:pPr>
            <w:r w:rsidRPr="00586837"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Monthly Consumption Trends</w:t>
            </w:r>
          </w:p>
          <w:p w14:paraId="092732C8" w14:textId="77777777" w:rsidR="00586837" w:rsidRDefault="00586837" w:rsidP="00027ABF">
            <w:pPr>
              <w:jc w:val="center"/>
            </w:pPr>
          </w:p>
        </w:tc>
        <w:tc>
          <w:tcPr>
            <w:tcW w:w="2752" w:type="dxa"/>
          </w:tcPr>
          <w:p w14:paraId="3FD3CA25" w14:textId="30760B9F" w:rsidR="00586837" w:rsidRDefault="00586837" w:rsidP="00027ABF">
            <w:pPr>
              <w:jc w:val="center"/>
            </w:pPr>
            <w:r w:rsidRPr="00586837">
              <w:t>Monthly consumption peaked across all zones in March 2025 (led by North at 33,886.84 kWh and West at 27,793.01 kWh) before dropping significantly in April 2025.</w:t>
            </w:r>
          </w:p>
        </w:tc>
      </w:tr>
      <w:tr w:rsidR="00586837" w14:paraId="72EC5973" w14:textId="77777777" w:rsidTr="00027ABF">
        <w:tc>
          <w:tcPr>
            <w:tcW w:w="2568" w:type="dxa"/>
          </w:tcPr>
          <w:p w14:paraId="599A9910" w14:textId="3563FF64" w:rsidR="00586837" w:rsidRDefault="00586837" w:rsidP="00027ABF">
            <w:pPr>
              <w:jc w:val="center"/>
            </w:pPr>
            <w:r>
              <w:t>4</w:t>
            </w:r>
          </w:p>
        </w:tc>
        <w:tc>
          <w:tcPr>
            <w:tcW w:w="3696" w:type="dxa"/>
          </w:tcPr>
          <w:p w14:paraId="1AEED9D3" w14:textId="2065C25C" w:rsidR="00586837" w:rsidRDefault="00586837" w:rsidP="00027ABF">
            <w:pPr>
              <w:jc w:val="center"/>
            </w:pPr>
            <w:r w:rsidRPr="00586837"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Estimated Electricity Cost</w:t>
            </w:r>
          </w:p>
        </w:tc>
        <w:tc>
          <w:tcPr>
            <w:tcW w:w="2752" w:type="dxa"/>
          </w:tcPr>
          <w:p w14:paraId="5827336A" w14:textId="0A46046E" w:rsidR="00586837" w:rsidRDefault="00586837" w:rsidP="00027ABF">
            <w:pPr>
              <w:jc w:val="center"/>
            </w:pPr>
            <w:r w:rsidRPr="00586837">
              <w:t>Total consumption across all zones reached 374,896.40 kWh, with North generating the highest overall electricity demand and cost share (108,386.46 kWh).</w:t>
            </w:r>
          </w:p>
        </w:tc>
      </w:tr>
      <w:tr w:rsidR="00586837" w14:paraId="039190FA" w14:textId="77777777" w:rsidTr="00027ABF">
        <w:tc>
          <w:tcPr>
            <w:tcW w:w="2568" w:type="dxa"/>
          </w:tcPr>
          <w:p w14:paraId="703078DA" w14:textId="584971AC" w:rsidR="00586837" w:rsidRDefault="00586837" w:rsidP="00027ABF">
            <w:pPr>
              <w:jc w:val="center"/>
            </w:pPr>
            <w:r>
              <w:t>5</w:t>
            </w:r>
          </w:p>
        </w:tc>
        <w:tc>
          <w:tcPr>
            <w:tcW w:w="3696" w:type="dxa"/>
          </w:tcPr>
          <w:p w14:paraId="37598D74" w14:textId="77777777" w:rsidR="00586837" w:rsidRPr="00586837" w:rsidRDefault="00586837" w:rsidP="00027ABF">
            <w:pPr>
              <w:jc w:val="center"/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</w:pPr>
            <w:r w:rsidRPr="00586837"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Meter Faults and Outages</w:t>
            </w:r>
          </w:p>
          <w:p w14:paraId="0E992894" w14:textId="77777777" w:rsidR="00586837" w:rsidRDefault="00586837" w:rsidP="00027ABF">
            <w:pPr>
              <w:jc w:val="center"/>
            </w:pPr>
          </w:p>
        </w:tc>
        <w:tc>
          <w:tcPr>
            <w:tcW w:w="2752" w:type="dxa"/>
          </w:tcPr>
          <w:p w14:paraId="24B6601A" w14:textId="5771CF0E" w:rsidR="00586837" w:rsidRDefault="00586837" w:rsidP="00027ABF">
            <w:pPr>
              <w:jc w:val="center"/>
            </w:pPr>
            <w:r w:rsidRPr="00586837">
              <w:t>Meter M0031 in Central experienced the highest outage duration at 1,055 minutes with 6 faulty readings, while M0071 had the highest number of faulty readings at 11.</w:t>
            </w:r>
          </w:p>
        </w:tc>
      </w:tr>
      <w:tr w:rsidR="00586837" w14:paraId="14ED1FD3" w14:textId="77777777" w:rsidTr="00027ABF">
        <w:tc>
          <w:tcPr>
            <w:tcW w:w="2568" w:type="dxa"/>
          </w:tcPr>
          <w:p w14:paraId="02737DE6" w14:textId="149AC53A" w:rsidR="00586837" w:rsidRDefault="00586837" w:rsidP="00027ABF">
            <w:pPr>
              <w:jc w:val="center"/>
            </w:pPr>
            <w:r>
              <w:t>6</w:t>
            </w:r>
          </w:p>
        </w:tc>
        <w:tc>
          <w:tcPr>
            <w:tcW w:w="3696" w:type="dxa"/>
          </w:tcPr>
          <w:p w14:paraId="52C60A9B" w14:textId="77777777" w:rsidR="00586837" w:rsidRPr="00586837" w:rsidRDefault="00586837" w:rsidP="00027ABF">
            <w:pPr>
              <w:jc w:val="center"/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</w:pPr>
            <w:r w:rsidRPr="00586837"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Operational Reliability</w:t>
            </w:r>
          </w:p>
          <w:p w14:paraId="23B18113" w14:textId="77777777" w:rsidR="00586837" w:rsidRDefault="00586837" w:rsidP="00027ABF">
            <w:pPr>
              <w:jc w:val="center"/>
            </w:pPr>
          </w:p>
        </w:tc>
        <w:tc>
          <w:tcPr>
            <w:tcW w:w="2752" w:type="dxa"/>
          </w:tcPr>
          <w:p w14:paraId="6BB1894C" w14:textId="37B6E983" w:rsidR="00586837" w:rsidRDefault="00586837" w:rsidP="00027ABF">
            <w:pPr>
              <w:jc w:val="center"/>
            </w:pPr>
            <w:r w:rsidRPr="00586837">
              <w:t xml:space="preserve">East recorded the highest active reading rate at 95.95% (12,080 outage minutes), </w:t>
            </w:r>
            <w:r w:rsidRPr="00586837">
              <w:lastRenderedPageBreak/>
              <w:t>whereas North had the lowest reliability at 95.19% active readings and 13,905 total outage minutes.</w:t>
            </w:r>
          </w:p>
        </w:tc>
      </w:tr>
      <w:tr w:rsidR="00586837" w14:paraId="0B45AC70" w14:textId="77777777" w:rsidTr="00027ABF">
        <w:tc>
          <w:tcPr>
            <w:tcW w:w="2568" w:type="dxa"/>
          </w:tcPr>
          <w:p w14:paraId="67EA94D4" w14:textId="108D1193" w:rsidR="00586837" w:rsidRDefault="00586837" w:rsidP="00027ABF">
            <w:pPr>
              <w:jc w:val="center"/>
            </w:pPr>
            <w:r>
              <w:lastRenderedPageBreak/>
              <w:t>7</w:t>
            </w:r>
          </w:p>
        </w:tc>
        <w:tc>
          <w:tcPr>
            <w:tcW w:w="3696" w:type="dxa"/>
          </w:tcPr>
          <w:p w14:paraId="6F703F16" w14:textId="77777777" w:rsidR="00586837" w:rsidRPr="00586837" w:rsidRDefault="00586837" w:rsidP="00027ABF">
            <w:pPr>
              <w:jc w:val="center"/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</w:pPr>
            <w:r w:rsidRPr="00586837">
              <w:rPr>
                <w:rFonts w:ascii="Segoe UI" w:eastAsia="Times New Roman" w:hAnsi="Segoe UI" w:cs="Segoe UI"/>
                <w:color w:val="1A1C1F"/>
                <w:kern w:val="0"/>
                <w:sz w:val="22"/>
                <w:szCs w:val="22"/>
                <w:lang w:eastAsia="en-IN" w:bidi="gu-IN"/>
                <w14:ligatures w14:val="none"/>
              </w:rPr>
              <w:t>Weekday vs. Weekend Usage</w:t>
            </w:r>
          </w:p>
          <w:p w14:paraId="2D5C652E" w14:textId="77777777" w:rsidR="00586837" w:rsidRDefault="00586837" w:rsidP="00027ABF">
            <w:pPr>
              <w:jc w:val="center"/>
            </w:pPr>
          </w:p>
        </w:tc>
        <w:tc>
          <w:tcPr>
            <w:tcW w:w="2752" w:type="dxa"/>
          </w:tcPr>
          <w:p w14:paraId="4CA25939" w14:textId="48D1BFFB" w:rsidR="00586837" w:rsidRDefault="00586837" w:rsidP="00027ABF">
            <w:pPr>
              <w:jc w:val="center"/>
            </w:pPr>
            <w:r w:rsidRPr="00586837">
              <w:t xml:space="preserve">Weekday consumption </w:t>
            </w:r>
            <w:proofErr w:type="spellStart"/>
            <w:r w:rsidRPr="00586837">
              <w:t>totaled</w:t>
            </w:r>
            <w:proofErr w:type="spellEnd"/>
            <w:r w:rsidRPr="00586837">
              <w:t xml:space="preserve"> 275,926.86 kWh with an average peak of 8.44 kWh, compared to weekend usage of 99,069.54 kWh with an average peak of 7.79 kWh.</w:t>
            </w:r>
          </w:p>
        </w:tc>
      </w:tr>
    </w:tbl>
    <w:p w14:paraId="05BB601D" w14:textId="3C84B899" w:rsidR="00215B4E" w:rsidRDefault="00215B4E"/>
    <w:sectPr w:rsidR="00215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37"/>
    <w:rsid w:val="00012298"/>
    <w:rsid w:val="00027ABF"/>
    <w:rsid w:val="00215B4E"/>
    <w:rsid w:val="00586837"/>
    <w:rsid w:val="0065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D05A"/>
  <w15:chartTrackingRefBased/>
  <w15:docId w15:val="{8F7F7C89-C495-49CF-98EB-86943339C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 Patel</dc:creator>
  <cp:keywords/>
  <dc:description/>
  <cp:lastModifiedBy>Parva Patel</cp:lastModifiedBy>
  <cp:revision>1</cp:revision>
  <dcterms:created xsi:type="dcterms:W3CDTF">2026-10-17T12:04:00Z</dcterms:created>
  <dcterms:modified xsi:type="dcterms:W3CDTF">2026-10-17T12:27:00Z</dcterms:modified>
</cp:coreProperties>
</file>