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op4t2jwsm5g" w:id="0"/>
      <w:bookmarkEnd w:id="0"/>
      <w:r w:rsidDel="00000000" w:rsidR="00000000" w:rsidRPr="00000000">
        <w:rPr>
          <w:b w:val="1"/>
          <w:bCs w:val="1"/>
          <w:sz w:val="46"/>
          <w:szCs w:val="46"/>
          <w:rtl w:val="0"/>
        </w:rPr>
        <w:t xml:space="preserve">Enterprise Agentic AI: Market Opportunity &amp; Adoption Forecast, 2026–2030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7mkids4i3cn"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Assess the enterprise agentic AI market, competitive landscape, enterprise use cases, and potential market growth through 2030.</w:t>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Research question:</w:t>
      </w:r>
      <w:r w:rsidDel="00000000" w:rsidR="00000000" w:rsidRPr="00000000">
        <w:rPr>
          <w:sz w:val="24"/>
          <w:szCs w:val="24"/>
          <w:rtl w:val="0"/>
        </w:rPr>
        <w:t xml:space="preserve"> How is enterprise agentic AI evolving, which vendors are competing in this space, and which use cases may offer the strongest business opportunities?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j6qju9idt46" w:id="2"/>
      <w:bookmarkEnd w:id="2"/>
      <w:r w:rsidDel="00000000" w:rsidR="00000000" w:rsidRPr="00000000">
        <w:rPr>
          <w:b w:val="1"/>
          <w:bCs w:val="1"/>
          <w:sz w:val="34"/>
          <w:szCs w:val="34"/>
          <w:rtl w:val="0"/>
        </w:rPr>
        <w:t xml:space="preserve">2. Market Definition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This project examines enterprise agentic AI software and platforms that enable organizations to build, deploy, orchestrate, monitor, or govern AI agents capable of pursuing defined goals and executing tasks through tools, data, and business workflows with some degree of autonomy.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irss5t0nwpf" w:id="3"/>
      <w:bookmarkEnd w:id="3"/>
      <w:r w:rsidDel="00000000" w:rsidR="00000000" w:rsidRPr="00000000">
        <w:rPr>
          <w:b w:val="1"/>
          <w:bCs w:val="1"/>
          <w:color w:val="000000"/>
          <w:sz w:val="26"/>
          <w:szCs w:val="26"/>
          <w:rtl w:val="0"/>
        </w:rPr>
        <w:t xml:space="preserve">Included</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sz w:val="24"/>
          <w:szCs w:val="24"/>
          <w:rtl w:val="0"/>
        </w:rPr>
        <w:t xml:space="preserve">Enterprise agent development platforms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sz w:val="24"/>
          <w:szCs w:val="24"/>
          <w:rtl w:val="0"/>
        </w:rPr>
        <w:t xml:space="preserve">Agent orchestration and management tools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sz w:val="24"/>
          <w:szCs w:val="24"/>
          <w:rtl w:val="0"/>
        </w:rPr>
        <w:t xml:space="preserve">Enterprise workflow agents</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sz w:val="24"/>
          <w:szCs w:val="24"/>
          <w:rtl w:val="0"/>
        </w:rPr>
        <w:t xml:space="preserve">Agent monitoring, security, and governance capabilities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a1088zd56uz" w:id="4"/>
      <w:bookmarkEnd w:id="4"/>
      <w:r w:rsidDel="00000000" w:rsidR="00000000" w:rsidRPr="00000000">
        <w:rPr>
          <w:b w:val="1"/>
          <w:bCs w:val="1"/>
          <w:color w:val="000000"/>
          <w:sz w:val="26"/>
          <w:szCs w:val="26"/>
          <w:rtl w:val="0"/>
        </w:rPr>
        <w:t xml:space="preserve">Excluded</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sz w:val="24"/>
          <w:szCs w:val="24"/>
          <w:rtl w:val="0"/>
        </w:rPr>
        <w:t xml:space="preserve">General-purpose AI model revenue not specifically attributable to agentic AI</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sz w:val="24"/>
          <w:szCs w:val="24"/>
          <w:rtl w:val="0"/>
        </w:rPr>
        <w:t xml:space="preserve">Standalone cloud infrastructure and GPU hardware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sz w:val="24"/>
          <w:szCs w:val="24"/>
          <w:rtl w:val="0"/>
        </w:rPr>
        <w:t xml:space="preserve">Traditional automation without agentic capabilities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sz w:val="24"/>
          <w:szCs w:val="24"/>
          <w:rtl w:val="0"/>
        </w:rPr>
        <w:t xml:space="preserve">Consumer-only AI assistants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sz w:val="24"/>
          <w:szCs w:val="24"/>
          <w:rtl w:val="0"/>
        </w:rPr>
        <w:t xml:space="preserve">Consulting services unless separately measured</w:t>
      </w:r>
    </w:p>
    <w:p w:rsidR="00000000" w:rsidDel="00000000" w:rsidP="00000000" w:rsidRDefault="00000000" w:rsidRPr="00000000" w14:paraId="00000012">
      <w:pPr>
        <w:spacing w:after="240" w:before="240" w:lineRule="auto"/>
        <w:rPr>
          <w:sz w:val="24"/>
          <w:szCs w:val="24"/>
        </w:rPr>
      </w:pPr>
      <w:r w:rsidDel="00000000" w:rsidR="00000000" w:rsidRPr="00000000">
        <w:rPr>
          <w:b w:val="1"/>
          <w:bCs w:val="1"/>
          <w:sz w:val="24"/>
          <w:szCs w:val="24"/>
          <w:rtl w:val="0"/>
        </w:rPr>
        <w:t xml:space="preserve">Geographic scope:</w:t>
      </w:r>
      <w:r w:rsidDel="00000000" w:rsidR="00000000" w:rsidRPr="00000000">
        <w:rPr>
          <w:sz w:val="24"/>
          <w:szCs w:val="24"/>
          <w:rtl w:val="0"/>
        </w:rPr>
        <w:t xml:space="preserve"> Global</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Forecast period:</w:t>
      </w:r>
      <w:r w:rsidDel="00000000" w:rsidR="00000000" w:rsidRPr="00000000">
        <w:rPr>
          <w:sz w:val="24"/>
          <w:szCs w:val="24"/>
          <w:rtl w:val="0"/>
        </w:rPr>
        <w:t xml:space="preserve"> 2026–2030, with 2025 used as the starting benchmark where applicable.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lwo6ih8huqpm" w:id="5"/>
      <w:bookmarkEnd w:id="5"/>
      <w:r w:rsidDel="00000000" w:rsidR="00000000" w:rsidRPr="00000000">
        <w:rPr>
          <w:b w:val="1"/>
          <w:bCs w:val="1"/>
          <w:sz w:val="34"/>
          <w:szCs w:val="34"/>
          <w:rtl w:val="0"/>
        </w:rPr>
        <w:t xml:space="preserve">3. Research Methodology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This project uses secondary research based on public company documentation, industry surveys, and published market forecasts.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Official company documentation supports vendor product descriptions and positioning. Industry surveys provide adoption signals. Published market estimates are treated as third-party benchmarks rather than independently verified measurements.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market-sizing model applies alternative annual growth assumptions to a published starting benchmark. Calculated scenarios are illustrative and should not be confused with independent market forecasts.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r6jemppkeen" w:id="6"/>
      <w:bookmarkEnd w:id="6"/>
      <w:r w:rsidDel="00000000" w:rsidR="00000000" w:rsidRPr="00000000">
        <w:rPr>
          <w:b w:val="1"/>
          <w:bCs w:val="1"/>
          <w:sz w:val="34"/>
          <w:szCs w:val="34"/>
          <w:rtl w:val="0"/>
        </w:rPr>
        <w:t xml:space="preserve">4. Published Market Benchmarks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research log includes several third-party estimates: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sz w:val="24"/>
          <w:szCs w:val="24"/>
          <w:rtl w:val="0"/>
        </w:rPr>
        <w:t xml:space="preserve">Gartner: forecasts covering cross-functional AI agents and assistants.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sz w:val="24"/>
          <w:szCs w:val="24"/>
          <w:rtl w:val="0"/>
        </w:rPr>
        <w:t xml:space="preserve">Gartner: a broader agentic AI software-spending forecast.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sz w:val="24"/>
          <w:szCs w:val="24"/>
          <w:rtl w:val="0"/>
        </w:rPr>
        <w:t xml:space="preserve">CB Insights: a projection covering enterprise AI agents and copilots.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sz w:val="24"/>
          <w:szCs w:val="24"/>
          <w:rtl w:val="0"/>
        </w:rPr>
        <w:t xml:space="preserve">IDC: a published agentic AI platforms benchmark.</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These estimates have different market scopes and methodologies. They should not be directly combined or presented as measurements of an identical market.</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ma1f2wc7n29" w:id="7"/>
      <w:bookmarkEnd w:id="7"/>
      <w:r w:rsidDel="00000000" w:rsidR="00000000" w:rsidRPr="00000000">
        <w:rPr>
          <w:b w:val="1"/>
          <w:bCs w:val="1"/>
          <w:sz w:val="34"/>
          <w:szCs w:val="34"/>
          <w:rtl w:val="0"/>
        </w:rPr>
        <w:t xml:space="preserve">5. Market Growth Scenarios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scenario model uses a 2025 starting benchmark of USD 2.6 billion and applies three illustrative annual growth assumptions over five years.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sz w:val="24"/>
          <w:szCs w:val="24"/>
          <w:rtl w:val="0"/>
        </w:rPr>
        <w:t xml:space="preserve">Low case:</w:t>
      </w:r>
      <w:r w:rsidDel="00000000" w:rsidR="00000000" w:rsidRPr="00000000">
        <w:rPr>
          <w:sz w:val="24"/>
          <w:szCs w:val="24"/>
          <w:rtl w:val="0"/>
        </w:rPr>
        <w:t xml:space="preserve"> 50% annual growth, producing approximately USD 19.7 billion in 2030.</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sz w:val="24"/>
          <w:szCs w:val="24"/>
          <w:rtl w:val="0"/>
        </w:rPr>
        <w:t xml:space="preserve">Base case:</w:t>
      </w:r>
      <w:r w:rsidDel="00000000" w:rsidR="00000000" w:rsidRPr="00000000">
        <w:rPr>
          <w:sz w:val="24"/>
          <w:szCs w:val="24"/>
          <w:rtl w:val="0"/>
        </w:rPr>
        <w:t xml:space="preserve"> 74.6% annual growth, producing approximately USD 42.1 billion in 2030.</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b w:val="1"/>
          <w:bCs w:val="1"/>
          <w:sz w:val="24"/>
          <w:szCs w:val="24"/>
          <w:rtl w:val="0"/>
        </w:rPr>
        <w:t xml:space="preserve">High case:</w:t>
      </w:r>
      <w:r w:rsidDel="00000000" w:rsidR="00000000" w:rsidRPr="00000000">
        <w:rPr>
          <w:sz w:val="24"/>
          <w:szCs w:val="24"/>
          <w:rtl w:val="0"/>
        </w:rPr>
        <w:t xml:space="preserve"> 85% annual growth, producing approximately USD 54.9 billion in 2030.</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These are calculated scenarios. The base case differs from the published IDC 2030 benchmark of USD 41.5 billion because the model applies a rounded growth rate to a rounded starting value.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z6vsgfo1zt4" w:id="8"/>
      <w:bookmarkEnd w:id="8"/>
      <w:r w:rsidDel="00000000" w:rsidR="00000000" w:rsidRPr="00000000">
        <w:rPr>
          <w:b w:val="1"/>
          <w:bCs w:val="1"/>
          <w:sz w:val="34"/>
          <w:szCs w:val="34"/>
          <w:rtl w:val="0"/>
        </w:rPr>
        <w:t xml:space="preserve">6. Competitive Landscape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initial vendor comparison covers six major enterprise technology providers:</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sz w:val="24"/>
          <w:szCs w:val="24"/>
          <w:rtl w:val="0"/>
        </w:rPr>
        <w:t xml:space="preserve">Microsoft:</w:t>
      </w:r>
      <w:r w:rsidDel="00000000" w:rsidR="00000000" w:rsidRPr="00000000">
        <w:rPr>
          <w:sz w:val="24"/>
          <w:szCs w:val="24"/>
          <w:rtl w:val="0"/>
        </w:rPr>
        <w:t xml:space="preserve"> Copilot Studio and integration with Microsoft business workflows.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Google:</w:t>
      </w:r>
      <w:r w:rsidDel="00000000" w:rsidR="00000000" w:rsidRPr="00000000">
        <w:rPr>
          <w:sz w:val="24"/>
          <w:szCs w:val="24"/>
          <w:rtl w:val="0"/>
        </w:rPr>
        <w:t xml:space="preserve"> Gemini Enterprise Agent Platform and Google Cloud capabilities.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Amazon Web Services:</w:t>
      </w:r>
      <w:r w:rsidDel="00000000" w:rsidR="00000000" w:rsidRPr="00000000">
        <w:rPr>
          <w:sz w:val="24"/>
          <w:szCs w:val="24"/>
          <w:rtl w:val="0"/>
        </w:rPr>
        <w:t xml:space="preserve"> Amazon Bedrock AgentCore and cloud-native agent infrastructure.</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Salesforce:</w:t>
      </w:r>
      <w:r w:rsidDel="00000000" w:rsidR="00000000" w:rsidRPr="00000000">
        <w:rPr>
          <w:sz w:val="24"/>
          <w:szCs w:val="24"/>
          <w:rtl w:val="0"/>
        </w:rPr>
        <w:t xml:space="preserve"> Agentforce and customer relationship management workflows.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ServiceNow:</w:t>
      </w:r>
      <w:r w:rsidDel="00000000" w:rsidR="00000000" w:rsidRPr="00000000">
        <w:rPr>
          <w:sz w:val="24"/>
          <w:szCs w:val="24"/>
          <w:rtl w:val="0"/>
        </w:rPr>
        <w:t xml:space="preserve"> AI Agents and enterprise service management.</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sz w:val="24"/>
          <w:szCs w:val="24"/>
          <w:rtl w:val="0"/>
        </w:rPr>
        <w:t xml:space="preserve">IBM:</w:t>
      </w:r>
      <w:r w:rsidDel="00000000" w:rsidR="00000000" w:rsidRPr="00000000">
        <w:rPr>
          <w:sz w:val="24"/>
          <w:szCs w:val="24"/>
          <w:rtl w:val="0"/>
        </w:rPr>
        <w:t xml:space="preserve"> watsonx Orchestrate and enterprise agent orchestration.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comparison examines product focus, target users, pricing approach, and strategic differentiation. It is a preliminary positioning analysis, not a verified ranking of vendor performance.</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qu4phgl7sgg" w:id="9"/>
      <w:bookmarkEnd w:id="9"/>
      <w:r w:rsidDel="00000000" w:rsidR="00000000" w:rsidRPr="00000000">
        <w:rPr>
          <w:b w:val="1"/>
          <w:bCs w:val="1"/>
          <w:sz w:val="34"/>
          <w:szCs w:val="34"/>
          <w:rtl w:val="0"/>
        </w:rPr>
        <w:t xml:space="preserve">7. Enterprise Use Cases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use-case analysis covers customer service, IT operations, sales, software development, finance, human resources, and supply chain operations.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Potential business benefits include reduced repetitive work, faster service, improved workflow coordination, and better operational responsiveness. These benefits depend on implementation quality and should be validated using real deployment evidence.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nwkyvac0j2bn" w:id="10"/>
      <w:bookmarkEnd w:id="10"/>
      <w:r w:rsidDel="00000000" w:rsidR="00000000" w:rsidRPr="00000000">
        <w:rPr>
          <w:b w:val="1"/>
          <w:bCs w:val="1"/>
          <w:sz w:val="34"/>
          <w:szCs w:val="34"/>
          <w:rtl w:val="0"/>
        </w:rPr>
        <w:t xml:space="preserve">8. Preliminary Use-Case Prioritization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 preliminary scoring framework combines business impact and implementation feasibility, each rated from 1 to 5. The priority score is calculated by multiplying the two scores.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Customer service automation and IT service management score highest in the current assessment, at 20 out of 25. Software development also receives a high business-impact score, although its feasibility score is lower.</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These scores represent analyst judgments, not measured demand, market share, or independently validated return on investment.</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e09wzldfh23d" w:id="11"/>
      <w:bookmarkEnd w:id="11"/>
      <w:r w:rsidDel="00000000" w:rsidR="00000000" w:rsidRPr="00000000">
        <w:rPr>
          <w:b w:val="1"/>
          <w:bCs w:val="1"/>
          <w:sz w:val="34"/>
          <w:szCs w:val="34"/>
          <w:rtl w:val="0"/>
        </w:rPr>
        <w:t xml:space="preserve">9. Strategic Recommendations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sz w:val="24"/>
          <w:szCs w:val="24"/>
          <w:rtl w:val="0"/>
        </w:rPr>
        <w:t xml:space="preserve">Investigate customer service and IT operations as priority use cases because of their preliminary impact and feasibility scores.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sz w:val="24"/>
          <w:szCs w:val="24"/>
          <w:rtl w:val="0"/>
        </w:rPr>
        <w:t xml:space="preserve">Examine software development opportunities while considering security, quality assurance, and human oversight.</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sz w:val="24"/>
          <w:szCs w:val="24"/>
          <w:rtl w:val="0"/>
        </w:rPr>
        <w:t xml:space="preserve">Assess privacy, governance, reliability, and integration barriers across finance, HR, and supply chain applications.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sz w:val="24"/>
          <w:szCs w:val="24"/>
          <w:rtl w:val="0"/>
        </w:rPr>
        <w:t xml:space="preserve">Compare vendors on workflow integration, agent monitoring, governance, deployment options, and pricing transparency.</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sz w:val="24"/>
          <w:szCs w:val="24"/>
          <w:rtl w:val="0"/>
        </w:rPr>
        <w:t xml:space="preserve">Validate the initial prioritization using credible customer case studies, vendor documentation, and reported deployment outcomes.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cebfme5ovbfq" w:id="12"/>
      <w:bookmarkEnd w:id="12"/>
      <w:r w:rsidDel="00000000" w:rsidR="00000000" w:rsidRPr="00000000">
        <w:rPr>
          <w:b w:val="1"/>
          <w:bCs w:val="1"/>
          <w:sz w:val="34"/>
          <w:szCs w:val="34"/>
          <w:rtl w:val="0"/>
        </w:rPr>
        <w:t xml:space="preserve">10. Limitations and Further Research</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market estimates reviewed may differ in product scope, revenue coverage, and forecast methodology. Some underlying reports are paywalled, limiting independent verification of their full methods.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Before publication, verify source dates and exact wording, check calculations and spreadsheet formulas, and document the origin of each assumption. Further research should investigate enterprise adoption by industry, deployment economics, pricing models, and measurable customer outcomes.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dlaju3h8ohhd" w:id="13"/>
      <w:bookmarkEnd w:id="13"/>
      <w:r w:rsidDel="00000000" w:rsidR="00000000" w:rsidRPr="00000000">
        <w:rPr>
          <w:b w:val="1"/>
          <w:bCs w:val="1"/>
          <w:sz w:val="34"/>
          <w:szCs w:val="34"/>
          <w:rtl w:val="0"/>
        </w:rPr>
        <w:t xml:space="preserve">11. Source Register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Maintain a separate research source log containing each source's title, publisher, publication date, URL, relevant statistic or claim, scope, and verification status.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Adoption statistics should be distinguished from revenue forecasts. Company-specific usage growth should not be generalized to the entire market without supporting evidence.</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