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both"/>
        <w:rPr>
          <w:sz w:val="40"/>
          <w:szCs w:val="40"/>
        </w:rPr>
      </w:pPr>
      <w:r w:rsidDel="00000000" w:rsidR="00000000" w:rsidRPr="00000000">
        <w:rPr>
          <w:sz w:val="40"/>
          <w:szCs w:val="40"/>
          <w:rtl w:val="0"/>
        </w:rPr>
        <w:t xml:space="preserve">Enterprise Agentic AI: Market Opportunity &amp; Adoption Forecast, 2026–2030</w:t>
      </w:r>
    </w:p>
    <w:p w:rsidR="00000000" w:rsidDel="00000000" w:rsidP="00000000" w:rsidRDefault="00000000" w:rsidRPr="00000000" w14:paraId="00000002">
      <w:pPr>
        <w:keepNext w:val="0"/>
        <w:keepLines w:val="0"/>
        <w:spacing w:before="480" w:lineRule="auto"/>
        <w:jc w:val="both"/>
        <w:rPr>
          <w:sz w:val="40"/>
          <w:szCs w:val="40"/>
        </w:rPr>
      </w:pPr>
      <w:r w:rsidDel="00000000" w:rsidR="00000000" w:rsidRPr="00000000">
        <w:rPr>
          <w:rtl w:val="0"/>
        </w:rPr>
      </w:r>
    </w:p>
    <w:sdt>
      <w:sdtPr>
        <w:id w:val="-1703641675"/>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qve1ylnji6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Market Research | Competitive Intelligence | Market Sizing</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color w:val="000000"/>
              <w:u w:val="none"/>
            </w:rPr>
          </w:pPr>
          <w:hyperlink w:anchor="_srpeony07k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o12tm090pb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Market Definition and Scope</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color w:val="000000"/>
              <w:u w:val="none"/>
            </w:rPr>
          </w:pPr>
          <w:hyperlink w:anchor="_bkqglm1upn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Definition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84rn8arsfv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Market Inclusions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fwvchu57hi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Market Exclusions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l6ck7hmb5c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Geographic and Time Scope</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color w:val="000000"/>
              <w:u w:val="none"/>
            </w:rPr>
          </w:pPr>
          <w:hyperlink w:anchor="_2w9zhabutk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Research Questions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r82ytaps2f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Scope Limitations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ik9cb6jx3z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Research Methodology</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5ne7lva18i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Research Design</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inuthu7arn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Source Hierarchy</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8bjn7w2v6j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Market-Sizing Approach</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sec7msw7al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Forecast Scenarios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i2c47nrzt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Limitations and Validation</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7j3mcen83go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Published Market Benchmarks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dwtcbwq9vc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Overview</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y029y4gpin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Benchmark Comparison</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uls9inxdww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Interpretation</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row9issl6r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Implications for Market Sizing</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v8077rap4i6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Competitive Landscape</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7b441ecifk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Overview</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so27fkqy67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Vendor Comparison</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guksefbhy2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Commercial Considerations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ziieht8ddo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Competitive Assessment</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vqd6f6s3jn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Limitations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k2p4unyxgm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Enterprise Use-Case Prioritisation</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146oarzhsl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Assessment Framework</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v4re3uceln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Preliminary Use-Case Assessment</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tgtfiukrn5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Findings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qy59m49x3i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Implications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ynflbqxk5fe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Market Forecast and Scenarios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6iwog7wiyv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Forecast Approach</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us0opj5039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Scenario Analysis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feyajfnby0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Interpretation</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h72clhbryh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Forecast Limitations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_rs6p30y6fo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Risks, Barriers and Market Limitations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y4yym9m9zh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Adoption Barriers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sibazmsneg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Market Estimation Risks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noe22ccgg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Implications for Market Growth</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jgp9iuecju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Research Limitations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kc09nfo86z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Strategic Recommendations</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uncz7ddt3l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Prioritise High-Value Workflows</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n9rvtrvy15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Adopt a Phased Implementation Approach</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bynocoozfn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Strengthen Governance and Risk Controls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_yhwtp3uhq6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Evaluate Platforms Against Business Requirements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fk9o3faxtp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Measure Business Value</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jvwgosyf7j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Improve Market Intelligence</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21330w6qdh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Recommendations for Further Research</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q60v739agq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jmgf71n8t0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1"/>
        <w:spacing w:after="240" w:before="240" w:lineRule="auto"/>
        <w:jc w:val="both"/>
        <w:rPr>
          <w:sz w:val="36"/>
          <w:szCs w:val="36"/>
        </w:rPr>
      </w:pPr>
      <w:bookmarkStart w:colFirst="0" w:colLast="0" w:name="_p7yv722jwahy" w:id="0"/>
      <w:bookmarkEnd w:id="0"/>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spacing w:after="240" w:before="240" w:lineRule="auto"/>
        <w:jc w:val="both"/>
        <w:rPr>
          <w:sz w:val="36"/>
          <w:szCs w:val="36"/>
        </w:rPr>
      </w:pPr>
      <w:bookmarkStart w:colFirst="0" w:colLast="0" w:name="_59tp45ybai5y" w:id="1"/>
      <w:bookmarkEnd w:id="1"/>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spacing w:after="240" w:before="240" w:lineRule="auto"/>
        <w:jc w:val="both"/>
        <w:rPr>
          <w:sz w:val="36"/>
          <w:szCs w:val="36"/>
        </w:rPr>
      </w:pPr>
      <w:bookmarkStart w:colFirst="0" w:colLast="0" w:name="_yltiforoyyqw" w:id="2"/>
      <w:bookmarkEnd w:id="2"/>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spacing w:after="240" w:before="240" w:lineRule="auto"/>
        <w:jc w:val="both"/>
        <w:rPr>
          <w:sz w:val="36"/>
          <w:szCs w:val="36"/>
        </w:rPr>
      </w:pPr>
      <w:bookmarkStart w:colFirst="0" w:colLast="0" w:name="_yqve1ylnji6u" w:id="3"/>
      <w:bookmarkEnd w:id="3"/>
      <w:r w:rsidDel="00000000" w:rsidR="00000000" w:rsidRPr="00000000">
        <w:rPr>
          <w:sz w:val="36"/>
          <w:szCs w:val="36"/>
          <w:rtl w:val="0"/>
        </w:rPr>
        <w:t xml:space="preserve">Global Market Research | Competitive Intelligence | Market Sizing</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Prepared by: Parvati Kote</w:t>
        <w:br w:type="textWrapping"/>
        <w:t xml:space="preserve">Research period: 2026</w:t>
        <w:br w:type="textWrapping"/>
        <w:t xml:space="preserve">Forecast horizon: 2026–2030</w:t>
      </w:r>
    </w:p>
    <w:p w:rsidR="00000000" w:rsidDel="00000000" w:rsidP="00000000" w:rsidRDefault="00000000" w:rsidRPr="00000000" w14:paraId="00000049">
      <w:pPr>
        <w:pStyle w:val="Heading2"/>
        <w:jc w:val="both"/>
        <w:rPr/>
      </w:pPr>
      <w:bookmarkStart w:colFirst="0" w:colLast="0" w:name="_srpeony07k43" w:id="4"/>
      <w:bookmarkEnd w:id="4"/>
      <w:r w:rsidDel="00000000" w:rsidR="00000000" w:rsidRPr="00000000">
        <w:rPr>
          <w:rtl w:val="0"/>
        </w:rPr>
        <w:t xml:space="preserve">Executive Summary</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Enterprise agentic AI is an emerging area of enterprise technology focused on AI systems that can pursue defined goals, use tools, and execute tasks across business workflows with varying degrees of autonomy.</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This report examines the market opportunity, published market forecasts, competitive positioning of major technology vendors, and potential enterprise use cases through 2030. It combines secondary research, published market benchmarks, illustrative growth scenarios, and preliminary analyst assessments.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The competitive landscape covers Microsoft, Google, Amazon Web Services, Salesforce, ServiceNow, and IBM. The analysis considers their product positioning, enterprise integration, orchestration capabilities, and approaches to deploying and governing AI agents.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The initial use-case assessment covers customer service, IT operations, sales, software development, finance, human resources, and supply chain operations. Preliminary scoring identifies customer service automation and IT service management as priority areas for further investigation. These rankings reflect analyst judgments rather than independently measured market demand.</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Published market estimates suggest significant potential growth, but the available forecasts differ in scope and methodology. The scenario model therefore distinguishes third-party benchmarks from calculations based on assumed growth rates.</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The central conclusion is that enterprise agentic AI merits further market investigation, but credible market sizing requires a consistent market definition, transparent assumptions, and careful validation of adoption, pricing, and revenue evidence.</w:t>
      </w:r>
    </w:p>
    <w:p w:rsidR="00000000" w:rsidDel="00000000" w:rsidP="00000000" w:rsidRDefault="00000000" w:rsidRPr="00000000" w14:paraId="00000050">
      <w:pPr>
        <w:pStyle w:val="Heading1"/>
        <w:jc w:val="both"/>
        <w:rPr/>
      </w:pPr>
      <w:bookmarkStart w:colFirst="0" w:colLast="0" w:name="_o12tm090pb0g" w:id="5"/>
      <w:bookmarkEnd w:id="5"/>
      <w:r w:rsidDel="00000000" w:rsidR="00000000" w:rsidRPr="00000000">
        <w:rPr>
          <w:rtl w:val="0"/>
        </w:rPr>
        <w:t xml:space="preserve">1. Market Definition and Scope</w:t>
      </w:r>
    </w:p>
    <w:p w:rsidR="00000000" w:rsidDel="00000000" w:rsidP="00000000" w:rsidRDefault="00000000" w:rsidRPr="00000000" w14:paraId="00000051">
      <w:pPr>
        <w:pStyle w:val="Heading3"/>
        <w:keepNext w:val="0"/>
        <w:keepLines w:val="0"/>
        <w:spacing w:before="280" w:lineRule="auto"/>
        <w:jc w:val="both"/>
        <w:rPr>
          <w:b w:val="1"/>
          <w:bCs w:val="1"/>
          <w:color w:val="000000"/>
          <w:sz w:val="22"/>
          <w:szCs w:val="22"/>
        </w:rPr>
      </w:pPr>
      <w:bookmarkStart w:colFirst="0" w:colLast="0" w:name="_bkqglm1upnyv" w:id="6"/>
      <w:bookmarkEnd w:id="6"/>
      <w:r w:rsidDel="00000000" w:rsidR="00000000" w:rsidRPr="00000000">
        <w:rPr>
          <w:color w:val="000000"/>
          <w:sz w:val="32"/>
          <w:szCs w:val="32"/>
          <w:rtl w:val="0"/>
        </w:rPr>
        <w:t xml:space="preserve">1.1 Definition</w:t>
      </w:r>
      <w:r w:rsidDel="00000000" w:rsidR="00000000" w:rsidRPr="00000000">
        <w:rPr>
          <w:rtl w:val="0"/>
        </w:rPr>
      </w:r>
    </w:p>
    <w:p w:rsidR="00000000" w:rsidDel="00000000" w:rsidP="00000000" w:rsidRDefault="00000000" w:rsidRPr="00000000" w14:paraId="00000052">
      <w:pPr>
        <w:spacing w:after="240" w:before="240" w:lineRule="auto"/>
        <w:jc w:val="both"/>
        <w:rPr/>
      </w:pPr>
      <w:r w:rsidDel="00000000" w:rsidR="00000000" w:rsidRPr="00000000">
        <w:rPr>
          <w:rtl w:val="0"/>
        </w:rPr>
        <w:t xml:space="preserve">For this report, the enterprise agentic AI market is defined as software and platforms that enable organizations to build, deploy, orchestrate, monitor, secure, or govern AI agents capable of pursuing defined goals and executing tasks through tools, enterprise data, and business workflows with some degree of autonomy.</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This definition is used to maintain a consistent scope across the research. However, published market estimates may use broader or narrower definitions.</w:t>
      </w:r>
    </w:p>
    <w:p w:rsidR="00000000" w:rsidDel="00000000" w:rsidP="00000000" w:rsidRDefault="00000000" w:rsidRPr="00000000" w14:paraId="0000005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84rn8arsfv4d" w:id="7"/>
      <w:bookmarkEnd w:id="7"/>
      <w:r w:rsidDel="00000000" w:rsidR="00000000" w:rsidRPr="00000000">
        <w:rPr>
          <w:color w:val="000000"/>
          <w:sz w:val="32"/>
          <w:szCs w:val="32"/>
          <w:rtl w:val="0"/>
        </w:rPr>
        <w:t xml:space="preserve">1.2 Market Inclusions</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The analysis includes:</w:t>
      </w:r>
    </w:p>
    <w:p w:rsidR="00000000" w:rsidDel="00000000" w:rsidP="00000000" w:rsidRDefault="00000000" w:rsidRPr="00000000" w14:paraId="00000056">
      <w:pPr>
        <w:numPr>
          <w:ilvl w:val="0"/>
          <w:numId w:val="4"/>
        </w:numPr>
        <w:spacing w:after="0" w:afterAutospacing="0" w:before="240" w:lineRule="auto"/>
        <w:ind w:left="720" w:hanging="360"/>
        <w:jc w:val="both"/>
        <w:rPr>
          <w:sz w:val="22"/>
          <w:szCs w:val="22"/>
        </w:rPr>
      </w:pPr>
      <w:r w:rsidDel="00000000" w:rsidR="00000000" w:rsidRPr="00000000">
        <w:rPr>
          <w:rtl w:val="0"/>
        </w:rPr>
        <w:t xml:space="preserve">Enterprise agent development platforms</w:t>
      </w:r>
    </w:p>
    <w:p w:rsidR="00000000" w:rsidDel="00000000" w:rsidP="00000000" w:rsidRDefault="00000000" w:rsidRPr="00000000" w14:paraId="00000057">
      <w:pPr>
        <w:numPr>
          <w:ilvl w:val="0"/>
          <w:numId w:val="4"/>
        </w:numPr>
        <w:spacing w:after="0" w:afterAutospacing="0" w:before="0" w:beforeAutospacing="0" w:lineRule="auto"/>
        <w:ind w:left="720" w:hanging="360"/>
        <w:jc w:val="both"/>
        <w:rPr>
          <w:sz w:val="22"/>
          <w:szCs w:val="22"/>
        </w:rPr>
      </w:pPr>
      <w:r w:rsidDel="00000000" w:rsidR="00000000" w:rsidRPr="00000000">
        <w:rPr>
          <w:rtl w:val="0"/>
        </w:rPr>
        <w:t xml:space="preserve">Agent orchestration and management software</w:t>
      </w:r>
    </w:p>
    <w:p w:rsidR="00000000" w:rsidDel="00000000" w:rsidP="00000000" w:rsidRDefault="00000000" w:rsidRPr="00000000" w14:paraId="00000058">
      <w:pPr>
        <w:numPr>
          <w:ilvl w:val="0"/>
          <w:numId w:val="4"/>
        </w:numPr>
        <w:spacing w:after="0" w:afterAutospacing="0" w:before="0" w:beforeAutospacing="0" w:lineRule="auto"/>
        <w:ind w:left="720" w:hanging="360"/>
        <w:jc w:val="both"/>
        <w:rPr>
          <w:sz w:val="22"/>
          <w:szCs w:val="22"/>
        </w:rPr>
      </w:pPr>
      <w:r w:rsidDel="00000000" w:rsidR="00000000" w:rsidRPr="00000000">
        <w:rPr>
          <w:rtl w:val="0"/>
        </w:rPr>
        <w:t xml:space="preserve">AI agents embedded in enterprise business workflows</w:t>
      </w:r>
    </w:p>
    <w:p w:rsidR="00000000" w:rsidDel="00000000" w:rsidP="00000000" w:rsidRDefault="00000000" w:rsidRPr="00000000" w14:paraId="00000059">
      <w:pPr>
        <w:numPr>
          <w:ilvl w:val="0"/>
          <w:numId w:val="4"/>
        </w:numPr>
        <w:spacing w:after="0" w:afterAutospacing="0" w:before="0" w:beforeAutospacing="0" w:lineRule="auto"/>
        <w:ind w:left="720" w:hanging="360"/>
        <w:jc w:val="both"/>
        <w:rPr>
          <w:sz w:val="22"/>
          <w:szCs w:val="22"/>
        </w:rPr>
      </w:pPr>
      <w:r w:rsidDel="00000000" w:rsidR="00000000" w:rsidRPr="00000000">
        <w:rPr>
          <w:rtl w:val="0"/>
        </w:rPr>
        <w:t xml:space="preserve">Tools for agent monitoring, security, and governance</w:t>
      </w:r>
    </w:p>
    <w:p w:rsidR="00000000" w:rsidDel="00000000" w:rsidP="00000000" w:rsidRDefault="00000000" w:rsidRPr="00000000" w14:paraId="0000005A">
      <w:pPr>
        <w:numPr>
          <w:ilvl w:val="0"/>
          <w:numId w:val="4"/>
        </w:numPr>
        <w:spacing w:after="240" w:before="0" w:beforeAutospacing="0" w:lineRule="auto"/>
        <w:ind w:left="720" w:hanging="360"/>
        <w:jc w:val="both"/>
        <w:rPr>
          <w:sz w:val="22"/>
          <w:szCs w:val="22"/>
        </w:rPr>
      </w:pPr>
      <w:r w:rsidDel="00000000" w:rsidR="00000000" w:rsidRPr="00000000">
        <w:rPr>
          <w:rtl w:val="0"/>
        </w:rPr>
        <w:t xml:space="preserve">Enterprise platforms supporting agent deployment and integration</w:t>
      </w:r>
    </w:p>
    <w:p w:rsidR="00000000" w:rsidDel="00000000" w:rsidP="00000000" w:rsidRDefault="00000000" w:rsidRPr="00000000" w14:paraId="0000005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fwvchu57hi0w" w:id="8"/>
      <w:bookmarkEnd w:id="8"/>
      <w:r w:rsidDel="00000000" w:rsidR="00000000" w:rsidRPr="00000000">
        <w:rPr>
          <w:color w:val="000000"/>
          <w:sz w:val="32"/>
          <w:szCs w:val="32"/>
          <w:rtl w:val="0"/>
        </w:rPr>
        <w:t xml:space="preserve">1.3 Market Exclusions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The analysis excludes:</w:t>
      </w:r>
    </w:p>
    <w:p w:rsidR="00000000" w:rsidDel="00000000" w:rsidP="00000000" w:rsidRDefault="00000000" w:rsidRPr="00000000" w14:paraId="0000005D">
      <w:pPr>
        <w:numPr>
          <w:ilvl w:val="0"/>
          <w:numId w:val="2"/>
        </w:numPr>
        <w:spacing w:after="0" w:afterAutospacing="0" w:before="240" w:lineRule="auto"/>
        <w:ind w:left="720" w:hanging="360"/>
        <w:jc w:val="both"/>
        <w:rPr>
          <w:sz w:val="22"/>
          <w:szCs w:val="22"/>
        </w:rPr>
      </w:pPr>
      <w:r w:rsidDel="00000000" w:rsidR="00000000" w:rsidRPr="00000000">
        <w:rPr>
          <w:rtl w:val="0"/>
        </w:rPr>
        <w:t xml:space="preserve">General-purpose AI model revenue not specifically attributable to agentic AI</w:t>
      </w:r>
    </w:p>
    <w:p w:rsidR="00000000" w:rsidDel="00000000" w:rsidP="00000000" w:rsidRDefault="00000000" w:rsidRPr="00000000" w14:paraId="0000005E">
      <w:pPr>
        <w:numPr>
          <w:ilvl w:val="0"/>
          <w:numId w:val="2"/>
        </w:numPr>
        <w:spacing w:after="0" w:afterAutospacing="0" w:before="0" w:beforeAutospacing="0" w:lineRule="auto"/>
        <w:ind w:left="720" w:hanging="360"/>
        <w:jc w:val="both"/>
        <w:rPr>
          <w:sz w:val="22"/>
          <w:szCs w:val="22"/>
        </w:rPr>
      </w:pPr>
      <w:r w:rsidDel="00000000" w:rsidR="00000000" w:rsidRPr="00000000">
        <w:rPr>
          <w:rtl w:val="0"/>
        </w:rPr>
        <w:t xml:space="preserve">Standalone GPU hardware and cloud infrastructure revenue</w:t>
      </w:r>
    </w:p>
    <w:p w:rsidR="00000000" w:rsidDel="00000000" w:rsidP="00000000" w:rsidRDefault="00000000" w:rsidRPr="00000000" w14:paraId="0000005F">
      <w:pPr>
        <w:numPr>
          <w:ilvl w:val="0"/>
          <w:numId w:val="2"/>
        </w:numPr>
        <w:spacing w:after="0" w:afterAutospacing="0" w:before="0" w:beforeAutospacing="0" w:lineRule="auto"/>
        <w:ind w:left="720" w:hanging="360"/>
        <w:jc w:val="both"/>
        <w:rPr>
          <w:sz w:val="22"/>
          <w:szCs w:val="22"/>
        </w:rPr>
      </w:pPr>
      <w:r w:rsidDel="00000000" w:rsidR="00000000" w:rsidRPr="00000000">
        <w:rPr>
          <w:rtl w:val="0"/>
        </w:rPr>
        <w:t xml:space="preserve">Traditional robotic process automation without agentic capabilities</w:t>
      </w:r>
    </w:p>
    <w:p w:rsidR="00000000" w:rsidDel="00000000" w:rsidP="00000000" w:rsidRDefault="00000000" w:rsidRPr="00000000" w14:paraId="00000060">
      <w:pPr>
        <w:numPr>
          <w:ilvl w:val="0"/>
          <w:numId w:val="2"/>
        </w:numPr>
        <w:spacing w:after="0" w:afterAutospacing="0" w:before="0" w:beforeAutospacing="0" w:lineRule="auto"/>
        <w:ind w:left="720" w:hanging="360"/>
        <w:jc w:val="both"/>
        <w:rPr>
          <w:sz w:val="22"/>
          <w:szCs w:val="22"/>
        </w:rPr>
      </w:pPr>
      <w:r w:rsidDel="00000000" w:rsidR="00000000" w:rsidRPr="00000000">
        <w:rPr>
          <w:rtl w:val="0"/>
        </w:rPr>
        <w:t xml:space="preserve">Consumer-only AI assistants</w:t>
      </w:r>
    </w:p>
    <w:p w:rsidR="00000000" w:rsidDel="00000000" w:rsidP="00000000" w:rsidRDefault="00000000" w:rsidRPr="00000000" w14:paraId="00000061">
      <w:pPr>
        <w:numPr>
          <w:ilvl w:val="0"/>
          <w:numId w:val="2"/>
        </w:numPr>
        <w:spacing w:after="240" w:before="0" w:beforeAutospacing="0" w:lineRule="auto"/>
        <w:ind w:left="720" w:hanging="360"/>
        <w:jc w:val="both"/>
        <w:rPr>
          <w:sz w:val="22"/>
          <w:szCs w:val="22"/>
        </w:rPr>
      </w:pPr>
      <w:r w:rsidDel="00000000" w:rsidR="00000000" w:rsidRPr="00000000">
        <w:rPr>
          <w:rtl w:val="0"/>
        </w:rPr>
        <w:t xml:space="preserve">Consulting and implementation services unless separately measured</w:t>
      </w:r>
    </w:p>
    <w:p w:rsidR="00000000" w:rsidDel="00000000" w:rsidP="00000000" w:rsidRDefault="00000000" w:rsidRPr="00000000" w14:paraId="0000006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l6ck7hmb5c13" w:id="9"/>
      <w:bookmarkEnd w:id="9"/>
      <w:r w:rsidDel="00000000" w:rsidR="00000000" w:rsidRPr="00000000">
        <w:rPr>
          <w:color w:val="000000"/>
          <w:sz w:val="32"/>
          <w:szCs w:val="32"/>
          <w:rtl w:val="0"/>
        </w:rPr>
        <w:t xml:space="preserve">1.4 Geographic and Time Scope</w:t>
      </w:r>
    </w:p>
    <w:p w:rsidR="00000000" w:rsidDel="00000000" w:rsidP="00000000" w:rsidRDefault="00000000" w:rsidRPr="00000000" w14:paraId="00000063">
      <w:pPr>
        <w:spacing w:after="240" w:before="240" w:lineRule="auto"/>
        <w:jc w:val="both"/>
        <w:rPr/>
      </w:pPr>
      <w:r w:rsidDel="00000000" w:rsidR="00000000" w:rsidRPr="00000000">
        <w:rPr>
          <w:b w:val="1"/>
          <w:bCs w:val="1"/>
          <w:rtl w:val="0"/>
        </w:rPr>
        <w:t xml:space="preserve">Geography:</w:t>
      </w:r>
      <w:r w:rsidDel="00000000" w:rsidR="00000000" w:rsidRPr="00000000">
        <w:rPr>
          <w:rtl w:val="0"/>
        </w:rPr>
        <w:t xml:space="preserve"> Global</w:t>
      </w:r>
    </w:p>
    <w:p w:rsidR="00000000" w:rsidDel="00000000" w:rsidP="00000000" w:rsidRDefault="00000000" w:rsidRPr="00000000" w14:paraId="00000064">
      <w:pPr>
        <w:spacing w:after="240" w:before="240" w:lineRule="auto"/>
        <w:jc w:val="both"/>
        <w:rPr/>
      </w:pPr>
      <w:r w:rsidDel="00000000" w:rsidR="00000000" w:rsidRPr="00000000">
        <w:rPr>
          <w:b w:val="1"/>
          <w:bCs w:val="1"/>
          <w:rtl w:val="0"/>
        </w:rPr>
        <w:t xml:space="preserve">Base year:</w:t>
      </w:r>
      <w:r w:rsidDel="00000000" w:rsidR="00000000" w:rsidRPr="00000000">
        <w:rPr>
          <w:rtl w:val="0"/>
        </w:rPr>
        <w:t xml:space="preserve"> 2025</w:t>
      </w:r>
    </w:p>
    <w:p w:rsidR="00000000" w:rsidDel="00000000" w:rsidP="00000000" w:rsidRDefault="00000000" w:rsidRPr="00000000" w14:paraId="00000065">
      <w:pPr>
        <w:spacing w:after="240" w:before="240" w:lineRule="auto"/>
        <w:jc w:val="both"/>
        <w:rPr/>
      </w:pPr>
      <w:r w:rsidDel="00000000" w:rsidR="00000000" w:rsidRPr="00000000">
        <w:rPr>
          <w:b w:val="1"/>
          <w:bCs w:val="1"/>
          <w:rtl w:val="0"/>
        </w:rPr>
        <w:t xml:space="preserve">Forecast period:</w:t>
      </w:r>
      <w:r w:rsidDel="00000000" w:rsidR="00000000" w:rsidRPr="00000000">
        <w:rPr>
          <w:rtl w:val="0"/>
        </w:rPr>
        <w:t xml:space="preserve"> 2026–2030</w:t>
      </w:r>
    </w:p>
    <w:p w:rsidR="00000000" w:rsidDel="00000000" w:rsidP="00000000" w:rsidRDefault="00000000" w:rsidRPr="00000000" w14:paraId="00000066">
      <w:pPr>
        <w:spacing w:after="240" w:before="240" w:lineRule="auto"/>
        <w:jc w:val="both"/>
        <w:rPr/>
      </w:pPr>
      <w:r w:rsidDel="00000000" w:rsidR="00000000" w:rsidRPr="00000000">
        <w:rPr>
          <w:b w:val="1"/>
          <w:bCs w:val="1"/>
          <w:rtl w:val="0"/>
        </w:rPr>
        <w:t xml:space="preserve">Currency:</w:t>
      </w:r>
      <w:r w:rsidDel="00000000" w:rsidR="00000000" w:rsidRPr="00000000">
        <w:rPr>
          <w:rtl w:val="0"/>
        </w:rPr>
        <w:t xml:space="preserve"> USD, with units specified in each table or chart.</w:t>
      </w:r>
    </w:p>
    <w:p w:rsidR="00000000" w:rsidDel="00000000" w:rsidP="00000000" w:rsidRDefault="00000000" w:rsidRPr="00000000" w14:paraId="00000067">
      <w:pPr>
        <w:pStyle w:val="Heading3"/>
        <w:keepNext w:val="0"/>
        <w:keepLines w:val="0"/>
        <w:spacing w:before="280" w:lineRule="auto"/>
        <w:jc w:val="both"/>
        <w:rPr>
          <w:b w:val="1"/>
          <w:bCs w:val="1"/>
          <w:color w:val="000000"/>
          <w:sz w:val="22"/>
          <w:szCs w:val="22"/>
        </w:rPr>
      </w:pPr>
      <w:bookmarkStart w:colFirst="0" w:colLast="0" w:name="_2w9zhabutk3h" w:id="10"/>
      <w:bookmarkEnd w:id="10"/>
      <w:r w:rsidDel="00000000" w:rsidR="00000000" w:rsidRPr="00000000">
        <w:rPr>
          <w:color w:val="000000"/>
          <w:sz w:val="32"/>
          <w:szCs w:val="32"/>
          <w:rtl w:val="0"/>
        </w:rPr>
        <w:t xml:space="preserve">1.5 Research Questions</w:t>
      </w:r>
      <w:r w:rsidDel="00000000" w:rsidR="00000000" w:rsidRPr="00000000">
        <w:rPr>
          <w:rtl w:val="0"/>
        </w:rPr>
      </w:r>
    </w:p>
    <w:p w:rsidR="00000000" w:rsidDel="00000000" w:rsidP="00000000" w:rsidRDefault="00000000" w:rsidRPr="00000000" w14:paraId="00000068">
      <w:pPr>
        <w:numPr>
          <w:ilvl w:val="0"/>
          <w:numId w:val="8"/>
        </w:numPr>
        <w:spacing w:after="0" w:afterAutospacing="0" w:before="240" w:lineRule="auto"/>
        <w:ind w:left="720" w:hanging="360"/>
        <w:jc w:val="both"/>
        <w:rPr>
          <w:sz w:val="22"/>
          <w:szCs w:val="22"/>
        </w:rPr>
      </w:pPr>
      <w:r w:rsidDel="00000000" w:rsidR="00000000" w:rsidRPr="00000000">
        <w:rPr>
          <w:rtl w:val="0"/>
        </w:rPr>
        <w:t xml:space="preserve">What do published estimates indicate about the potential size and growth of the enterprise agentic AI market?</w:t>
      </w:r>
    </w:p>
    <w:p w:rsidR="00000000" w:rsidDel="00000000" w:rsidP="00000000" w:rsidRDefault="00000000" w:rsidRPr="00000000" w14:paraId="00000069">
      <w:pPr>
        <w:numPr>
          <w:ilvl w:val="0"/>
          <w:numId w:val="8"/>
        </w:numPr>
        <w:spacing w:after="0" w:afterAutospacing="0" w:before="0" w:beforeAutospacing="0" w:lineRule="auto"/>
        <w:ind w:left="720" w:hanging="360"/>
        <w:jc w:val="both"/>
        <w:rPr>
          <w:sz w:val="22"/>
          <w:szCs w:val="22"/>
        </w:rPr>
      </w:pPr>
      <w:r w:rsidDel="00000000" w:rsidR="00000000" w:rsidRPr="00000000">
        <w:rPr>
          <w:rtl w:val="0"/>
        </w:rPr>
        <w:t xml:space="preserve">Which major vendors are developing enterprise agent platforms, and how are their offerings positioned?</w:t>
      </w:r>
    </w:p>
    <w:p w:rsidR="00000000" w:rsidDel="00000000" w:rsidP="00000000" w:rsidRDefault="00000000" w:rsidRPr="00000000" w14:paraId="0000006A">
      <w:pPr>
        <w:numPr>
          <w:ilvl w:val="0"/>
          <w:numId w:val="8"/>
        </w:numPr>
        <w:spacing w:after="0" w:afterAutospacing="0" w:before="0" w:beforeAutospacing="0" w:lineRule="auto"/>
        <w:ind w:left="720" w:hanging="360"/>
        <w:jc w:val="both"/>
        <w:rPr>
          <w:sz w:val="22"/>
          <w:szCs w:val="22"/>
        </w:rPr>
      </w:pPr>
      <w:r w:rsidDel="00000000" w:rsidR="00000000" w:rsidRPr="00000000">
        <w:rPr>
          <w:rtl w:val="0"/>
        </w:rPr>
        <w:t xml:space="preserve">Which enterprise functions may offer attractive opportunities for agent deployment?</w:t>
      </w:r>
    </w:p>
    <w:p w:rsidR="00000000" w:rsidDel="00000000" w:rsidP="00000000" w:rsidRDefault="00000000" w:rsidRPr="00000000" w14:paraId="0000006B">
      <w:pPr>
        <w:numPr>
          <w:ilvl w:val="0"/>
          <w:numId w:val="8"/>
        </w:numPr>
        <w:spacing w:after="240" w:before="0" w:beforeAutospacing="0" w:lineRule="auto"/>
        <w:ind w:left="720" w:hanging="360"/>
        <w:jc w:val="both"/>
        <w:rPr>
          <w:sz w:val="22"/>
          <w:szCs w:val="22"/>
        </w:rPr>
      </w:pPr>
      <w:r w:rsidDel="00000000" w:rsidR="00000000" w:rsidRPr="00000000">
        <w:rPr>
          <w:rtl w:val="0"/>
        </w:rPr>
        <w:t xml:space="preserve">What adoption barriers, governance requirements, and commercial uncertainties could affect market development?</w:t>
      </w:r>
    </w:p>
    <w:p w:rsidR="00000000" w:rsidDel="00000000" w:rsidP="00000000" w:rsidRDefault="00000000" w:rsidRPr="00000000" w14:paraId="0000006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r82ytaps2f99" w:id="11"/>
      <w:bookmarkEnd w:id="11"/>
      <w:r w:rsidDel="00000000" w:rsidR="00000000" w:rsidRPr="00000000">
        <w:rPr>
          <w:color w:val="000000"/>
          <w:sz w:val="32"/>
          <w:szCs w:val="32"/>
          <w:rtl w:val="0"/>
        </w:rPr>
        <w:t xml:space="preserve">1.6 Scope Limitations</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The market definition is an analytical framework for this project, not a universally accepted industry standard. Published estimates should only be compared after examining their product coverage, revenue definitions, forecast periods, and methodologies.</w:t>
      </w:r>
    </w:p>
    <w:p w:rsidR="00000000" w:rsidDel="00000000" w:rsidP="00000000" w:rsidRDefault="00000000" w:rsidRPr="00000000" w14:paraId="0000006E">
      <w:pPr>
        <w:spacing w:after="240" w:before="240" w:lineRule="auto"/>
        <w:jc w:val="both"/>
        <w:rPr/>
      </w:pP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spacing w:after="240" w:before="240" w:lineRule="auto"/>
        <w:jc w:val="both"/>
        <w:rPr/>
      </w:pP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tl w:val="0"/>
        </w:rPr>
      </w:r>
    </w:p>
    <w:p w:rsidR="00000000" w:rsidDel="00000000" w:rsidP="00000000" w:rsidRDefault="00000000" w:rsidRPr="00000000" w14:paraId="00000073">
      <w:pPr>
        <w:spacing w:after="240" w:before="240" w:lineRule="auto"/>
        <w:jc w:val="both"/>
        <w:rPr/>
      </w:pP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tl w:val="0"/>
        </w:rPr>
      </w:r>
    </w:p>
    <w:p w:rsidR="00000000" w:rsidDel="00000000" w:rsidP="00000000" w:rsidRDefault="00000000" w:rsidRPr="00000000" w14:paraId="00000075">
      <w:pPr>
        <w:spacing w:after="240" w:before="240" w:lineRule="auto"/>
        <w:jc w:val="both"/>
        <w:rPr/>
      </w:pPr>
      <w:r w:rsidDel="00000000" w:rsidR="00000000" w:rsidRPr="00000000">
        <w:rPr>
          <w:rtl w:val="0"/>
        </w:rPr>
      </w:r>
    </w:p>
    <w:p w:rsidR="00000000" w:rsidDel="00000000" w:rsidP="00000000" w:rsidRDefault="00000000" w:rsidRPr="00000000" w14:paraId="00000076">
      <w:pPr>
        <w:spacing w:after="240" w:before="240" w:lineRule="auto"/>
        <w:jc w:val="both"/>
        <w:rPr/>
      </w:pPr>
      <w:r w:rsidDel="00000000" w:rsidR="00000000" w:rsidRPr="00000000">
        <w:rPr>
          <w:rtl w:val="0"/>
        </w:rPr>
      </w:r>
    </w:p>
    <w:p w:rsidR="00000000" w:rsidDel="00000000" w:rsidP="00000000" w:rsidRDefault="00000000" w:rsidRPr="00000000" w14:paraId="00000077">
      <w:pPr>
        <w:spacing w:after="240" w:before="240" w:lineRule="auto"/>
        <w:jc w:val="both"/>
        <w:rPr/>
      </w:pP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r>
    </w:p>
    <w:p w:rsidR="00000000" w:rsidDel="00000000" w:rsidP="00000000" w:rsidRDefault="00000000" w:rsidRPr="00000000" w14:paraId="00000079">
      <w:pPr>
        <w:spacing w:after="240" w:before="240" w:lineRule="auto"/>
        <w:jc w:val="both"/>
        <w:rPr/>
      </w:pPr>
      <w:r w:rsidDel="00000000" w:rsidR="00000000" w:rsidRPr="00000000">
        <w:rPr>
          <w:rtl w:val="0"/>
        </w:rPr>
      </w:r>
    </w:p>
    <w:p w:rsidR="00000000" w:rsidDel="00000000" w:rsidP="00000000" w:rsidRDefault="00000000" w:rsidRPr="00000000" w14:paraId="0000007A">
      <w:pPr>
        <w:spacing w:after="240" w:before="240" w:lineRule="auto"/>
        <w:jc w:val="both"/>
        <w:rPr/>
      </w:pPr>
      <w:r w:rsidDel="00000000" w:rsidR="00000000" w:rsidRPr="00000000">
        <w:rPr>
          <w:rtl w:val="0"/>
        </w:rPr>
      </w:r>
    </w:p>
    <w:p w:rsidR="00000000" w:rsidDel="00000000" w:rsidP="00000000" w:rsidRDefault="00000000" w:rsidRPr="00000000" w14:paraId="0000007B">
      <w:pPr>
        <w:spacing w:after="240" w:before="240" w:lineRule="auto"/>
        <w:jc w:val="both"/>
        <w:rPr/>
      </w:pPr>
      <w:r w:rsidDel="00000000" w:rsidR="00000000" w:rsidRPr="00000000">
        <w:rPr>
          <w:rtl w:val="0"/>
        </w:rPr>
      </w:r>
    </w:p>
    <w:p w:rsidR="00000000" w:rsidDel="00000000" w:rsidP="00000000" w:rsidRDefault="00000000" w:rsidRPr="00000000" w14:paraId="0000007C">
      <w:pPr>
        <w:spacing w:after="240" w:before="240" w:lineRule="auto"/>
        <w:jc w:val="both"/>
        <w:rPr/>
      </w:pPr>
      <w:r w:rsidDel="00000000" w:rsidR="00000000" w:rsidRPr="00000000">
        <w:rPr>
          <w:rtl w:val="0"/>
        </w:rPr>
      </w:r>
    </w:p>
    <w:p w:rsidR="00000000" w:rsidDel="00000000" w:rsidP="00000000" w:rsidRDefault="00000000" w:rsidRPr="00000000" w14:paraId="0000007D">
      <w:pPr>
        <w:spacing w:after="240" w:before="240" w:lineRule="auto"/>
        <w:jc w:val="both"/>
        <w:rPr/>
      </w:pPr>
      <w:r w:rsidDel="00000000" w:rsidR="00000000" w:rsidRPr="00000000">
        <w:rPr>
          <w:rtl w:val="0"/>
        </w:rPr>
      </w:r>
    </w:p>
    <w:p w:rsidR="00000000" w:rsidDel="00000000" w:rsidP="00000000" w:rsidRDefault="00000000" w:rsidRPr="00000000" w14:paraId="0000007E">
      <w:pPr>
        <w:spacing w:after="240" w:before="240" w:lineRule="auto"/>
        <w:jc w:val="both"/>
        <w:rPr/>
      </w:pPr>
      <w:r w:rsidDel="00000000" w:rsidR="00000000" w:rsidRPr="00000000">
        <w:rPr>
          <w:rtl w:val="0"/>
        </w:rPr>
      </w:r>
    </w:p>
    <w:p w:rsidR="00000000" w:rsidDel="00000000" w:rsidP="00000000" w:rsidRDefault="00000000" w:rsidRPr="00000000" w14:paraId="0000007F">
      <w:pPr>
        <w:spacing w:after="240" w:before="240" w:lineRule="auto"/>
        <w:jc w:val="both"/>
        <w:rPr/>
      </w:pPr>
      <w:r w:rsidDel="00000000" w:rsidR="00000000" w:rsidRPr="00000000">
        <w:rPr>
          <w:rtl w:val="0"/>
        </w:rPr>
      </w:r>
    </w:p>
    <w:p w:rsidR="00000000" w:rsidDel="00000000" w:rsidP="00000000" w:rsidRDefault="00000000" w:rsidRPr="00000000" w14:paraId="00000080">
      <w:pPr>
        <w:spacing w:after="240" w:before="240" w:lineRule="auto"/>
        <w:jc w:val="both"/>
        <w:rPr/>
      </w:pPr>
      <w:r w:rsidDel="00000000" w:rsidR="00000000" w:rsidRPr="00000000">
        <w:rPr>
          <w:rtl w:val="0"/>
        </w:rPr>
      </w:r>
    </w:p>
    <w:p w:rsidR="00000000" w:rsidDel="00000000" w:rsidP="00000000" w:rsidRDefault="00000000" w:rsidRPr="00000000" w14:paraId="00000081">
      <w:pPr>
        <w:spacing w:after="240" w:before="240" w:lineRule="auto"/>
        <w:jc w:val="both"/>
        <w:rPr/>
      </w:pPr>
      <w:r w:rsidDel="00000000" w:rsidR="00000000" w:rsidRPr="00000000">
        <w:rPr>
          <w:rtl w:val="0"/>
        </w:rPr>
      </w:r>
    </w:p>
    <w:p w:rsidR="00000000" w:rsidDel="00000000" w:rsidP="00000000" w:rsidRDefault="00000000" w:rsidRPr="00000000" w14:paraId="00000082">
      <w:pPr>
        <w:spacing w:after="240" w:before="240" w:lineRule="auto"/>
        <w:jc w:val="both"/>
        <w:rPr/>
      </w:pPr>
      <w:r w:rsidDel="00000000" w:rsidR="00000000" w:rsidRPr="00000000">
        <w:rPr>
          <w:rtl w:val="0"/>
        </w:rPr>
      </w:r>
    </w:p>
    <w:p w:rsidR="00000000" w:rsidDel="00000000" w:rsidP="00000000" w:rsidRDefault="00000000" w:rsidRPr="00000000" w14:paraId="00000083">
      <w:pPr>
        <w:spacing w:after="240" w:before="240" w:lineRule="auto"/>
        <w:jc w:val="both"/>
        <w:rPr/>
      </w:pPr>
      <w:r w:rsidDel="00000000" w:rsidR="00000000" w:rsidRPr="00000000">
        <w:rPr>
          <w:rtl w:val="0"/>
        </w:rPr>
      </w:r>
    </w:p>
    <w:p w:rsidR="00000000" w:rsidDel="00000000" w:rsidP="00000000" w:rsidRDefault="00000000" w:rsidRPr="00000000" w14:paraId="00000084">
      <w:pPr>
        <w:pStyle w:val="Heading1"/>
        <w:keepNext w:val="0"/>
        <w:keepLines w:val="0"/>
        <w:spacing w:after="80" w:lineRule="auto"/>
        <w:jc w:val="both"/>
        <w:rPr/>
      </w:pPr>
      <w:bookmarkStart w:colFirst="0" w:colLast="0" w:name="_ik9cb6jx3z18" w:id="12"/>
      <w:bookmarkEnd w:id="12"/>
      <w:r w:rsidDel="00000000" w:rsidR="00000000" w:rsidRPr="00000000">
        <w:rPr>
          <w:rtl w:val="0"/>
        </w:rPr>
        <w:t xml:space="preserve">2. Research Methodology</w:t>
      </w:r>
    </w:p>
    <w:p w:rsidR="00000000" w:rsidDel="00000000" w:rsidP="00000000" w:rsidRDefault="00000000" w:rsidRPr="00000000" w14:paraId="0000008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5ne7lva18ist" w:id="13"/>
      <w:bookmarkEnd w:id="13"/>
      <w:r w:rsidDel="00000000" w:rsidR="00000000" w:rsidRPr="00000000">
        <w:rPr>
          <w:color w:val="000000"/>
          <w:sz w:val="32"/>
          <w:szCs w:val="32"/>
          <w:rtl w:val="0"/>
        </w:rPr>
        <w:t xml:space="preserve">2.1 Research Design</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This study uses secondary research to examine enterprise agentic AI market development, vendor positioning, enterprise use cases, and potential growth through 2030.</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The research combines three approaches:</w:t>
      </w:r>
    </w:p>
    <w:p w:rsidR="00000000" w:rsidDel="00000000" w:rsidP="00000000" w:rsidRDefault="00000000" w:rsidRPr="00000000" w14:paraId="00000088">
      <w:pPr>
        <w:numPr>
          <w:ilvl w:val="0"/>
          <w:numId w:val="3"/>
        </w:numPr>
        <w:spacing w:after="0" w:afterAutospacing="0" w:before="240" w:lineRule="auto"/>
        <w:ind w:left="720" w:hanging="360"/>
        <w:jc w:val="both"/>
        <w:rPr>
          <w:sz w:val="22"/>
          <w:szCs w:val="22"/>
        </w:rPr>
      </w:pPr>
      <w:r w:rsidDel="00000000" w:rsidR="00000000" w:rsidRPr="00000000">
        <w:rPr>
          <w:b w:val="1"/>
          <w:bCs w:val="1"/>
          <w:rtl w:val="0"/>
        </w:rPr>
        <w:t xml:space="preserve">Market benchmark analysis:</w:t>
      </w:r>
      <w:r w:rsidDel="00000000" w:rsidR="00000000" w:rsidRPr="00000000">
        <w:rPr>
          <w:rtl w:val="0"/>
        </w:rPr>
        <w:t xml:space="preserve"> Review published market estimates and forecasts from industry research providers.</w:t>
      </w:r>
    </w:p>
    <w:p w:rsidR="00000000" w:rsidDel="00000000" w:rsidP="00000000" w:rsidRDefault="00000000" w:rsidRPr="00000000" w14:paraId="00000089">
      <w:pPr>
        <w:numPr>
          <w:ilvl w:val="0"/>
          <w:numId w:val="3"/>
        </w:numPr>
        <w:spacing w:after="0" w:afterAutospacing="0" w:before="0" w:beforeAutospacing="0" w:lineRule="auto"/>
        <w:ind w:left="720" w:hanging="360"/>
        <w:jc w:val="both"/>
        <w:rPr>
          <w:sz w:val="22"/>
          <w:szCs w:val="22"/>
        </w:rPr>
      </w:pPr>
      <w:r w:rsidDel="00000000" w:rsidR="00000000" w:rsidRPr="00000000">
        <w:rPr>
          <w:b w:val="1"/>
          <w:bCs w:val="1"/>
          <w:rtl w:val="0"/>
        </w:rPr>
        <w:t xml:space="preserve">Competitive intelligence:</w:t>
      </w:r>
      <w:r w:rsidDel="00000000" w:rsidR="00000000" w:rsidRPr="00000000">
        <w:rPr>
          <w:rtl w:val="0"/>
        </w:rPr>
        <w:t xml:space="preserve"> Compare the publicly documented products, target users, pricing approaches, and strategic positioning of major vendors.</w:t>
      </w:r>
    </w:p>
    <w:p w:rsidR="00000000" w:rsidDel="00000000" w:rsidP="00000000" w:rsidRDefault="00000000" w:rsidRPr="00000000" w14:paraId="0000008A">
      <w:pPr>
        <w:numPr>
          <w:ilvl w:val="0"/>
          <w:numId w:val="3"/>
        </w:numPr>
        <w:spacing w:after="240" w:before="0" w:beforeAutospacing="0" w:lineRule="auto"/>
        <w:ind w:left="720" w:hanging="360"/>
        <w:jc w:val="both"/>
        <w:rPr>
          <w:sz w:val="22"/>
          <w:szCs w:val="22"/>
        </w:rPr>
      </w:pPr>
      <w:r w:rsidDel="00000000" w:rsidR="00000000" w:rsidRPr="00000000">
        <w:rPr>
          <w:b w:val="1"/>
          <w:bCs w:val="1"/>
          <w:rtl w:val="0"/>
        </w:rPr>
        <w:t xml:space="preserve">Use-case assessment:</w:t>
      </w:r>
      <w:r w:rsidDel="00000000" w:rsidR="00000000" w:rsidRPr="00000000">
        <w:rPr>
          <w:rtl w:val="0"/>
        </w:rPr>
        <w:t xml:space="preserve"> Evaluate selected enterprise applications using preliminary business-impact and implementation-feasibility scores.</w:t>
      </w:r>
    </w:p>
    <w:p w:rsidR="00000000" w:rsidDel="00000000" w:rsidP="00000000" w:rsidRDefault="00000000" w:rsidRPr="00000000" w14:paraId="0000008B">
      <w:pPr>
        <w:spacing w:after="240" w:before="240" w:lineRule="auto"/>
        <w:jc w:val="both"/>
        <w:rPr/>
      </w:pPr>
      <w:r w:rsidDel="00000000" w:rsidR="00000000" w:rsidRPr="00000000">
        <w:rPr>
          <w:rtl w:val="0"/>
        </w:rPr>
      </w:r>
    </w:p>
    <w:tbl>
      <w:tblPr>
        <w:tblStyle w:val="Table1"/>
        <w:tblpPr w:leftFromText="180" w:rightFromText="180" w:topFromText="180" w:bottomFromText="180" w:vertAnchor="margin" w:horzAnchor="margin" w:tblpX="0" w:tblpY="4890.44677734375"/>
        <w:tblW w:w="92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90"/>
        <w:gridCol w:w="6515"/>
        <w:tblGridChange w:id="0">
          <w:tblGrid>
            <w:gridCol w:w="2690"/>
            <w:gridCol w:w="6515"/>
          </w:tblGrid>
        </w:tblGridChange>
      </w:tblGrid>
      <w:tr>
        <w:trPr>
          <w:cantSplit w:val="0"/>
          <w:trHeight w:val="500" w:hRule="atLeast"/>
          <w:tblHeader w:val="0"/>
        </w:trPr>
        <w:tc>
          <w:tcPr/>
          <w:p w:rsidR="00000000" w:rsidDel="00000000" w:rsidP="00000000" w:rsidRDefault="00000000" w:rsidRPr="00000000" w14:paraId="0000008C">
            <w:pPr>
              <w:jc w:val="both"/>
              <w:rPr/>
            </w:pPr>
            <w:r w:rsidDel="00000000" w:rsidR="00000000" w:rsidRPr="00000000">
              <w:rPr>
                <w:b w:val="1"/>
                <w:bCs w:val="1"/>
                <w:rtl w:val="0"/>
              </w:rPr>
              <w:t xml:space="preserve">Evidence required</w:t>
            </w:r>
            <w:r w:rsidDel="00000000" w:rsidR="00000000" w:rsidRPr="00000000">
              <w:rPr>
                <w:rtl w:val="0"/>
              </w:rPr>
            </w:r>
          </w:p>
        </w:tc>
        <w:tc>
          <w:tcPr/>
          <w:p w:rsidR="00000000" w:rsidDel="00000000" w:rsidP="00000000" w:rsidRDefault="00000000" w:rsidRPr="00000000" w14:paraId="0000008D">
            <w:pPr>
              <w:jc w:val="both"/>
              <w:rPr/>
            </w:pPr>
            <w:r w:rsidDel="00000000" w:rsidR="00000000" w:rsidRPr="00000000">
              <w:rPr>
                <w:b w:val="1"/>
                <w:bCs w:val="1"/>
                <w:rtl w:val="0"/>
              </w:rPr>
              <w:t xml:space="preserve">Preferred source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E">
            <w:pPr>
              <w:jc w:val="both"/>
              <w:rPr/>
            </w:pPr>
            <w:r w:rsidDel="00000000" w:rsidR="00000000" w:rsidRPr="00000000">
              <w:rPr>
                <w:rtl w:val="0"/>
              </w:rPr>
              <w:t xml:space="preserve">Product capabilities</w:t>
            </w:r>
          </w:p>
        </w:tc>
        <w:tc>
          <w:tcPr/>
          <w:p w:rsidR="00000000" w:rsidDel="00000000" w:rsidP="00000000" w:rsidRDefault="00000000" w:rsidRPr="00000000" w14:paraId="0000008F">
            <w:pPr>
              <w:jc w:val="both"/>
              <w:rPr/>
            </w:pPr>
            <w:r w:rsidDel="00000000" w:rsidR="00000000" w:rsidRPr="00000000">
              <w:rPr>
                <w:rtl w:val="0"/>
              </w:rPr>
              <w:t xml:space="preserve">Official vendor documentation</w:t>
            </w:r>
          </w:p>
        </w:tc>
      </w:tr>
      <w:tr>
        <w:trPr>
          <w:cantSplit w:val="0"/>
          <w:trHeight w:val="770" w:hRule="atLeast"/>
          <w:tblHeader w:val="0"/>
        </w:trPr>
        <w:tc>
          <w:tcPr/>
          <w:p w:rsidR="00000000" w:rsidDel="00000000" w:rsidP="00000000" w:rsidRDefault="00000000" w:rsidRPr="00000000" w14:paraId="00000090">
            <w:pPr>
              <w:jc w:val="both"/>
              <w:rPr/>
            </w:pPr>
            <w:r w:rsidDel="00000000" w:rsidR="00000000" w:rsidRPr="00000000">
              <w:rPr>
                <w:rtl w:val="0"/>
              </w:rPr>
              <w:t xml:space="preserve">Pricing and commercial models</w:t>
            </w:r>
          </w:p>
        </w:tc>
        <w:tc>
          <w:tcPr/>
          <w:p w:rsidR="00000000" w:rsidDel="00000000" w:rsidP="00000000" w:rsidRDefault="00000000" w:rsidRPr="00000000" w14:paraId="00000091">
            <w:pPr>
              <w:jc w:val="both"/>
              <w:rPr/>
            </w:pPr>
            <w:r w:rsidDel="00000000" w:rsidR="00000000" w:rsidRPr="00000000">
              <w:rPr>
                <w:rtl w:val="0"/>
              </w:rPr>
              <w:t xml:space="preserve">Official pricing pages and vendor documentation</w:t>
            </w:r>
          </w:p>
        </w:tc>
      </w:tr>
      <w:tr>
        <w:trPr>
          <w:cantSplit w:val="0"/>
          <w:trHeight w:val="500" w:hRule="atLeast"/>
          <w:tblHeader w:val="0"/>
        </w:trPr>
        <w:tc>
          <w:tcPr/>
          <w:p w:rsidR="00000000" w:rsidDel="00000000" w:rsidP="00000000" w:rsidRDefault="00000000" w:rsidRPr="00000000" w14:paraId="00000092">
            <w:pPr>
              <w:jc w:val="both"/>
              <w:rPr/>
            </w:pPr>
            <w:r w:rsidDel="00000000" w:rsidR="00000000" w:rsidRPr="00000000">
              <w:rPr>
                <w:rtl w:val="0"/>
              </w:rPr>
              <w:t xml:space="preserve">Enterprise adoption</w:t>
            </w:r>
          </w:p>
        </w:tc>
        <w:tc>
          <w:tcPr/>
          <w:p w:rsidR="00000000" w:rsidDel="00000000" w:rsidP="00000000" w:rsidRDefault="00000000" w:rsidRPr="00000000" w14:paraId="00000093">
            <w:pPr>
              <w:jc w:val="both"/>
              <w:rPr/>
            </w:pPr>
            <w:r w:rsidDel="00000000" w:rsidR="00000000" w:rsidRPr="00000000">
              <w:rPr>
                <w:rtl w:val="0"/>
              </w:rPr>
              <w:t xml:space="preserve">Industry surveys and published company disclosures</w:t>
            </w:r>
          </w:p>
        </w:tc>
      </w:tr>
      <w:tr>
        <w:trPr>
          <w:cantSplit w:val="0"/>
          <w:trHeight w:val="500" w:hRule="atLeast"/>
          <w:tblHeader w:val="0"/>
        </w:trPr>
        <w:tc>
          <w:tcPr/>
          <w:p w:rsidR="00000000" w:rsidDel="00000000" w:rsidP="00000000" w:rsidRDefault="00000000" w:rsidRPr="00000000" w14:paraId="00000094">
            <w:pPr>
              <w:jc w:val="both"/>
              <w:rPr/>
            </w:pPr>
            <w:r w:rsidDel="00000000" w:rsidR="00000000" w:rsidRPr="00000000">
              <w:rPr>
                <w:rtl w:val="0"/>
              </w:rPr>
              <w:t xml:space="preserve">Market size and growth</w:t>
            </w:r>
          </w:p>
        </w:tc>
        <w:tc>
          <w:tcPr/>
          <w:p w:rsidR="00000000" w:rsidDel="00000000" w:rsidP="00000000" w:rsidRDefault="00000000" w:rsidRPr="00000000" w14:paraId="00000095">
            <w:pPr>
              <w:jc w:val="both"/>
              <w:rPr/>
            </w:pPr>
            <w:r w:rsidDel="00000000" w:rsidR="00000000" w:rsidRPr="00000000">
              <w:rPr>
                <w:rtl w:val="0"/>
              </w:rPr>
              <w:t xml:space="preserve">Published market forecasts, with scope limitations documented</w:t>
            </w:r>
          </w:p>
        </w:tc>
      </w:tr>
      <w:tr>
        <w:trPr>
          <w:cantSplit w:val="0"/>
          <w:trHeight w:val="770" w:hRule="atLeast"/>
          <w:tblHeader w:val="0"/>
        </w:trPr>
        <w:tc>
          <w:tcPr/>
          <w:p w:rsidR="00000000" w:rsidDel="00000000" w:rsidP="00000000" w:rsidRDefault="00000000" w:rsidRPr="00000000" w14:paraId="00000096">
            <w:pPr>
              <w:jc w:val="both"/>
              <w:rPr/>
            </w:pPr>
            <w:r w:rsidDel="00000000" w:rsidR="00000000" w:rsidRPr="00000000">
              <w:rPr>
                <w:rtl w:val="0"/>
              </w:rPr>
              <w:t xml:space="preserve">Business outcomes</w:t>
            </w:r>
          </w:p>
        </w:tc>
        <w:tc>
          <w:tcPr/>
          <w:p w:rsidR="00000000" w:rsidDel="00000000" w:rsidP="00000000" w:rsidRDefault="00000000" w:rsidRPr="00000000" w14:paraId="00000097">
            <w:pPr>
              <w:jc w:val="both"/>
              <w:rPr/>
            </w:pPr>
            <w:r w:rsidDel="00000000" w:rsidR="00000000" w:rsidRPr="00000000">
              <w:rPr>
                <w:rtl w:val="0"/>
              </w:rPr>
              <w:t xml:space="preserve">Credible customer case studies and independently reported deployment evidence</w:t>
            </w:r>
          </w:p>
        </w:tc>
      </w:tr>
    </w:tbl>
    <w:p w:rsidR="00000000" w:rsidDel="00000000" w:rsidP="00000000" w:rsidRDefault="00000000" w:rsidRPr="00000000" w14:paraId="00000098">
      <w:pPr>
        <w:spacing w:after="240" w:before="240" w:lineRule="auto"/>
        <w:jc w:val="both"/>
        <w:rPr/>
      </w:pPr>
      <w:r w:rsidDel="00000000" w:rsidR="00000000" w:rsidRPr="00000000">
        <w:rPr>
          <w:rtl w:val="0"/>
        </w:rPr>
      </w:r>
    </w:p>
    <w:p w:rsidR="00000000" w:rsidDel="00000000" w:rsidP="00000000" w:rsidRDefault="00000000" w:rsidRPr="00000000" w14:paraId="00000099">
      <w:pPr>
        <w:spacing w:after="240" w:before="240" w:lineRule="auto"/>
        <w:jc w:val="both"/>
        <w:rPr/>
      </w:pPr>
      <w:r w:rsidDel="00000000" w:rsidR="00000000" w:rsidRPr="00000000">
        <w:rPr>
          <w:rtl w:val="0"/>
        </w:rPr>
      </w:r>
    </w:p>
    <w:p w:rsidR="00000000" w:rsidDel="00000000" w:rsidP="00000000" w:rsidRDefault="00000000" w:rsidRPr="00000000" w14:paraId="0000009A">
      <w:pPr>
        <w:spacing w:after="240" w:before="240" w:lineRule="auto"/>
        <w:jc w:val="both"/>
        <w:rPr/>
      </w:pPr>
      <w:r w:rsidDel="00000000" w:rsidR="00000000" w:rsidRPr="00000000">
        <w:rPr>
          <w:rtl w:val="0"/>
        </w:rPr>
      </w:r>
    </w:p>
    <w:p w:rsidR="00000000" w:rsidDel="00000000" w:rsidP="00000000" w:rsidRDefault="00000000" w:rsidRPr="00000000" w14:paraId="0000009B">
      <w:pPr>
        <w:spacing w:after="240" w:before="240" w:lineRule="auto"/>
        <w:jc w:val="both"/>
        <w:rPr/>
      </w:pPr>
      <w:r w:rsidDel="00000000" w:rsidR="00000000" w:rsidRPr="00000000">
        <w:rPr>
          <w:rtl w:val="0"/>
        </w:rPr>
      </w:r>
    </w:p>
    <w:p w:rsidR="00000000" w:rsidDel="00000000" w:rsidP="00000000" w:rsidRDefault="00000000" w:rsidRPr="00000000" w14:paraId="0000009C">
      <w:pPr>
        <w:spacing w:after="240" w:before="240" w:lineRule="auto"/>
        <w:jc w:val="both"/>
        <w:rPr/>
      </w:pPr>
      <w:r w:rsidDel="00000000" w:rsidR="00000000" w:rsidRPr="00000000">
        <w:rPr>
          <w:rtl w:val="0"/>
        </w:rPr>
      </w:r>
    </w:p>
    <w:p w:rsidR="00000000" w:rsidDel="00000000" w:rsidP="00000000" w:rsidRDefault="00000000" w:rsidRPr="00000000" w14:paraId="0000009D">
      <w:pPr>
        <w:spacing w:after="240" w:before="240" w:lineRule="auto"/>
        <w:jc w:val="both"/>
        <w:rPr/>
      </w:pP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tl w:val="0"/>
        </w:rPr>
      </w:r>
    </w:p>
    <w:p w:rsidR="00000000" w:rsidDel="00000000" w:rsidP="00000000" w:rsidRDefault="00000000" w:rsidRPr="00000000" w14:paraId="0000009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inuthu7arnx2" w:id="14"/>
      <w:bookmarkEnd w:id="14"/>
      <w:r w:rsidDel="00000000" w:rsidR="00000000" w:rsidRPr="00000000">
        <w:rPr>
          <w:color w:val="000000"/>
          <w:sz w:val="32"/>
          <w:szCs w:val="32"/>
          <w:rtl w:val="0"/>
        </w:rPr>
        <w:t xml:space="preserve">2.2 Source Hierarchy</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Sources are selected according to the type of evidence required.Official vendor sources are useful for understanding product capabilities but may reflect the vendor's own perspective. Published market estimates are treated as external benchmarks, not automatically accepted as definitive market measurements.</w:t>
      </w:r>
    </w:p>
    <w:p w:rsidR="00000000" w:rsidDel="00000000" w:rsidP="00000000" w:rsidRDefault="00000000" w:rsidRPr="00000000" w14:paraId="000000A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8bjn7w2v6j56" w:id="15"/>
      <w:bookmarkEnd w:id="15"/>
      <w:r w:rsidDel="00000000" w:rsidR="00000000" w:rsidRPr="00000000">
        <w:rPr>
          <w:color w:val="000000"/>
          <w:sz w:val="32"/>
          <w:szCs w:val="32"/>
          <w:rtl w:val="0"/>
        </w:rPr>
        <w:t xml:space="preserve">2.3 Market-Sizing Approach</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The intended primary approach is bottom-up estimation based on enterprise demand and relevant spending evidence. However, a fully validated bottom-up estimate has not yet been completed.</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The current quantitative analysis therefore uses published market benchmarks and illustrative growth scenarios. These provide a starting point for analysis rather than a definitive independent estimate of total market revenue.</w:t>
      </w:r>
    </w:p>
    <w:p w:rsidR="00000000" w:rsidDel="00000000" w:rsidP="00000000" w:rsidRDefault="00000000" w:rsidRPr="00000000" w14:paraId="000000A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sec7msw7alux" w:id="16"/>
      <w:bookmarkEnd w:id="16"/>
      <w:r w:rsidDel="00000000" w:rsidR="00000000" w:rsidRPr="00000000">
        <w:rPr>
          <w:color w:val="000000"/>
          <w:sz w:val="32"/>
          <w:szCs w:val="32"/>
          <w:rtl w:val="0"/>
        </w:rPr>
        <w:t xml:space="preserve">2.4 Forecast Scenarios</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Three scenarios are used to illustrate uncertainty:</w:t>
      </w:r>
    </w:p>
    <w:p w:rsidR="00000000" w:rsidDel="00000000" w:rsidP="00000000" w:rsidRDefault="00000000" w:rsidRPr="00000000" w14:paraId="000000A6">
      <w:pPr>
        <w:numPr>
          <w:ilvl w:val="0"/>
          <w:numId w:val="6"/>
        </w:numPr>
        <w:spacing w:after="0" w:afterAutospacing="0" w:before="240" w:lineRule="auto"/>
        <w:ind w:left="720" w:hanging="360"/>
        <w:jc w:val="both"/>
        <w:rPr>
          <w:sz w:val="22"/>
          <w:szCs w:val="22"/>
        </w:rPr>
      </w:pPr>
      <w:r w:rsidDel="00000000" w:rsidR="00000000" w:rsidRPr="00000000">
        <w:rPr>
          <w:b w:val="1"/>
          <w:bCs w:val="1"/>
          <w:rtl w:val="0"/>
        </w:rPr>
        <w:t xml:space="preserve">Low case:</w:t>
      </w:r>
      <w:r w:rsidDel="00000000" w:rsidR="00000000" w:rsidRPr="00000000">
        <w:rPr>
          <w:rtl w:val="0"/>
        </w:rPr>
        <w:t xml:space="preserve"> 50% annual growth assumption.</w:t>
      </w:r>
    </w:p>
    <w:p w:rsidR="00000000" w:rsidDel="00000000" w:rsidP="00000000" w:rsidRDefault="00000000" w:rsidRPr="00000000" w14:paraId="000000A7">
      <w:pPr>
        <w:numPr>
          <w:ilvl w:val="0"/>
          <w:numId w:val="6"/>
        </w:numPr>
        <w:spacing w:after="0" w:afterAutospacing="0" w:before="0" w:beforeAutospacing="0" w:lineRule="auto"/>
        <w:ind w:left="720" w:hanging="360"/>
        <w:jc w:val="both"/>
        <w:rPr>
          <w:sz w:val="22"/>
          <w:szCs w:val="22"/>
        </w:rPr>
      </w:pPr>
      <w:r w:rsidDel="00000000" w:rsidR="00000000" w:rsidRPr="00000000">
        <w:rPr>
          <w:b w:val="1"/>
          <w:bCs w:val="1"/>
          <w:rtl w:val="0"/>
        </w:rPr>
        <w:t xml:space="preserve">Base case:</w:t>
      </w:r>
      <w:r w:rsidDel="00000000" w:rsidR="00000000" w:rsidRPr="00000000">
        <w:rPr>
          <w:rtl w:val="0"/>
        </w:rPr>
        <w:t xml:space="preserve"> 74.6% annual growth assumption.</w:t>
      </w:r>
    </w:p>
    <w:p w:rsidR="00000000" w:rsidDel="00000000" w:rsidP="00000000" w:rsidRDefault="00000000" w:rsidRPr="00000000" w14:paraId="000000A8">
      <w:pPr>
        <w:numPr>
          <w:ilvl w:val="0"/>
          <w:numId w:val="6"/>
        </w:numPr>
        <w:spacing w:after="240" w:before="0" w:beforeAutospacing="0" w:lineRule="auto"/>
        <w:ind w:left="720" w:hanging="360"/>
        <w:jc w:val="both"/>
        <w:rPr>
          <w:sz w:val="22"/>
          <w:szCs w:val="22"/>
        </w:rPr>
      </w:pPr>
      <w:r w:rsidDel="00000000" w:rsidR="00000000" w:rsidRPr="00000000">
        <w:rPr>
          <w:b w:val="1"/>
          <w:bCs w:val="1"/>
          <w:rtl w:val="0"/>
        </w:rPr>
        <w:t xml:space="preserve">High case:</w:t>
      </w:r>
      <w:r w:rsidDel="00000000" w:rsidR="00000000" w:rsidRPr="00000000">
        <w:rPr>
          <w:rtl w:val="0"/>
        </w:rPr>
        <w:t xml:space="preserve"> 85% annual growth assumption.</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The calculations begin with a published 2025 benchmark of USD 2.6 billion and apply the selected annual growth rates over five years. The assumptions are illustrative and should not be interpreted as independently sourced forecasts.</w:t>
      </w:r>
    </w:p>
    <w:p w:rsidR="00000000" w:rsidDel="00000000" w:rsidP="00000000" w:rsidRDefault="00000000" w:rsidRPr="00000000" w14:paraId="000000A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i2c47nrztzm" w:id="17"/>
      <w:bookmarkEnd w:id="17"/>
      <w:r w:rsidDel="00000000" w:rsidR="00000000" w:rsidRPr="00000000">
        <w:rPr>
          <w:color w:val="000000"/>
          <w:sz w:val="32"/>
          <w:szCs w:val="32"/>
          <w:rtl w:val="0"/>
        </w:rPr>
        <w:t xml:space="preserve">2.5 Limitations and Validation</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Published estimates may differ in market definition, product coverage, revenue recognition, and forecast methodology. Some underlying reports are paywalled, limiting independent examination of their full methods.</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Before final publication, the calculations, source dates, exact statistical claims, and scope of each benchmark should be checked against the available source material. Adoption indicators must remain distinct from revenue estimates, and analyst-assigned scores must remain distinct from measured market evidence.</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pStyle w:val="Heading1"/>
        <w:keepNext w:val="0"/>
        <w:keepLines w:val="0"/>
        <w:spacing w:after="80" w:lineRule="auto"/>
        <w:jc w:val="both"/>
        <w:rPr/>
      </w:pPr>
      <w:bookmarkStart w:colFirst="0" w:colLast="0" w:name="_7j3mcen83go4" w:id="18"/>
      <w:bookmarkEnd w:id="18"/>
      <w:r w:rsidDel="00000000" w:rsidR="00000000" w:rsidRPr="00000000">
        <w:rPr>
          <w:rtl w:val="0"/>
        </w:rPr>
        <w:t xml:space="preserve">3. Published Market Benchmarks</w:t>
      </w:r>
    </w:p>
    <w:p w:rsidR="00000000" w:rsidDel="00000000" w:rsidP="00000000" w:rsidRDefault="00000000" w:rsidRPr="00000000" w14:paraId="000000B3">
      <w:pPr>
        <w:pStyle w:val="Heading3"/>
        <w:keepNext w:val="0"/>
        <w:keepLines w:val="0"/>
        <w:spacing w:before="280" w:lineRule="auto"/>
        <w:jc w:val="both"/>
        <w:rPr>
          <w:b w:val="1"/>
          <w:bCs w:val="1"/>
          <w:color w:val="000000"/>
          <w:sz w:val="22"/>
          <w:szCs w:val="22"/>
        </w:rPr>
      </w:pPr>
      <w:bookmarkStart w:colFirst="0" w:colLast="0" w:name="_dwtcbwq9vcvh" w:id="19"/>
      <w:bookmarkEnd w:id="19"/>
      <w:r w:rsidDel="00000000" w:rsidR="00000000" w:rsidRPr="00000000">
        <w:rPr>
          <w:color w:val="000000"/>
          <w:sz w:val="32"/>
          <w:szCs w:val="32"/>
          <w:rtl w:val="0"/>
        </w:rPr>
        <w:t xml:space="preserve">3.1 Overview</w:t>
      </w:r>
      <w:r w:rsidDel="00000000" w:rsidR="00000000" w:rsidRPr="00000000">
        <w:rPr>
          <w:rtl w:val="0"/>
        </w:rPr>
      </w:r>
    </w:p>
    <w:p w:rsidR="00000000" w:rsidDel="00000000" w:rsidP="00000000" w:rsidRDefault="00000000" w:rsidRPr="00000000" w14:paraId="000000B4">
      <w:pPr>
        <w:spacing w:after="240" w:before="240" w:lineRule="auto"/>
        <w:jc w:val="both"/>
        <w:rPr/>
      </w:pPr>
      <w:r w:rsidDel="00000000" w:rsidR="00000000" w:rsidRPr="00000000">
        <w:rPr>
          <w:rtl w:val="0"/>
        </w:rPr>
        <w:t xml:space="preserve">Published forecasts provide useful reference points for assessing the potential development of enterprise agentic AI. However, the estimates collected for this study cover different market definitions and should not be combined into a single market-size figure without further reconciliation.</w:t>
      </w:r>
    </w:p>
    <w:p w:rsidR="00000000" w:rsidDel="00000000" w:rsidP="00000000" w:rsidRDefault="00000000" w:rsidRPr="00000000" w14:paraId="000000B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y029y4gpiny7" w:id="20"/>
      <w:bookmarkEnd w:id="20"/>
      <w:r w:rsidDel="00000000" w:rsidR="00000000" w:rsidRPr="00000000">
        <w:rPr>
          <w:color w:val="000000"/>
          <w:sz w:val="32"/>
          <w:szCs w:val="32"/>
          <w:rtl w:val="0"/>
        </w:rPr>
        <w:t xml:space="preserve">3.2 Benchmark Comparison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96.3541121005762"/>
        <w:gridCol w:w="3741.058145625982"/>
        <w:gridCol w:w="2123.0382399161867"/>
        <w:gridCol w:w="2299.549502357255"/>
        <w:tblGridChange w:id="0">
          <w:tblGrid>
            <w:gridCol w:w="1196.3541121005762"/>
            <w:gridCol w:w="3741.058145625982"/>
            <w:gridCol w:w="2123.0382399161867"/>
            <w:gridCol w:w="2299.54950235725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b w:val="1"/>
                <w:bCs w:val="1"/>
                <w:rtl w:val="0"/>
              </w:rPr>
              <w:t xml:space="preserve">Publisher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jc w:val="both"/>
              <w:rPr/>
            </w:pPr>
            <w:r w:rsidDel="00000000" w:rsidR="00000000" w:rsidRPr="00000000">
              <w:rPr>
                <w:b w:val="1"/>
                <w:bCs w:val="1"/>
                <w:rtl w:val="0"/>
              </w:rPr>
              <w:t xml:space="preserve">Published estimate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b w:val="1"/>
                <w:bCs w:val="1"/>
                <w:rtl w:val="0"/>
              </w:rPr>
              <w:t xml:space="preserve">Market scope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b w:val="1"/>
                <w:bCs w:val="1"/>
                <w:rtl w:val="0"/>
              </w:rPr>
              <w:t xml:space="preserve">How it is used in this study</w:t>
            </w: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Gartner</w:t>
            </w:r>
          </w:p>
        </w:tc>
        <w:tc>
          <w:tcPr>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Over USD 23 billion by 2030</w:t>
            </w:r>
          </w:p>
        </w:tc>
        <w:tc>
          <w:tcPr>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Cross-functional AI agents and assistants</w:t>
            </w:r>
          </w:p>
        </w:tc>
        <w:tc>
          <w:tcPr>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Focused external benchmark</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Gartner</w:t>
            </w:r>
          </w:p>
        </w:tc>
        <w:tc>
          <w:tcPr>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USD 985 billion by 2030</w:t>
            </w:r>
          </w:p>
        </w:tc>
        <w:tc>
          <w:tcPr>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Broader agentic AI software-spending forecast</w:t>
            </w:r>
          </w:p>
        </w:tc>
        <w:tc>
          <w:tcPr>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Broad-scope comparison only</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Gartner</w:t>
            </w:r>
          </w:p>
        </w:tc>
        <w:tc>
          <w:tcPr>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USD 16.481 billion in 2025; USD 29.219 billion in 2026; USD 65.472 billion in 2027</w:t>
            </w:r>
          </w:p>
        </w:tc>
        <w:tc>
          <w:tcPr>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AI agents and assistants spending forecast</w:t>
            </w:r>
          </w:p>
        </w:tc>
        <w:tc>
          <w:tcPr>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External growth benchmark</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CB Insights</w:t>
            </w:r>
          </w:p>
        </w:tc>
        <w:tc>
          <w:tcPr>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tl w:val="0"/>
              </w:rPr>
              <w:t xml:space="preserve">USD 13 billion projected for 2025</w:t>
            </w:r>
          </w:p>
        </w:tc>
        <w:tc>
          <w:tcPr>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Enterprise AI agents and copilots</w:t>
            </w:r>
          </w:p>
        </w:tc>
        <w:tc>
          <w:tcPr>
            <w:tcMar>
              <w:top w:w="100.0" w:type="dxa"/>
              <w:left w:w="100.0" w:type="dxa"/>
              <w:bottom w:w="100.0" w:type="dxa"/>
              <w:right w:w="100.0" w:type="dxa"/>
            </w:tcMar>
            <w:vAlign w:val="top"/>
          </w:tcPr>
          <w:p w:rsidR="00000000" w:rsidDel="00000000" w:rsidP="00000000" w:rsidRDefault="00000000" w:rsidRPr="00000000" w14:paraId="000000C9">
            <w:pPr>
              <w:jc w:val="both"/>
              <w:rPr/>
            </w:pPr>
            <w:r w:rsidDel="00000000" w:rsidR="00000000" w:rsidRPr="00000000">
              <w:rPr>
                <w:rtl w:val="0"/>
              </w:rPr>
              <w:t xml:space="preserve">Historical projection, not confirmed actual revenue</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rtl w:val="0"/>
              </w:rPr>
              <w:t xml:space="preserve">IDC</w:t>
            </w:r>
          </w:p>
        </w:tc>
        <w:tc>
          <w:tcPr>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rtl w:val="0"/>
              </w:rPr>
              <w:t xml:space="preserve">USD 2.6 billion in 2025; USD 41.5 billion in 2030</w:t>
            </w:r>
          </w:p>
        </w:tc>
        <w:tc>
          <w:tcPr>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rtl w:val="0"/>
              </w:rPr>
              <w:t xml:space="preserve">Agentic AI platforms</w:t>
            </w:r>
          </w:p>
        </w:tc>
        <w:tc>
          <w:tcPr>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rtl w:val="0"/>
              </w:rPr>
              <w:t xml:space="preserve">Starting benchmark for illustrative scenarios</w:t>
            </w:r>
          </w:p>
        </w:tc>
      </w:tr>
    </w:tbl>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b w:val="1"/>
          <w:bCs w:val="1"/>
        </w:rPr>
      </w:pPr>
      <w:r w:rsidDel="00000000" w:rsidR="00000000" w:rsidRPr="00000000">
        <w:rPr>
          <w:b w:val="1"/>
          <w:bCs w:val="1"/>
          <w:rtl w:val="0"/>
        </w:rPr>
        <w:t xml:space="preserve">Sources</w:t>
      </w:r>
    </w:p>
    <w:p w:rsidR="00000000" w:rsidDel="00000000" w:rsidP="00000000" w:rsidRDefault="00000000" w:rsidRPr="00000000" w14:paraId="000000D0">
      <w:pPr>
        <w:numPr>
          <w:ilvl w:val="0"/>
          <w:numId w:val="9"/>
        </w:numPr>
        <w:spacing w:after="0" w:afterAutospacing="0" w:before="240" w:lineRule="auto"/>
        <w:ind w:left="720" w:hanging="360"/>
        <w:jc w:val="both"/>
        <w:rPr>
          <w:sz w:val="22"/>
          <w:szCs w:val="22"/>
        </w:rPr>
      </w:pPr>
      <w:r w:rsidDel="00000000" w:rsidR="00000000" w:rsidRPr="00000000">
        <w:rPr>
          <w:rtl w:val="0"/>
        </w:rPr>
        <w:t xml:space="preserve">Gartner, cross-functional AI agents and assistants: </w:t>
      </w:r>
      <w:hyperlink r:id="rId6">
        <w:r w:rsidDel="00000000" w:rsidR="00000000" w:rsidRPr="00000000">
          <w:rPr>
            <w:color w:val="1155cc"/>
            <w:u w:val="single"/>
            <w:rtl w:val="0"/>
          </w:rPr>
          <w:t xml:space="preserve">https://www.gartner.com/en/documents/7509353</w:t>
        </w:r>
      </w:hyperlink>
      <w:r w:rsidDel="00000000" w:rsidR="00000000" w:rsidRPr="00000000">
        <w:rPr>
          <w:rtl w:val="0"/>
        </w:rPr>
      </w:r>
    </w:p>
    <w:p w:rsidR="00000000" w:rsidDel="00000000" w:rsidP="00000000" w:rsidRDefault="00000000" w:rsidRPr="00000000" w14:paraId="000000D1">
      <w:pPr>
        <w:numPr>
          <w:ilvl w:val="0"/>
          <w:numId w:val="9"/>
        </w:numPr>
        <w:spacing w:after="0" w:afterAutospacing="0" w:before="0" w:beforeAutospacing="0" w:lineRule="auto"/>
        <w:ind w:left="720" w:hanging="360"/>
        <w:jc w:val="both"/>
        <w:rPr>
          <w:sz w:val="22"/>
          <w:szCs w:val="22"/>
        </w:rPr>
      </w:pPr>
      <w:r w:rsidDel="00000000" w:rsidR="00000000" w:rsidRPr="00000000">
        <w:rPr>
          <w:rtl w:val="0"/>
        </w:rPr>
        <w:t xml:space="preserve">Gartner, broader agentic AI software-spending forecast: </w:t>
      </w:r>
      <w:hyperlink r:id="rId7">
        <w:r w:rsidDel="00000000" w:rsidR="00000000" w:rsidRPr="00000000">
          <w:rPr>
            <w:color w:val="1155cc"/>
            <w:u w:val="single"/>
            <w:rtl w:val="0"/>
          </w:rPr>
          <w:t xml:space="preserve">https://www.gartner.com/en/documents/7455226</w:t>
        </w:r>
      </w:hyperlink>
      <w:r w:rsidDel="00000000" w:rsidR="00000000" w:rsidRPr="00000000">
        <w:rPr>
          <w:rtl w:val="0"/>
        </w:rPr>
      </w:r>
    </w:p>
    <w:p w:rsidR="00000000" w:rsidDel="00000000" w:rsidP="00000000" w:rsidRDefault="00000000" w:rsidRPr="00000000" w14:paraId="000000D2">
      <w:pPr>
        <w:numPr>
          <w:ilvl w:val="0"/>
          <w:numId w:val="9"/>
        </w:numPr>
        <w:spacing w:after="0" w:afterAutospacing="0" w:before="0" w:beforeAutospacing="0" w:lineRule="auto"/>
        <w:ind w:left="720" w:hanging="360"/>
        <w:jc w:val="both"/>
        <w:rPr>
          <w:sz w:val="22"/>
          <w:szCs w:val="22"/>
        </w:rPr>
      </w:pPr>
      <w:r w:rsidDel="00000000" w:rsidR="00000000" w:rsidRPr="00000000">
        <w:rPr>
          <w:rtl w:val="0"/>
        </w:rPr>
        <w:t xml:space="preserve">Gartner, AI agents and assistants spending forecast: </w:t>
      </w:r>
      <w:hyperlink r:id="rId8">
        <w:r w:rsidDel="00000000" w:rsidR="00000000" w:rsidRPr="00000000">
          <w:rPr>
            <w:color w:val="1155cc"/>
            <w:u w:val="single"/>
            <w:rtl w:val="0"/>
          </w:rPr>
          <w:t xml:space="preserve">https://gcomdr.pdo.aws.gartner.com/en/newsroom/press-releases/2026-09-16-gartner-forecasts-worldwide-ai-spending-to-grow-49-point-5-percent-in-2026</w:t>
        </w:r>
      </w:hyperlink>
      <w:r w:rsidDel="00000000" w:rsidR="00000000" w:rsidRPr="00000000">
        <w:rPr>
          <w:rtl w:val="0"/>
        </w:rPr>
      </w:r>
    </w:p>
    <w:p w:rsidR="00000000" w:rsidDel="00000000" w:rsidP="00000000" w:rsidRDefault="00000000" w:rsidRPr="00000000" w14:paraId="000000D3">
      <w:pPr>
        <w:numPr>
          <w:ilvl w:val="0"/>
          <w:numId w:val="9"/>
        </w:numPr>
        <w:spacing w:after="0" w:afterAutospacing="0" w:before="0" w:beforeAutospacing="0" w:lineRule="auto"/>
        <w:ind w:left="720" w:hanging="360"/>
        <w:jc w:val="both"/>
        <w:rPr>
          <w:sz w:val="22"/>
          <w:szCs w:val="22"/>
        </w:rPr>
      </w:pPr>
      <w:r w:rsidDel="00000000" w:rsidR="00000000" w:rsidRPr="00000000">
        <w:rPr>
          <w:rtl w:val="0"/>
        </w:rPr>
        <w:t xml:space="preserve">CB Insights, enterprise AI agents and copilots: </w:t>
      </w:r>
      <w:hyperlink r:id="rId9">
        <w:r w:rsidDel="00000000" w:rsidR="00000000" w:rsidRPr="00000000">
          <w:rPr>
            <w:color w:val="1155cc"/>
            <w:u w:val="single"/>
            <w:rtl w:val="0"/>
          </w:rPr>
          <w:t xml:space="preserve">https://www.cbinsights.com/research/enterprise-ai-agents-market-size/</w:t>
        </w:r>
      </w:hyperlink>
      <w:r w:rsidDel="00000000" w:rsidR="00000000" w:rsidRPr="00000000">
        <w:rPr>
          <w:rtl w:val="0"/>
        </w:rPr>
      </w:r>
    </w:p>
    <w:p w:rsidR="00000000" w:rsidDel="00000000" w:rsidP="00000000" w:rsidRDefault="00000000" w:rsidRPr="00000000" w14:paraId="000000D4">
      <w:pPr>
        <w:numPr>
          <w:ilvl w:val="0"/>
          <w:numId w:val="9"/>
        </w:numPr>
        <w:spacing w:after="240" w:before="0" w:beforeAutospacing="0" w:lineRule="auto"/>
        <w:ind w:left="720" w:hanging="360"/>
        <w:jc w:val="both"/>
        <w:rPr>
          <w:sz w:val="22"/>
          <w:szCs w:val="22"/>
        </w:rPr>
      </w:pPr>
      <w:r w:rsidDel="00000000" w:rsidR="00000000" w:rsidRPr="00000000">
        <w:rPr>
          <w:rtl w:val="0"/>
        </w:rPr>
        <w:t xml:space="preserve">IDC agentic AI platforms forecast, available summary: </w:t>
      </w:r>
      <w:hyperlink r:id="rId10">
        <w:r w:rsidDel="00000000" w:rsidR="00000000" w:rsidRPr="00000000">
          <w:rPr>
            <w:color w:val="1155cc"/>
            <w:u w:val="single"/>
            <w:rtl w:val="0"/>
          </w:rPr>
          <w:t xml:space="preserve">https://www.marketresearch.com/IDC-v2477/Forecast-Worldwide-Agentic-AI-Platforms-46450172/</w:t>
        </w:r>
      </w:hyperlink>
      <w:r w:rsidDel="00000000" w:rsidR="00000000" w:rsidRPr="00000000">
        <w:rPr>
          <w:rtl w:val="0"/>
        </w:rPr>
      </w:r>
    </w:p>
    <w:p w:rsidR="00000000" w:rsidDel="00000000" w:rsidP="00000000" w:rsidRDefault="00000000" w:rsidRPr="00000000" w14:paraId="000000D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uls9inxdwwc5" w:id="21"/>
      <w:bookmarkEnd w:id="21"/>
      <w:r w:rsidDel="00000000" w:rsidR="00000000" w:rsidRPr="00000000">
        <w:rPr>
          <w:color w:val="000000"/>
          <w:sz w:val="32"/>
          <w:szCs w:val="32"/>
          <w:rtl w:val="0"/>
        </w:rPr>
        <w:t xml:space="preserve">3.3 Interpretation</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The published estimates indicate strong anticipated growth in several areas associated with agentic AI. The size of the reported opportunity varies substantially according to the products and spending categories included.</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The broad Gartner software-spending estimate should not be treated as directly equivalent to a narrower agent-platform market. Similarly, the CB Insights 2025 projection should not be presented as verified actual revenue.</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The IDC figures provide a starting point for scenario calculations in this project. Because the underlying report is not fully available through the public summary, its detailed methodology has not been independently validated here.</w:t>
      </w:r>
    </w:p>
    <w:p w:rsidR="00000000" w:rsidDel="00000000" w:rsidP="00000000" w:rsidRDefault="00000000" w:rsidRPr="00000000" w14:paraId="000000D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row9issl6rcr" w:id="22"/>
      <w:bookmarkEnd w:id="22"/>
      <w:r w:rsidDel="00000000" w:rsidR="00000000" w:rsidRPr="00000000">
        <w:rPr>
          <w:color w:val="000000"/>
          <w:sz w:val="32"/>
          <w:szCs w:val="32"/>
          <w:rtl w:val="0"/>
        </w:rPr>
        <w:t xml:space="preserve">3.4 Implications for Market Sizing</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The benchmarks are useful for establishing context, but they do not yet establish a single defensible estimate of the global enterprise agentic AI market under this report's definition.</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Further work should reconcile market scope, identify relevant revenue categories, validate underlying assumptions, and develop an independent estimate before a definitive market-size conclusion is presented.</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1"/>
        <w:keepNext w:val="0"/>
        <w:keepLines w:val="0"/>
        <w:spacing w:after="80" w:lineRule="auto"/>
        <w:jc w:val="both"/>
        <w:rPr/>
      </w:pPr>
      <w:bookmarkStart w:colFirst="0" w:colLast="0" w:name="_v8077rap4i6h" w:id="23"/>
      <w:bookmarkEnd w:id="23"/>
      <w:r w:rsidDel="00000000" w:rsidR="00000000" w:rsidRPr="00000000">
        <w:rPr>
          <w:rtl w:val="0"/>
        </w:rPr>
        <w:t xml:space="preserve">4. Competitive Landscape</w:t>
      </w:r>
    </w:p>
    <w:p w:rsidR="00000000" w:rsidDel="00000000" w:rsidP="00000000" w:rsidRDefault="00000000" w:rsidRPr="00000000" w14:paraId="000000E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7b441ecifkel" w:id="24"/>
      <w:bookmarkEnd w:id="24"/>
      <w:r w:rsidDel="00000000" w:rsidR="00000000" w:rsidRPr="00000000">
        <w:rPr>
          <w:color w:val="000000"/>
          <w:sz w:val="32"/>
          <w:szCs w:val="32"/>
          <w:rtl w:val="0"/>
        </w:rPr>
        <w:t xml:space="preserve">4.1 Overview</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Enterprise technology providers are incorporating AI agents into cloud platforms, customer relationship management, IT service management, and enterprise workflow products. Their strategies differ according to their existing customer relationships, technology ecosystems, and core business applications.</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This section compares six vendors selected for the initial competitive review. The assessment describes their positioning and does not rank their overall product performance.</w:t>
      </w:r>
    </w:p>
    <w:p w:rsidR="00000000" w:rsidDel="00000000" w:rsidP="00000000" w:rsidRDefault="00000000" w:rsidRPr="00000000" w14:paraId="000000F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so27fkqy67nd" w:id="25"/>
      <w:bookmarkEnd w:id="25"/>
      <w:r w:rsidDel="00000000" w:rsidR="00000000" w:rsidRPr="00000000">
        <w:rPr>
          <w:color w:val="000000"/>
          <w:sz w:val="32"/>
          <w:szCs w:val="32"/>
          <w:rtl w:val="0"/>
        </w:rPr>
        <w:t xml:space="preserve">4.2 Vendor Comparison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9.7586568730324"/>
        <w:gridCol w:w="1654.9422875131165"/>
        <w:gridCol w:w="3717.4816369359914"/>
        <w:gridCol w:w="2597.817418677859"/>
        <w:tblGridChange w:id="0">
          <w:tblGrid>
            <w:gridCol w:w="1389.7586568730324"/>
            <w:gridCol w:w="1654.9422875131165"/>
            <w:gridCol w:w="3717.4816369359914"/>
            <w:gridCol w:w="2597.817418677859"/>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b w:val="1"/>
                <w:bCs w:val="1"/>
                <w:rtl w:val="0"/>
              </w:rPr>
              <w:t xml:space="preserve">Vendor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b w:val="1"/>
                <w:bCs w:val="1"/>
                <w:rtl w:val="0"/>
              </w:rPr>
              <w:t xml:space="preserve">Product or platform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b w:val="1"/>
                <w:bCs w:val="1"/>
                <w:rtl w:val="0"/>
              </w:rPr>
              <w:t xml:space="preserve">Primary positioning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b w:val="1"/>
                <w:bCs w:val="1"/>
                <w:rtl w:val="0"/>
              </w:rPr>
              <w:t xml:space="preserve">Strategic differentiation</w:t>
            </w: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Microsoft</w:t>
            </w:r>
          </w:p>
        </w:tc>
        <w:tc>
          <w:tcPr>
            <w:tcMar>
              <w:top w:w="100.0" w:type="dxa"/>
              <w:left w:w="100.0" w:type="dxa"/>
              <w:bottom w:w="100.0" w:type="dxa"/>
              <w:right w:w="100.0" w:type="dxa"/>
            </w:tcMar>
            <w:vAlign w:val="top"/>
          </w:tcPr>
          <w:p w:rsidR="00000000" w:rsidDel="00000000" w:rsidP="00000000" w:rsidRDefault="00000000" w:rsidRPr="00000000" w14:paraId="000000F8">
            <w:pPr>
              <w:jc w:val="both"/>
              <w:rPr/>
            </w:pPr>
            <w:r w:rsidDel="00000000" w:rsidR="00000000" w:rsidRPr="00000000">
              <w:rPr>
                <w:rtl w:val="0"/>
              </w:rPr>
              <w:t xml:space="preserve">Copilot Studio</w:t>
            </w:r>
          </w:p>
        </w:tc>
        <w:tc>
          <w:tcPr>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Building and deploying agents connected to enterprise data and workflows</w:t>
            </w:r>
          </w:p>
        </w:tc>
        <w:tc>
          <w:tcPr>
            <w:tcMar>
              <w:top w:w="100.0" w:type="dxa"/>
              <w:left w:w="100.0" w:type="dxa"/>
              <w:bottom w:w="100.0" w:type="dxa"/>
              <w:right w:w="100.0" w:type="dxa"/>
            </w:tcMar>
            <w:vAlign w:val="top"/>
          </w:tcPr>
          <w:p w:rsidR="00000000" w:rsidDel="00000000" w:rsidP="00000000" w:rsidRDefault="00000000" w:rsidRPr="00000000" w14:paraId="000000FA">
            <w:pPr>
              <w:jc w:val="both"/>
              <w:rPr/>
            </w:pPr>
            <w:r w:rsidDel="00000000" w:rsidR="00000000" w:rsidRPr="00000000">
              <w:rPr>
                <w:rtl w:val="0"/>
              </w:rPr>
              <w:t xml:space="preserve">Integration with Microsoft 365 and business applications</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Google</w:t>
            </w:r>
          </w:p>
        </w:tc>
        <w:tc>
          <w:tcPr>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Gemini Enterprise Agent Platform</w:t>
            </w:r>
          </w:p>
        </w:tc>
        <w:tc>
          <w:tcPr>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rtl w:val="0"/>
              </w:rPr>
              <w:t xml:space="preserve">Developing, deploying, and managing enterprise agents</w:t>
            </w:r>
          </w:p>
        </w:tc>
        <w:tc>
          <w:tcPr>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tl w:val="0"/>
              </w:rPr>
              <w:t xml:space="preserve">Google Cloud and Gemini ecosystem integration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Amazon Web Services</w:t>
            </w:r>
          </w:p>
        </w:tc>
        <w:tc>
          <w:tcPr>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Amazon Bedrock AgentCore</w:t>
            </w:r>
          </w:p>
        </w:tc>
        <w:tc>
          <w:tcPr>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t xml:space="preserve">Infrastructure and services for building, deploying, securing, and monitoring agents</w:t>
            </w:r>
          </w:p>
        </w:tc>
        <w:tc>
          <w:tcPr>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Cloud-native deployment and model flexibility</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t xml:space="preserve">Salesforce</w:t>
            </w:r>
          </w:p>
        </w:tc>
        <w:tc>
          <w:tcPr>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rtl w:val="0"/>
              </w:rPr>
              <w:t xml:space="preserve">Agentforce</w:t>
            </w:r>
          </w:p>
        </w:tc>
        <w:tc>
          <w:tcPr>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Agents for sales, customer service, and CRM workflows</w:t>
            </w:r>
          </w:p>
        </w:tc>
        <w:tc>
          <w:tcPr>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t xml:space="preserve">Integration with Salesforce customer and business data</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ServiceNow</w:t>
            </w:r>
          </w:p>
        </w:tc>
        <w:tc>
          <w:tcPr>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AI Agents and AI Agent Studio</w:t>
            </w:r>
          </w:p>
        </w:tc>
        <w:tc>
          <w:tcPr>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Agents supporting IT and enterprise service workflows</w:t>
            </w:r>
          </w:p>
        </w:tc>
        <w:tc>
          <w:tcPr>
            <w:tcMar>
              <w:top w:w="100.0" w:type="dxa"/>
              <w:left w:w="100.0" w:type="dxa"/>
              <w:bottom w:w="100.0" w:type="dxa"/>
              <w:right w:w="100.0" w:type="dxa"/>
            </w:tcMar>
            <w:vAlign w:val="top"/>
          </w:tcPr>
          <w:p w:rsidR="00000000" w:rsidDel="00000000" w:rsidP="00000000" w:rsidRDefault="00000000" w:rsidRPr="00000000" w14:paraId="0000010A">
            <w:pPr>
              <w:jc w:val="both"/>
              <w:rPr/>
            </w:pPr>
            <w:r w:rsidDel="00000000" w:rsidR="00000000" w:rsidRPr="00000000">
              <w:rPr>
                <w:rtl w:val="0"/>
              </w:rPr>
              <w:t xml:space="preserve">Integration with enterprise service management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rtl w:val="0"/>
              </w:rPr>
              <w:t xml:space="preserve">IBM</w:t>
            </w:r>
          </w:p>
        </w:tc>
        <w:tc>
          <w:tcPr>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Watson Orchestrate</w:t>
            </w:r>
          </w:p>
        </w:tc>
        <w:tc>
          <w:tcPr>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tl w:val="0"/>
              </w:rPr>
              <w:t xml:space="preserve">Building, connecting, coordinating, and governing enterprise agents</w:t>
            </w:r>
          </w:p>
        </w:tc>
        <w:tc>
          <w:tcPr>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Enterprise integration and agent orchestration</w:t>
            </w:r>
          </w:p>
        </w:tc>
      </w:tr>
    </w:tbl>
    <w:p w:rsidR="00000000" w:rsidDel="00000000" w:rsidP="00000000" w:rsidRDefault="00000000" w:rsidRPr="00000000" w14:paraId="0000010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guksefbhy28e" w:id="26"/>
      <w:bookmarkEnd w:id="26"/>
      <w:r w:rsidDel="00000000" w:rsidR="00000000" w:rsidRPr="00000000">
        <w:rPr>
          <w:color w:val="000000"/>
          <w:sz w:val="32"/>
          <w:szCs w:val="32"/>
          <w:rtl w:val="0"/>
        </w:rPr>
        <w:t xml:space="preserve">4.3 Commercial Considerations</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The vendors use different commercial models, which may include consumption-based charges, usage credits, subscriptions, or broader enterprise licensing. These models are not directly comparable without examining the specific product, usage limits, contract terms, and included capabilities.</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For a rigorous pricing comparison, future research should collect current official pricing information and document the pricing unit, minimum commitment, usage assumptions, and any additional infrastructure or licensing requirements.</w:t>
      </w:r>
    </w:p>
    <w:p w:rsidR="00000000" w:rsidDel="00000000" w:rsidP="00000000" w:rsidRDefault="00000000" w:rsidRPr="00000000" w14:paraId="0000011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ziieht8ddojx" w:id="27"/>
      <w:bookmarkEnd w:id="27"/>
      <w:r w:rsidDel="00000000" w:rsidR="00000000" w:rsidRPr="00000000">
        <w:rPr>
          <w:color w:val="000000"/>
          <w:sz w:val="32"/>
          <w:szCs w:val="32"/>
          <w:rtl w:val="0"/>
        </w:rPr>
        <w:t xml:space="preserve">4.4 Competitive Assessment</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Several dimensions are relevant when comparing enterprise agent platforms:</w:t>
      </w:r>
    </w:p>
    <w:p w:rsidR="00000000" w:rsidDel="00000000" w:rsidP="00000000" w:rsidRDefault="00000000" w:rsidRPr="00000000" w14:paraId="00000114">
      <w:pPr>
        <w:numPr>
          <w:ilvl w:val="0"/>
          <w:numId w:val="5"/>
        </w:numPr>
        <w:spacing w:after="0" w:afterAutospacing="0" w:before="240" w:lineRule="auto"/>
        <w:ind w:left="720" w:hanging="360"/>
        <w:jc w:val="both"/>
        <w:rPr>
          <w:sz w:val="22"/>
          <w:szCs w:val="22"/>
        </w:rPr>
      </w:pPr>
      <w:r w:rsidDel="00000000" w:rsidR="00000000" w:rsidRPr="00000000">
        <w:rPr>
          <w:b w:val="1"/>
          <w:bCs w:val="1"/>
          <w:rtl w:val="0"/>
        </w:rPr>
        <w:t xml:space="preserve">Workflow integration:</w:t>
      </w:r>
      <w:r w:rsidDel="00000000" w:rsidR="00000000" w:rsidRPr="00000000">
        <w:rPr>
          <w:rtl w:val="0"/>
        </w:rPr>
        <w:t xml:space="preserve"> How effectively agents connect to existing business systems and data.</w:t>
      </w:r>
    </w:p>
    <w:p w:rsidR="00000000" w:rsidDel="00000000" w:rsidP="00000000" w:rsidRDefault="00000000" w:rsidRPr="00000000" w14:paraId="00000115">
      <w:pPr>
        <w:numPr>
          <w:ilvl w:val="0"/>
          <w:numId w:val="5"/>
        </w:numPr>
        <w:spacing w:after="0" w:afterAutospacing="0" w:before="0" w:beforeAutospacing="0" w:lineRule="auto"/>
        <w:ind w:left="720" w:hanging="360"/>
        <w:jc w:val="both"/>
        <w:rPr>
          <w:sz w:val="22"/>
          <w:szCs w:val="22"/>
        </w:rPr>
      </w:pPr>
      <w:r w:rsidDel="00000000" w:rsidR="00000000" w:rsidRPr="00000000">
        <w:rPr>
          <w:b w:val="1"/>
          <w:bCs w:val="1"/>
          <w:rtl w:val="0"/>
        </w:rPr>
        <w:t xml:space="preserve">Orchestration:</w:t>
      </w:r>
      <w:r w:rsidDel="00000000" w:rsidR="00000000" w:rsidRPr="00000000">
        <w:rPr>
          <w:rtl w:val="0"/>
        </w:rPr>
        <w:t xml:space="preserve"> How agents coordinate tasks, tools, and multi-step processes.</w:t>
      </w:r>
    </w:p>
    <w:p w:rsidR="00000000" w:rsidDel="00000000" w:rsidP="00000000" w:rsidRDefault="00000000" w:rsidRPr="00000000" w14:paraId="00000116">
      <w:pPr>
        <w:numPr>
          <w:ilvl w:val="0"/>
          <w:numId w:val="5"/>
        </w:numPr>
        <w:spacing w:after="0" w:afterAutospacing="0" w:before="0" w:beforeAutospacing="0" w:lineRule="auto"/>
        <w:ind w:left="720" w:hanging="360"/>
        <w:jc w:val="both"/>
        <w:rPr>
          <w:sz w:val="22"/>
          <w:szCs w:val="22"/>
        </w:rPr>
      </w:pPr>
      <w:r w:rsidDel="00000000" w:rsidR="00000000" w:rsidRPr="00000000">
        <w:rPr>
          <w:b w:val="1"/>
          <w:bCs w:val="1"/>
          <w:rtl w:val="0"/>
        </w:rPr>
        <w:t xml:space="preserve">Governance and security:</w:t>
      </w:r>
      <w:r w:rsidDel="00000000" w:rsidR="00000000" w:rsidRPr="00000000">
        <w:rPr>
          <w:rtl w:val="0"/>
        </w:rPr>
        <w:t xml:space="preserve"> How permissions, monitoring, auditability, and human oversight are managed.</w:t>
      </w:r>
    </w:p>
    <w:p w:rsidR="00000000" w:rsidDel="00000000" w:rsidP="00000000" w:rsidRDefault="00000000" w:rsidRPr="00000000" w14:paraId="00000117">
      <w:pPr>
        <w:numPr>
          <w:ilvl w:val="0"/>
          <w:numId w:val="5"/>
        </w:numPr>
        <w:spacing w:after="0" w:afterAutospacing="0" w:before="0" w:beforeAutospacing="0" w:lineRule="auto"/>
        <w:ind w:left="720" w:hanging="360"/>
        <w:jc w:val="both"/>
        <w:rPr>
          <w:sz w:val="22"/>
          <w:szCs w:val="22"/>
        </w:rPr>
      </w:pPr>
      <w:r w:rsidDel="00000000" w:rsidR="00000000" w:rsidRPr="00000000">
        <w:rPr>
          <w:b w:val="1"/>
          <w:bCs w:val="1"/>
          <w:rtl w:val="0"/>
        </w:rPr>
        <w:t xml:space="preserve">Deployment flexibility:</w:t>
      </w:r>
      <w:r w:rsidDel="00000000" w:rsidR="00000000" w:rsidRPr="00000000">
        <w:rPr>
          <w:rtl w:val="0"/>
        </w:rPr>
        <w:t xml:space="preserve"> Whether organizations can deploy within their preferred cloud and technology environments.</w:t>
      </w:r>
    </w:p>
    <w:p w:rsidR="00000000" w:rsidDel="00000000" w:rsidP="00000000" w:rsidRDefault="00000000" w:rsidRPr="00000000" w14:paraId="00000118">
      <w:pPr>
        <w:numPr>
          <w:ilvl w:val="0"/>
          <w:numId w:val="5"/>
        </w:numPr>
        <w:spacing w:after="240" w:before="0" w:beforeAutospacing="0" w:lineRule="auto"/>
        <w:ind w:left="720" w:hanging="360"/>
        <w:jc w:val="both"/>
        <w:rPr>
          <w:sz w:val="22"/>
          <w:szCs w:val="22"/>
        </w:rPr>
      </w:pPr>
      <w:r w:rsidDel="00000000" w:rsidR="00000000" w:rsidRPr="00000000">
        <w:rPr>
          <w:b w:val="1"/>
          <w:bCs w:val="1"/>
          <w:rtl w:val="0"/>
        </w:rPr>
        <w:t xml:space="preserve">Commercial transparency:</w:t>
      </w:r>
      <w:r w:rsidDel="00000000" w:rsidR="00000000" w:rsidRPr="00000000">
        <w:rPr>
          <w:rtl w:val="0"/>
        </w:rPr>
        <w:t xml:space="preserve"> Whether pricing and expected operating costs can be estimated before deployment.</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The initial review suggests that vendor positioning is closely related to existing enterprise ecosystems and workflow strengths. This is a qualitative finding from product positioning, not evidence of market-share leadership.</w:t>
      </w:r>
    </w:p>
    <w:p w:rsidR="00000000" w:rsidDel="00000000" w:rsidP="00000000" w:rsidRDefault="00000000" w:rsidRPr="00000000" w14:paraId="0000011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vqd6f6s3jn6i" w:id="28"/>
      <w:bookmarkEnd w:id="28"/>
      <w:r w:rsidDel="00000000" w:rsidR="00000000" w:rsidRPr="00000000">
        <w:rPr>
          <w:color w:val="000000"/>
          <w:sz w:val="32"/>
          <w:szCs w:val="32"/>
          <w:rtl w:val="0"/>
        </w:rPr>
        <w:t xml:space="preserve">4.5 Limitations</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This comparison is based on publicly documented product positioning and a selected vendor shortlist. Product capabilities and pricing may change. No verified market-share estimates, standardized product-performance tests, or comprehensive customer adoption comparisons have been completed in this project.</w:t>
      </w:r>
    </w:p>
    <w:p w:rsidR="00000000" w:rsidDel="00000000" w:rsidP="00000000" w:rsidRDefault="00000000" w:rsidRPr="00000000" w14:paraId="0000011C">
      <w:pPr>
        <w:spacing w:after="240" w:before="240" w:lineRule="auto"/>
        <w:jc w:val="both"/>
        <w:rPr/>
      </w:pPr>
      <w:r w:rsidDel="00000000" w:rsidR="00000000" w:rsidRPr="00000000">
        <w:rPr>
          <w:rtl w:val="0"/>
        </w:rPr>
      </w:r>
    </w:p>
    <w:p w:rsidR="00000000" w:rsidDel="00000000" w:rsidP="00000000" w:rsidRDefault="00000000" w:rsidRPr="00000000" w14:paraId="0000011D">
      <w:pPr>
        <w:spacing w:after="240" w:before="240" w:lineRule="auto"/>
        <w:jc w:val="both"/>
        <w:rPr/>
      </w:pPr>
      <w:r w:rsidDel="00000000" w:rsidR="00000000" w:rsidRPr="00000000">
        <w:rPr>
          <w:rtl w:val="0"/>
        </w:rPr>
      </w:r>
    </w:p>
    <w:p w:rsidR="00000000" w:rsidDel="00000000" w:rsidP="00000000" w:rsidRDefault="00000000" w:rsidRPr="00000000" w14:paraId="0000011E">
      <w:pPr>
        <w:spacing w:after="240" w:before="240" w:lineRule="auto"/>
        <w:jc w:val="both"/>
        <w:rPr/>
      </w:pPr>
      <w:r w:rsidDel="00000000" w:rsidR="00000000" w:rsidRPr="00000000">
        <w:rPr>
          <w:rtl w:val="0"/>
        </w:rPr>
      </w:r>
    </w:p>
    <w:p w:rsidR="00000000" w:rsidDel="00000000" w:rsidP="00000000" w:rsidRDefault="00000000" w:rsidRPr="00000000" w14:paraId="0000011F">
      <w:pPr>
        <w:spacing w:after="240" w:before="240" w:lineRule="auto"/>
        <w:jc w:val="both"/>
        <w:rPr/>
      </w:pPr>
      <w:r w:rsidDel="00000000" w:rsidR="00000000" w:rsidRPr="00000000">
        <w:rPr>
          <w:rtl w:val="0"/>
        </w:rPr>
      </w:r>
    </w:p>
    <w:p w:rsidR="00000000" w:rsidDel="00000000" w:rsidP="00000000" w:rsidRDefault="00000000" w:rsidRPr="00000000" w14:paraId="00000120">
      <w:pPr>
        <w:spacing w:after="240" w:before="240" w:lineRule="auto"/>
        <w:jc w:val="both"/>
        <w:rPr/>
      </w:pPr>
      <w:r w:rsidDel="00000000" w:rsidR="00000000" w:rsidRPr="00000000">
        <w:rPr>
          <w:rtl w:val="0"/>
        </w:rPr>
      </w:r>
    </w:p>
    <w:p w:rsidR="00000000" w:rsidDel="00000000" w:rsidP="00000000" w:rsidRDefault="00000000" w:rsidRPr="00000000" w14:paraId="00000121">
      <w:pPr>
        <w:spacing w:after="240" w:before="240" w:lineRule="auto"/>
        <w:jc w:val="both"/>
        <w:rPr/>
      </w:pPr>
      <w:r w:rsidDel="00000000" w:rsidR="00000000" w:rsidRPr="00000000">
        <w:rPr>
          <w:rtl w:val="0"/>
        </w:rPr>
      </w:r>
    </w:p>
    <w:p w:rsidR="00000000" w:rsidDel="00000000" w:rsidP="00000000" w:rsidRDefault="00000000" w:rsidRPr="00000000" w14:paraId="00000122">
      <w:pPr>
        <w:spacing w:after="240" w:before="240" w:lineRule="auto"/>
        <w:jc w:val="both"/>
        <w:rPr/>
      </w:pPr>
      <w:r w:rsidDel="00000000" w:rsidR="00000000" w:rsidRPr="00000000">
        <w:rPr>
          <w:rtl w:val="0"/>
        </w:rPr>
      </w:r>
    </w:p>
    <w:p w:rsidR="00000000" w:rsidDel="00000000" w:rsidP="00000000" w:rsidRDefault="00000000" w:rsidRPr="00000000" w14:paraId="00000123">
      <w:pPr>
        <w:spacing w:after="240" w:before="240" w:lineRule="auto"/>
        <w:jc w:val="both"/>
        <w:rPr/>
      </w:pPr>
      <w:r w:rsidDel="00000000" w:rsidR="00000000" w:rsidRPr="00000000">
        <w:rPr>
          <w:rtl w:val="0"/>
        </w:rPr>
      </w:r>
    </w:p>
    <w:p w:rsidR="00000000" w:rsidDel="00000000" w:rsidP="00000000" w:rsidRDefault="00000000" w:rsidRPr="00000000" w14:paraId="00000124">
      <w:pPr>
        <w:pStyle w:val="Heading1"/>
        <w:keepNext w:val="0"/>
        <w:keepLines w:val="0"/>
        <w:spacing w:after="80" w:lineRule="auto"/>
        <w:jc w:val="both"/>
        <w:rPr/>
      </w:pPr>
      <w:bookmarkStart w:colFirst="0" w:colLast="0" w:name="_k2p4unyxgmkz" w:id="29"/>
      <w:bookmarkEnd w:id="29"/>
      <w:r w:rsidDel="00000000" w:rsidR="00000000" w:rsidRPr="00000000">
        <w:rPr>
          <w:rtl w:val="0"/>
        </w:rPr>
        <w:t xml:space="preserve">5. Enterprise Use-Case Prioritisation</w:t>
      </w:r>
    </w:p>
    <w:p w:rsidR="00000000" w:rsidDel="00000000" w:rsidP="00000000" w:rsidRDefault="00000000" w:rsidRPr="00000000" w14:paraId="0000012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146oarzhsljf" w:id="30"/>
      <w:bookmarkEnd w:id="30"/>
      <w:r w:rsidDel="00000000" w:rsidR="00000000" w:rsidRPr="00000000">
        <w:rPr>
          <w:color w:val="000000"/>
          <w:sz w:val="32"/>
          <w:szCs w:val="32"/>
          <w:rtl w:val="0"/>
        </w:rPr>
        <w:t xml:space="preserve">5.1 Assessment Framework</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Enterprise agentic AI opportunities were assessed using two dimensions: potential business impact and implementation feasibility. Business impact reflects the potential to improve productivity, service quality, cost efficiency, or decision-making. Implementation feasibility reflects the expected ease of integrating agents with existing systems, data, and workflows.</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Each dimension is scored from 1 to 5. The combined priority score is calculated by multiplying the two scores. These scores represent preliminary analyst judgments and should be validated through interviews, customer evidence, or implementation case studies.</w:t>
      </w:r>
    </w:p>
    <w:p w:rsidR="00000000" w:rsidDel="00000000" w:rsidP="00000000" w:rsidRDefault="00000000" w:rsidRPr="00000000" w14:paraId="0000012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v4re3uceln5f" w:id="31"/>
      <w:bookmarkEnd w:id="31"/>
      <w:r w:rsidDel="00000000" w:rsidR="00000000" w:rsidRPr="00000000">
        <w:rPr>
          <w:color w:val="000000"/>
          <w:sz w:val="32"/>
          <w:szCs w:val="32"/>
          <w:rtl w:val="0"/>
        </w:rPr>
        <w:t xml:space="preserve">5.2 Preliminary Use-Case Assessment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9.549502357255"/>
        <w:gridCol w:w="2284.840230487166"/>
        <w:gridCol w:w="3255.652173913044"/>
        <w:gridCol w:w="1519.9580932425354"/>
        <w:tblGridChange w:id="0">
          <w:tblGrid>
            <w:gridCol w:w="2299.549502357255"/>
            <w:gridCol w:w="2284.840230487166"/>
            <w:gridCol w:w="3255.652173913044"/>
            <w:gridCol w:w="1519.9580932425354"/>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9">
            <w:pPr>
              <w:spacing w:after="240" w:before="240" w:line="240" w:lineRule="auto"/>
              <w:jc w:val="both"/>
              <w:rPr/>
            </w:pPr>
            <w:r w:rsidDel="00000000" w:rsidR="00000000" w:rsidRPr="00000000">
              <w:rPr>
                <w:b w:val="1"/>
                <w:bCs w:val="1"/>
                <w:rtl w:val="0"/>
              </w:rPr>
              <w:t xml:space="preserve">Enterprise function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A">
            <w:pPr>
              <w:spacing w:after="240" w:before="240" w:line="240" w:lineRule="auto"/>
              <w:jc w:val="both"/>
              <w:rPr/>
            </w:pPr>
            <w:r w:rsidDel="00000000" w:rsidR="00000000" w:rsidRPr="00000000">
              <w:rPr>
                <w:b w:val="1"/>
                <w:bCs w:val="1"/>
                <w:rtl w:val="0"/>
              </w:rPr>
              <w:t xml:space="preserve">Business impact (1–5)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spacing w:after="240" w:before="240" w:line="240" w:lineRule="auto"/>
              <w:jc w:val="both"/>
              <w:rPr/>
            </w:pPr>
            <w:r w:rsidDel="00000000" w:rsidR="00000000" w:rsidRPr="00000000">
              <w:rPr>
                <w:b w:val="1"/>
                <w:bCs w:val="1"/>
                <w:rtl w:val="0"/>
              </w:rPr>
              <w:t xml:space="preserve">Implementation feasibility (1–5)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C">
            <w:pPr>
              <w:spacing w:after="240" w:before="240" w:line="240" w:lineRule="auto"/>
              <w:jc w:val="both"/>
              <w:rPr/>
            </w:pPr>
            <w:r w:rsidDel="00000000" w:rsidR="00000000" w:rsidRPr="00000000">
              <w:rPr>
                <w:b w:val="1"/>
                <w:bCs w:val="1"/>
                <w:rtl w:val="0"/>
              </w:rPr>
              <w:t xml:space="preserve">Priority score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D">
            <w:pPr>
              <w:spacing w:after="240" w:before="240" w:line="240" w:lineRule="auto"/>
              <w:jc w:val="both"/>
              <w:rPr/>
            </w:pPr>
            <w:r w:rsidDel="00000000" w:rsidR="00000000" w:rsidRPr="00000000">
              <w:rPr>
                <w:rtl w:val="0"/>
              </w:rPr>
              <w:t xml:space="preserve">Customer service</w:t>
            </w:r>
          </w:p>
        </w:tc>
        <w:tc>
          <w:tcPr>
            <w:tcMar>
              <w:top w:w="100.0" w:type="dxa"/>
              <w:left w:w="100.0" w:type="dxa"/>
              <w:bottom w:w="100.0" w:type="dxa"/>
              <w:right w:w="100.0" w:type="dxa"/>
            </w:tcMar>
            <w:vAlign w:val="top"/>
          </w:tcPr>
          <w:p w:rsidR="00000000" w:rsidDel="00000000" w:rsidP="00000000" w:rsidRDefault="00000000" w:rsidRPr="00000000" w14:paraId="0000012E">
            <w:pPr>
              <w:spacing w:after="240" w:before="240" w:line="240" w:lineRule="auto"/>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2F">
            <w:pPr>
              <w:spacing w:after="240" w:before="240" w:line="240" w:lineRule="auto"/>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30">
            <w:pPr>
              <w:spacing w:after="240" w:before="240" w:line="240" w:lineRule="auto"/>
              <w:jc w:val="both"/>
              <w:rPr/>
            </w:pPr>
            <w:r w:rsidDel="00000000" w:rsidR="00000000" w:rsidRPr="00000000">
              <w:rPr>
                <w:rtl w:val="0"/>
              </w:rPr>
              <w:t xml:space="preserve">20</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1">
            <w:pPr>
              <w:spacing w:after="240" w:before="240" w:line="240" w:lineRule="auto"/>
              <w:jc w:val="both"/>
              <w:rPr/>
            </w:pPr>
            <w:r w:rsidDel="00000000" w:rsidR="00000000" w:rsidRPr="00000000">
              <w:rPr>
                <w:rtl w:val="0"/>
              </w:rPr>
              <w:t xml:space="preserve">IT service management</w:t>
            </w:r>
          </w:p>
        </w:tc>
        <w:tc>
          <w:tcPr>
            <w:tcMar>
              <w:top w:w="100.0" w:type="dxa"/>
              <w:left w:w="100.0" w:type="dxa"/>
              <w:bottom w:w="100.0" w:type="dxa"/>
              <w:right w:w="100.0" w:type="dxa"/>
            </w:tcMar>
            <w:vAlign w:val="top"/>
          </w:tcPr>
          <w:p w:rsidR="00000000" w:rsidDel="00000000" w:rsidP="00000000" w:rsidRDefault="00000000" w:rsidRPr="00000000" w14:paraId="00000132">
            <w:pPr>
              <w:spacing w:after="240" w:before="240" w:line="240" w:lineRule="auto"/>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33">
            <w:pPr>
              <w:spacing w:after="240" w:before="240" w:line="240" w:lineRule="auto"/>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34">
            <w:pPr>
              <w:spacing w:after="240" w:before="240" w:line="240" w:lineRule="auto"/>
              <w:jc w:val="both"/>
              <w:rPr/>
            </w:pPr>
            <w:r w:rsidDel="00000000" w:rsidR="00000000" w:rsidRPr="00000000">
              <w:rPr>
                <w:rtl w:val="0"/>
              </w:rPr>
              <w:t xml:space="preserve">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5">
            <w:pPr>
              <w:spacing w:after="240" w:before="240" w:line="240" w:lineRule="auto"/>
              <w:jc w:val="both"/>
              <w:rPr/>
            </w:pPr>
            <w:r w:rsidDel="00000000" w:rsidR="00000000" w:rsidRPr="00000000">
              <w:rPr>
                <w:rtl w:val="0"/>
              </w:rPr>
              <w:t xml:space="preserve">Sales</w:t>
            </w:r>
          </w:p>
        </w:tc>
        <w:tc>
          <w:tcPr>
            <w:tcMar>
              <w:top w:w="100.0" w:type="dxa"/>
              <w:left w:w="100.0" w:type="dxa"/>
              <w:bottom w:w="100.0" w:type="dxa"/>
              <w:right w:w="100.0" w:type="dxa"/>
            </w:tcMar>
            <w:vAlign w:val="top"/>
          </w:tcPr>
          <w:p w:rsidR="00000000" w:rsidDel="00000000" w:rsidP="00000000" w:rsidRDefault="00000000" w:rsidRPr="00000000" w14:paraId="00000136">
            <w:pPr>
              <w:spacing w:after="240" w:before="240" w:line="240" w:lineRule="auto"/>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37">
            <w:pPr>
              <w:spacing w:after="240" w:before="240" w:line="240" w:lineRule="auto"/>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38">
            <w:pPr>
              <w:spacing w:after="240" w:before="240" w:line="240" w:lineRule="auto"/>
              <w:jc w:val="both"/>
              <w:rPr/>
            </w:pPr>
            <w:r w:rsidDel="00000000" w:rsidR="00000000" w:rsidRPr="00000000">
              <w:rPr>
                <w:rtl w:val="0"/>
              </w:rPr>
              <w:t xml:space="preserve">16</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9">
            <w:pPr>
              <w:spacing w:after="240" w:before="240" w:line="240" w:lineRule="auto"/>
              <w:jc w:val="both"/>
              <w:rPr/>
            </w:pPr>
            <w:r w:rsidDel="00000000" w:rsidR="00000000" w:rsidRPr="00000000">
              <w:rPr>
                <w:rtl w:val="0"/>
              </w:rPr>
              <w:t xml:space="preserve">Software development</w:t>
            </w:r>
          </w:p>
        </w:tc>
        <w:tc>
          <w:tcPr>
            <w:tcMar>
              <w:top w:w="100.0" w:type="dxa"/>
              <w:left w:w="100.0" w:type="dxa"/>
              <w:bottom w:w="100.0" w:type="dxa"/>
              <w:right w:w="100.0" w:type="dxa"/>
            </w:tcMar>
            <w:vAlign w:val="top"/>
          </w:tcPr>
          <w:p w:rsidR="00000000" w:rsidDel="00000000" w:rsidP="00000000" w:rsidRDefault="00000000" w:rsidRPr="00000000" w14:paraId="0000013A">
            <w:pPr>
              <w:spacing w:after="240" w:before="240" w:line="240" w:lineRule="auto"/>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3B">
            <w:pPr>
              <w:spacing w:after="240" w:before="240" w:line="240" w:lineRule="auto"/>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3C">
            <w:pPr>
              <w:spacing w:after="240" w:before="240" w:line="240" w:lineRule="auto"/>
              <w:jc w:val="both"/>
              <w:rPr/>
            </w:pPr>
            <w:r w:rsidDel="00000000" w:rsidR="00000000" w:rsidRPr="00000000">
              <w:rPr>
                <w:rtl w:val="0"/>
              </w:rPr>
              <w:t xml:space="preserve">15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D">
            <w:pPr>
              <w:spacing w:after="240" w:before="240" w:line="240" w:lineRule="auto"/>
              <w:jc w:val="both"/>
              <w:rPr/>
            </w:pPr>
            <w:r w:rsidDel="00000000" w:rsidR="00000000" w:rsidRPr="00000000">
              <w:rPr>
                <w:rtl w:val="0"/>
              </w:rPr>
              <w:t xml:space="preserve">Finance</w:t>
            </w:r>
          </w:p>
        </w:tc>
        <w:tc>
          <w:tcPr>
            <w:tcMar>
              <w:top w:w="100.0" w:type="dxa"/>
              <w:left w:w="100.0" w:type="dxa"/>
              <w:bottom w:w="100.0" w:type="dxa"/>
              <w:right w:w="100.0" w:type="dxa"/>
            </w:tcMar>
            <w:vAlign w:val="top"/>
          </w:tcPr>
          <w:p w:rsidR="00000000" w:rsidDel="00000000" w:rsidP="00000000" w:rsidRDefault="00000000" w:rsidRPr="00000000" w14:paraId="0000013E">
            <w:pPr>
              <w:spacing w:after="240" w:before="240" w:line="240" w:lineRule="auto"/>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3F">
            <w:pPr>
              <w:spacing w:after="240" w:before="240" w:line="240" w:lineRule="auto"/>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40">
            <w:pPr>
              <w:spacing w:after="240" w:before="240" w:line="240" w:lineRule="auto"/>
              <w:jc w:val="both"/>
              <w:rPr/>
            </w:pPr>
            <w:r w:rsidDel="00000000" w:rsidR="00000000" w:rsidRPr="00000000">
              <w:rPr>
                <w:rtl w:val="0"/>
              </w:rPr>
              <w:t xml:space="preserve">12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1">
            <w:pPr>
              <w:spacing w:after="240" w:before="240" w:line="240" w:lineRule="auto"/>
              <w:jc w:val="both"/>
              <w:rPr/>
            </w:pPr>
            <w:r w:rsidDel="00000000" w:rsidR="00000000" w:rsidRPr="00000000">
              <w:rPr>
                <w:rtl w:val="0"/>
              </w:rPr>
              <w:t xml:space="preserve">Human resources</w:t>
            </w:r>
          </w:p>
        </w:tc>
        <w:tc>
          <w:tcPr>
            <w:tcMar>
              <w:top w:w="100.0" w:type="dxa"/>
              <w:left w:w="100.0" w:type="dxa"/>
              <w:bottom w:w="100.0" w:type="dxa"/>
              <w:right w:w="100.0" w:type="dxa"/>
            </w:tcMar>
            <w:vAlign w:val="top"/>
          </w:tcPr>
          <w:p w:rsidR="00000000" w:rsidDel="00000000" w:rsidP="00000000" w:rsidRDefault="00000000" w:rsidRPr="00000000" w14:paraId="00000142">
            <w:pPr>
              <w:spacing w:after="240" w:before="240" w:line="240" w:lineRule="auto"/>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43">
            <w:pPr>
              <w:spacing w:after="240" w:before="240" w:line="240" w:lineRule="auto"/>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44">
            <w:pPr>
              <w:spacing w:after="240" w:before="240" w:line="240" w:lineRule="auto"/>
              <w:jc w:val="both"/>
              <w:rPr/>
            </w:pPr>
            <w:r w:rsidDel="00000000" w:rsidR="00000000" w:rsidRPr="00000000">
              <w:rPr>
                <w:rtl w:val="0"/>
              </w:rPr>
              <w:t xml:space="preserve">12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5">
            <w:pPr>
              <w:spacing w:after="240" w:before="240" w:line="240" w:lineRule="auto"/>
              <w:jc w:val="both"/>
              <w:rPr/>
            </w:pPr>
            <w:r w:rsidDel="00000000" w:rsidR="00000000" w:rsidRPr="00000000">
              <w:rPr>
                <w:rtl w:val="0"/>
              </w:rPr>
              <w:t xml:space="preserve">Supply chain</w:t>
            </w:r>
          </w:p>
        </w:tc>
        <w:tc>
          <w:tcPr>
            <w:tcMar>
              <w:top w:w="100.0" w:type="dxa"/>
              <w:left w:w="100.0" w:type="dxa"/>
              <w:bottom w:w="100.0" w:type="dxa"/>
              <w:right w:w="100.0" w:type="dxa"/>
            </w:tcMar>
            <w:vAlign w:val="top"/>
          </w:tcPr>
          <w:p w:rsidR="00000000" w:rsidDel="00000000" w:rsidP="00000000" w:rsidRDefault="00000000" w:rsidRPr="00000000" w14:paraId="00000146">
            <w:pPr>
              <w:spacing w:after="240" w:before="240" w:line="240" w:lineRule="auto"/>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47">
            <w:pPr>
              <w:spacing w:after="240" w:before="240" w:line="240" w:lineRule="auto"/>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48">
            <w:pPr>
              <w:spacing w:after="240" w:before="240" w:line="240" w:lineRule="auto"/>
              <w:jc w:val="both"/>
              <w:rPr/>
            </w:pPr>
            <w:r w:rsidDel="00000000" w:rsidR="00000000" w:rsidRPr="00000000">
              <w:rPr>
                <w:rtl w:val="0"/>
              </w:rPr>
              <w:t xml:space="preserve">12</w:t>
            </w:r>
          </w:p>
        </w:tc>
      </w:tr>
    </w:tbl>
    <w:p w:rsidR="00000000" w:rsidDel="00000000" w:rsidP="00000000" w:rsidRDefault="00000000" w:rsidRPr="00000000" w14:paraId="00000149">
      <w:pPr>
        <w:pStyle w:val="Heading3"/>
        <w:keepNext w:val="0"/>
        <w:keepLines w:val="0"/>
        <w:spacing w:before="280" w:lineRule="auto"/>
        <w:jc w:val="both"/>
        <w:rPr>
          <w:color w:val="000000"/>
          <w:sz w:val="32"/>
          <w:szCs w:val="32"/>
        </w:rPr>
      </w:pPr>
      <w:bookmarkStart w:colFirst="0" w:colLast="0" w:name="_6ab7pvau1ceh" w:id="32"/>
      <w:bookmarkEnd w:id="32"/>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jc w:val="both"/>
        <w:rPr>
          <w:b w:val="1"/>
          <w:bCs w:val="1"/>
          <w:color w:val="000000"/>
          <w:sz w:val="22"/>
          <w:szCs w:val="22"/>
        </w:rPr>
      </w:pPr>
      <w:bookmarkStart w:colFirst="0" w:colLast="0" w:name="_tgtfiukrn5j1" w:id="33"/>
      <w:bookmarkEnd w:id="33"/>
      <w:r w:rsidDel="00000000" w:rsidR="00000000" w:rsidRPr="00000000">
        <w:rPr>
          <w:color w:val="000000"/>
          <w:sz w:val="32"/>
          <w:szCs w:val="32"/>
          <w:rtl w:val="0"/>
        </w:rPr>
        <w:t xml:space="preserve">5.3 Findings</w:t>
      </w:r>
      <w:r w:rsidDel="00000000" w:rsidR="00000000" w:rsidRPr="00000000">
        <w:rPr>
          <w:rtl w:val="0"/>
        </w:rPr>
      </w:r>
    </w:p>
    <w:p w:rsidR="00000000" w:rsidDel="00000000" w:rsidP="00000000" w:rsidRDefault="00000000" w:rsidRPr="00000000" w14:paraId="0000014B">
      <w:pPr>
        <w:spacing w:after="240" w:before="240" w:lineRule="auto"/>
        <w:jc w:val="both"/>
        <w:rPr/>
      </w:pPr>
      <w:r w:rsidDel="00000000" w:rsidR="00000000" w:rsidRPr="00000000">
        <w:rPr>
          <w:rtl w:val="0"/>
        </w:rPr>
        <w:t xml:space="preserve">Customer service and IT service management emerge as the highest-priority opportunities in this preliminary assessment. Both functions involve repeatable workflows, substantial interaction volumes, and opportunities to reduce manual effort.</w:t>
      </w:r>
    </w:p>
    <w:p w:rsidR="00000000" w:rsidDel="00000000" w:rsidP="00000000" w:rsidRDefault="00000000" w:rsidRPr="00000000" w14:paraId="0000014C">
      <w:pPr>
        <w:spacing w:after="240" w:before="240" w:lineRule="auto"/>
        <w:jc w:val="both"/>
        <w:rPr/>
      </w:pPr>
      <w:r w:rsidDel="00000000" w:rsidR="00000000" w:rsidRPr="00000000">
        <w:rPr>
          <w:rtl w:val="0"/>
        </w:rPr>
        <w:t xml:space="preserve">Sales and software development also show attractive potential. However, software development may require stronger controls, testing, and human review because agent-generated outputs can affect production systems and software quality.</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Finance, human resources, and supply chain applications may offer meaningful benefits, but implementation requirements vary according to data sensitivity, regulatory obligations, workflow complexity, and the consequences of errors.</w:t>
      </w:r>
    </w:p>
    <w:p w:rsidR="00000000" w:rsidDel="00000000" w:rsidP="00000000" w:rsidRDefault="00000000" w:rsidRPr="00000000" w14:paraId="0000014E">
      <w:pPr>
        <w:pStyle w:val="Heading3"/>
        <w:keepNext w:val="0"/>
        <w:keepLines w:val="0"/>
        <w:spacing w:before="280" w:lineRule="auto"/>
        <w:jc w:val="both"/>
        <w:rPr>
          <w:b w:val="1"/>
          <w:bCs w:val="1"/>
          <w:color w:val="000000"/>
          <w:sz w:val="22"/>
          <w:szCs w:val="22"/>
        </w:rPr>
      </w:pPr>
      <w:bookmarkStart w:colFirst="0" w:colLast="0" w:name="_qy59m49x3i98" w:id="34"/>
      <w:bookmarkEnd w:id="34"/>
      <w:r w:rsidDel="00000000" w:rsidR="00000000" w:rsidRPr="00000000">
        <w:rPr>
          <w:color w:val="000000"/>
          <w:sz w:val="32"/>
          <w:szCs w:val="32"/>
          <w:rtl w:val="0"/>
        </w:rPr>
        <w:t xml:space="preserve">5.4 Implications</w:t>
      </w:r>
      <w:r w:rsidDel="00000000" w:rsidR="00000000" w:rsidRPr="00000000">
        <w:rPr>
          <w:rtl w:val="0"/>
        </w:rPr>
      </w:r>
    </w:p>
    <w:p w:rsidR="00000000" w:rsidDel="00000000" w:rsidP="00000000" w:rsidRDefault="00000000" w:rsidRPr="00000000" w14:paraId="0000014F">
      <w:pPr>
        <w:spacing w:after="240" w:before="240" w:lineRule="auto"/>
        <w:jc w:val="both"/>
        <w:rPr/>
      </w:pPr>
      <w:r w:rsidDel="00000000" w:rsidR="00000000" w:rsidRPr="00000000">
        <w:rPr>
          <w:rtl w:val="0"/>
        </w:rPr>
        <w:t xml:space="preserve">Organizations should prioritise use cases based on measurable business outcomes rather than adopting agents solely because the technology is available. Potential pilot projects should establish baseline performance, define human-approval requirements, and track outcomes such as task completion time, error rates, cost per transaction, and user satisfaction.</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The assessment is directional, not a measured ranking of the global market. Further validation is required before translating these scores into market-size estimates or investment decisions.</w:t>
      </w:r>
    </w:p>
    <w:p w:rsidR="00000000" w:rsidDel="00000000" w:rsidP="00000000" w:rsidRDefault="00000000" w:rsidRPr="00000000" w14:paraId="00000151">
      <w:pPr>
        <w:spacing w:after="240" w:before="240" w:lineRule="auto"/>
        <w:jc w:val="both"/>
        <w:rPr/>
      </w:pPr>
      <w:r w:rsidDel="00000000" w:rsidR="00000000" w:rsidRPr="00000000">
        <w:rPr>
          <w:rtl w:val="0"/>
        </w:rPr>
      </w:r>
    </w:p>
    <w:p w:rsidR="00000000" w:rsidDel="00000000" w:rsidP="00000000" w:rsidRDefault="00000000" w:rsidRPr="00000000" w14:paraId="00000152">
      <w:pPr>
        <w:spacing w:after="240" w:before="240" w:lineRule="auto"/>
        <w:jc w:val="both"/>
        <w:rPr/>
      </w:pPr>
      <w:r w:rsidDel="00000000" w:rsidR="00000000" w:rsidRPr="00000000">
        <w:rPr>
          <w:rtl w:val="0"/>
        </w:rPr>
      </w:r>
    </w:p>
    <w:p w:rsidR="00000000" w:rsidDel="00000000" w:rsidP="00000000" w:rsidRDefault="00000000" w:rsidRPr="00000000" w14:paraId="00000153">
      <w:pPr>
        <w:spacing w:after="240" w:before="240" w:lineRule="auto"/>
        <w:jc w:val="both"/>
        <w:rPr/>
      </w:pPr>
      <w:r w:rsidDel="00000000" w:rsidR="00000000" w:rsidRPr="00000000">
        <w:rPr>
          <w:rtl w:val="0"/>
        </w:rPr>
      </w:r>
    </w:p>
    <w:p w:rsidR="00000000" w:rsidDel="00000000" w:rsidP="00000000" w:rsidRDefault="00000000" w:rsidRPr="00000000" w14:paraId="00000154">
      <w:pPr>
        <w:spacing w:after="240" w:before="240" w:lineRule="auto"/>
        <w:jc w:val="both"/>
        <w:rPr/>
      </w:pPr>
      <w:r w:rsidDel="00000000" w:rsidR="00000000" w:rsidRPr="00000000">
        <w:rPr>
          <w:rtl w:val="0"/>
        </w:rPr>
      </w:r>
    </w:p>
    <w:p w:rsidR="00000000" w:rsidDel="00000000" w:rsidP="00000000" w:rsidRDefault="00000000" w:rsidRPr="00000000" w14:paraId="00000155">
      <w:pPr>
        <w:spacing w:after="240" w:before="240" w:lineRule="auto"/>
        <w:jc w:val="both"/>
        <w:rPr/>
      </w:pPr>
      <w:r w:rsidDel="00000000" w:rsidR="00000000" w:rsidRPr="00000000">
        <w:rPr>
          <w:rtl w:val="0"/>
        </w:rPr>
      </w:r>
    </w:p>
    <w:p w:rsidR="00000000" w:rsidDel="00000000" w:rsidP="00000000" w:rsidRDefault="00000000" w:rsidRPr="00000000" w14:paraId="00000156">
      <w:pPr>
        <w:spacing w:after="240" w:before="240" w:lineRule="auto"/>
        <w:jc w:val="both"/>
        <w:rPr/>
      </w:pPr>
      <w:r w:rsidDel="00000000" w:rsidR="00000000" w:rsidRPr="00000000">
        <w:rPr>
          <w:rtl w:val="0"/>
        </w:rPr>
      </w:r>
    </w:p>
    <w:p w:rsidR="00000000" w:rsidDel="00000000" w:rsidP="00000000" w:rsidRDefault="00000000" w:rsidRPr="00000000" w14:paraId="00000157">
      <w:pPr>
        <w:spacing w:after="240" w:before="240" w:lineRule="auto"/>
        <w:jc w:val="both"/>
        <w:rPr/>
      </w:pPr>
      <w:r w:rsidDel="00000000" w:rsidR="00000000" w:rsidRPr="00000000">
        <w:rPr>
          <w:rtl w:val="0"/>
        </w:rPr>
      </w:r>
    </w:p>
    <w:p w:rsidR="00000000" w:rsidDel="00000000" w:rsidP="00000000" w:rsidRDefault="00000000" w:rsidRPr="00000000" w14:paraId="00000158">
      <w:pPr>
        <w:spacing w:after="240" w:before="240" w:lineRule="auto"/>
        <w:jc w:val="both"/>
        <w:rPr/>
      </w:pPr>
      <w:r w:rsidDel="00000000" w:rsidR="00000000" w:rsidRPr="00000000">
        <w:rPr>
          <w:rtl w:val="0"/>
        </w:rPr>
      </w:r>
    </w:p>
    <w:p w:rsidR="00000000" w:rsidDel="00000000" w:rsidP="00000000" w:rsidRDefault="00000000" w:rsidRPr="00000000" w14:paraId="00000159">
      <w:pPr>
        <w:spacing w:after="240" w:before="240" w:lineRule="auto"/>
        <w:jc w:val="both"/>
        <w:rPr/>
      </w:pPr>
      <w:r w:rsidDel="00000000" w:rsidR="00000000" w:rsidRPr="00000000">
        <w:rPr>
          <w:rtl w:val="0"/>
        </w:rPr>
      </w:r>
    </w:p>
    <w:p w:rsidR="00000000" w:rsidDel="00000000" w:rsidP="00000000" w:rsidRDefault="00000000" w:rsidRPr="00000000" w14:paraId="0000015A">
      <w:pPr>
        <w:spacing w:after="240" w:before="240" w:lineRule="auto"/>
        <w:jc w:val="both"/>
        <w:rPr/>
      </w:pPr>
      <w:r w:rsidDel="00000000" w:rsidR="00000000" w:rsidRPr="00000000">
        <w:rPr>
          <w:rtl w:val="0"/>
        </w:rPr>
      </w:r>
    </w:p>
    <w:p w:rsidR="00000000" w:rsidDel="00000000" w:rsidP="00000000" w:rsidRDefault="00000000" w:rsidRPr="00000000" w14:paraId="0000015B">
      <w:pPr>
        <w:spacing w:after="240" w:before="240" w:lineRule="auto"/>
        <w:jc w:val="both"/>
        <w:rPr/>
      </w:pPr>
      <w:r w:rsidDel="00000000" w:rsidR="00000000" w:rsidRPr="00000000">
        <w:rPr>
          <w:rtl w:val="0"/>
        </w:rPr>
      </w:r>
    </w:p>
    <w:p w:rsidR="00000000" w:rsidDel="00000000" w:rsidP="00000000" w:rsidRDefault="00000000" w:rsidRPr="00000000" w14:paraId="0000015C">
      <w:pPr>
        <w:spacing w:after="240" w:before="240" w:lineRule="auto"/>
        <w:jc w:val="both"/>
        <w:rPr/>
      </w:pPr>
      <w:r w:rsidDel="00000000" w:rsidR="00000000" w:rsidRPr="00000000">
        <w:rPr>
          <w:rtl w:val="0"/>
        </w:rPr>
      </w:r>
    </w:p>
    <w:p w:rsidR="00000000" w:rsidDel="00000000" w:rsidP="00000000" w:rsidRDefault="00000000" w:rsidRPr="00000000" w14:paraId="0000015D">
      <w:pPr>
        <w:pStyle w:val="Heading1"/>
        <w:keepNext w:val="0"/>
        <w:keepLines w:val="0"/>
        <w:spacing w:after="80" w:lineRule="auto"/>
        <w:jc w:val="both"/>
        <w:rPr/>
      </w:pPr>
      <w:bookmarkStart w:colFirst="0" w:colLast="0" w:name="_ynflbqxk5fen" w:id="35"/>
      <w:bookmarkEnd w:id="35"/>
      <w:r w:rsidDel="00000000" w:rsidR="00000000" w:rsidRPr="00000000">
        <w:rPr>
          <w:rtl w:val="0"/>
        </w:rPr>
        <w:t xml:space="preserve">6. Market Forecast and Scenarios</w:t>
      </w:r>
    </w:p>
    <w:p w:rsidR="00000000" w:rsidDel="00000000" w:rsidP="00000000" w:rsidRDefault="00000000" w:rsidRPr="00000000" w14:paraId="0000015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6iwog7wiyvrh" w:id="36"/>
      <w:bookmarkEnd w:id="36"/>
      <w:r w:rsidDel="00000000" w:rsidR="00000000" w:rsidRPr="00000000">
        <w:rPr>
          <w:color w:val="000000"/>
          <w:sz w:val="32"/>
          <w:szCs w:val="32"/>
          <w:rtl w:val="0"/>
        </w:rPr>
        <w:t xml:space="preserve">6.1 Forecast Approach</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The forecast uses the published IDC benchmark for agentic AI platforms as an external reference point. IDC reported a market value of USD 2.6 billion in 2025 and projected USD 41.5 billion by 2030, with a published compound annual growth rate (CAGR) of 74.6%.</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These figures are used as a benchmark rather than as a fully independently estimated measure of the entire enterprise agentic AI market. The forecast period covers 2026–2030, with 2025 serving as the base year.</w:t>
      </w:r>
    </w:p>
    <w:p w:rsidR="00000000" w:rsidDel="00000000" w:rsidP="00000000" w:rsidRDefault="00000000" w:rsidRPr="00000000" w14:paraId="0000016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us0opj5039dn" w:id="37"/>
      <w:bookmarkEnd w:id="37"/>
      <w:r w:rsidDel="00000000" w:rsidR="00000000" w:rsidRPr="00000000">
        <w:rPr>
          <w:color w:val="000000"/>
          <w:sz w:val="32"/>
          <w:szCs w:val="32"/>
          <w:rtl w:val="0"/>
        </w:rPr>
        <w:t xml:space="preserve">6.2 Scenario Analysis</w:t>
      </w:r>
    </w:p>
    <w:p w:rsidR="00000000" w:rsidDel="00000000" w:rsidP="00000000" w:rsidRDefault="00000000" w:rsidRPr="00000000" w14:paraId="00000162">
      <w:pPr>
        <w:rPr/>
      </w:pPr>
      <w:r w:rsidDel="00000000" w:rsidR="00000000" w:rsidRPr="00000000">
        <w:rPr>
          <w:rtl w:val="0"/>
        </w:rPr>
      </w:r>
    </w:p>
    <w:tbl>
      <w:tblPr>
        <w:tblStyle w:val="Table5"/>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3120"/>
        <w:gridCol w:w="4155"/>
        <w:tblGridChange w:id="0">
          <w:tblGrid>
            <w:gridCol w:w="1815"/>
            <w:gridCol w:w="3120"/>
            <w:gridCol w:w="4155"/>
          </w:tblGrid>
        </w:tblGridChange>
      </w:tblGrid>
      <w:tr>
        <w:trPr>
          <w:cantSplit w:val="0"/>
          <w:trHeight w:val="50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163">
            <w:pPr>
              <w:spacing w:after="240" w:before="240" w:lineRule="auto"/>
              <w:jc w:val="center"/>
              <w:rPr>
                <w:b w:val="1"/>
                <w:bCs w:val="1"/>
                <w:sz w:val="24"/>
                <w:szCs w:val="24"/>
              </w:rPr>
            </w:pPr>
            <w:r w:rsidDel="00000000" w:rsidR="00000000" w:rsidRPr="00000000">
              <w:rPr>
                <w:b w:val="1"/>
                <w:bCs w:val="1"/>
                <w:sz w:val="24"/>
                <w:szCs w:val="24"/>
                <w:rtl w:val="0"/>
              </w:rPr>
              <w:t xml:space="preserve">Scenario</w:t>
            </w:r>
          </w:p>
        </w:tc>
        <w:tc>
          <w:tcPr>
            <w:shd w:fill="f3f3f3" w:val="clear"/>
            <w:tcMar>
              <w:top w:w="0.0" w:type="dxa"/>
              <w:left w:w="0.0" w:type="dxa"/>
              <w:bottom w:w="0.0" w:type="dxa"/>
              <w:right w:w="0.0" w:type="dxa"/>
            </w:tcMar>
            <w:vAlign w:val="center"/>
          </w:tcPr>
          <w:p w:rsidR="00000000" w:rsidDel="00000000" w:rsidP="00000000" w:rsidRDefault="00000000" w:rsidRPr="00000000" w14:paraId="00000164">
            <w:pPr>
              <w:spacing w:after="240" w:before="240" w:lineRule="auto"/>
              <w:jc w:val="center"/>
              <w:rPr>
                <w:b w:val="1"/>
                <w:bCs w:val="1"/>
                <w:sz w:val="24"/>
                <w:szCs w:val="24"/>
              </w:rPr>
            </w:pPr>
            <w:r w:rsidDel="00000000" w:rsidR="00000000" w:rsidRPr="00000000">
              <w:rPr>
                <w:b w:val="1"/>
                <w:bCs w:val="1"/>
                <w:sz w:val="24"/>
                <w:szCs w:val="24"/>
                <w:rtl w:val="0"/>
              </w:rPr>
              <w:t xml:space="preserve">Annual growth</w:t>
            </w:r>
          </w:p>
        </w:tc>
        <w:tc>
          <w:tcPr>
            <w:shd w:fill="f3f3f3" w:val="clear"/>
            <w:tcMar>
              <w:top w:w="0.0" w:type="dxa"/>
              <w:left w:w="0.0" w:type="dxa"/>
              <w:bottom w:w="0.0" w:type="dxa"/>
              <w:right w:w="0.0" w:type="dxa"/>
            </w:tcMar>
            <w:vAlign w:val="center"/>
          </w:tcPr>
          <w:p w:rsidR="00000000" w:rsidDel="00000000" w:rsidP="00000000" w:rsidRDefault="00000000" w:rsidRPr="00000000" w14:paraId="00000165">
            <w:pPr>
              <w:spacing w:after="240" w:before="240" w:lineRule="auto"/>
              <w:jc w:val="center"/>
              <w:rPr>
                <w:b w:val="1"/>
                <w:bCs w:val="1"/>
                <w:sz w:val="24"/>
                <w:szCs w:val="24"/>
              </w:rPr>
            </w:pPr>
            <w:r w:rsidDel="00000000" w:rsidR="00000000" w:rsidRPr="00000000">
              <w:rPr>
                <w:b w:val="1"/>
                <w:bCs w:val="1"/>
                <w:sz w:val="24"/>
                <w:szCs w:val="24"/>
                <w:rtl w:val="0"/>
              </w:rPr>
              <w:t xml:space="preserve">2030 estimate</w:t>
            </w:r>
          </w:p>
        </w:tc>
      </w:tr>
      <w:tr>
        <w:trPr>
          <w:cantSplit w:val="0"/>
          <w:trHeight w:val="50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166">
            <w:pPr>
              <w:spacing w:after="240" w:before="240" w:lineRule="auto"/>
              <w:jc w:val="center"/>
              <w:rPr>
                <w:sz w:val="24"/>
                <w:szCs w:val="24"/>
              </w:rPr>
            </w:pPr>
            <w:r w:rsidDel="00000000" w:rsidR="00000000" w:rsidRPr="00000000">
              <w:rPr>
                <w:sz w:val="24"/>
                <w:szCs w:val="24"/>
                <w:rtl w:val="0"/>
              </w:rPr>
              <w:t xml:space="preserve">Low</w:t>
            </w:r>
          </w:p>
        </w:tc>
        <w:tc>
          <w:tcPr>
            <w:shd w:fill="f3f3f3" w:val="clear"/>
            <w:tcMar>
              <w:top w:w="0.0" w:type="dxa"/>
              <w:left w:w="0.0" w:type="dxa"/>
              <w:bottom w:w="0.0" w:type="dxa"/>
              <w:right w:w="0.0" w:type="dxa"/>
            </w:tcMar>
            <w:vAlign w:val="center"/>
          </w:tcPr>
          <w:p w:rsidR="00000000" w:rsidDel="00000000" w:rsidP="00000000" w:rsidRDefault="00000000" w:rsidRPr="00000000" w14:paraId="00000167">
            <w:pPr>
              <w:spacing w:after="240" w:before="240" w:lineRule="auto"/>
              <w:jc w:val="center"/>
              <w:rPr>
                <w:sz w:val="24"/>
                <w:szCs w:val="24"/>
              </w:rPr>
            </w:pPr>
            <w:r w:rsidDel="00000000" w:rsidR="00000000" w:rsidRPr="00000000">
              <w:rPr>
                <w:sz w:val="24"/>
                <w:szCs w:val="24"/>
                <w:rtl w:val="0"/>
              </w:rPr>
              <w:t xml:space="preserve">50%</w:t>
            </w:r>
          </w:p>
        </w:tc>
        <w:tc>
          <w:tcPr>
            <w:shd w:fill="f3f3f3" w:val="clear"/>
            <w:tcMar>
              <w:top w:w="0.0" w:type="dxa"/>
              <w:left w:w="0.0" w:type="dxa"/>
              <w:bottom w:w="0.0" w:type="dxa"/>
              <w:right w:w="0.0" w:type="dxa"/>
            </w:tcMar>
            <w:vAlign w:val="center"/>
          </w:tcPr>
          <w:p w:rsidR="00000000" w:rsidDel="00000000" w:rsidP="00000000" w:rsidRDefault="00000000" w:rsidRPr="00000000" w14:paraId="00000168">
            <w:pPr>
              <w:spacing w:after="240" w:before="240" w:lineRule="auto"/>
              <w:jc w:val="center"/>
              <w:rPr>
                <w:sz w:val="24"/>
                <w:szCs w:val="24"/>
              </w:rPr>
            </w:pPr>
            <w:r w:rsidDel="00000000" w:rsidR="00000000" w:rsidRPr="00000000">
              <w:rPr>
                <w:sz w:val="24"/>
                <w:szCs w:val="24"/>
                <w:rtl w:val="0"/>
              </w:rPr>
              <w:t xml:space="preserve">USD 19.7 billion</w:t>
            </w:r>
          </w:p>
        </w:tc>
      </w:tr>
      <w:tr>
        <w:trPr>
          <w:cantSplit w:val="0"/>
          <w:trHeight w:val="50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169">
            <w:pPr>
              <w:spacing w:after="240" w:before="240" w:lineRule="auto"/>
              <w:jc w:val="center"/>
              <w:rPr>
                <w:sz w:val="24"/>
                <w:szCs w:val="24"/>
              </w:rPr>
            </w:pPr>
            <w:r w:rsidDel="00000000" w:rsidR="00000000" w:rsidRPr="00000000">
              <w:rPr>
                <w:sz w:val="24"/>
                <w:szCs w:val="24"/>
                <w:rtl w:val="0"/>
              </w:rPr>
              <w:t xml:space="preserve">Base</w:t>
            </w:r>
          </w:p>
        </w:tc>
        <w:tc>
          <w:tcPr>
            <w:shd w:fill="f3f3f3" w:val="clear"/>
            <w:tcMar>
              <w:top w:w="0.0" w:type="dxa"/>
              <w:left w:w="0.0" w:type="dxa"/>
              <w:bottom w:w="0.0" w:type="dxa"/>
              <w:right w:w="0.0" w:type="dxa"/>
            </w:tcMar>
            <w:vAlign w:val="center"/>
          </w:tcPr>
          <w:p w:rsidR="00000000" w:rsidDel="00000000" w:rsidP="00000000" w:rsidRDefault="00000000" w:rsidRPr="00000000" w14:paraId="0000016A">
            <w:pPr>
              <w:spacing w:after="240" w:before="240" w:lineRule="auto"/>
              <w:jc w:val="center"/>
              <w:rPr>
                <w:sz w:val="24"/>
                <w:szCs w:val="24"/>
              </w:rPr>
            </w:pPr>
            <w:r w:rsidDel="00000000" w:rsidR="00000000" w:rsidRPr="00000000">
              <w:rPr>
                <w:sz w:val="24"/>
                <w:szCs w:val="24"/>
                <w:rtl w:val="0"/>
              </w:rPr>
              <w:t xml:space="preserve">74.6%</w:t>
            </w:r>
          </w:p>
        </w:tc>
        <w:tc>
          <w:tcPr>
            <w:shd w:fill="f3f3f3" w:val="clear"/>
            <w:tcMar>
              <w:top w:w="0.0" w:type="dxa"/>
              <w:left w:w="0.0" w:type="dxa"/>
              <w:bottom w:w="0.0" w:type="dxa"/>
              <w:right w:w="0.0" w:type="dxa"/>
            </w:tcMar>
            <w:vAlign w:val="center"/>
          </w:tcPr>
          <w:p w:rsidR="00000000" w:rsidDel="00000000" w:rsidP="00000000" w:rsidRDefault="00000000" w:rsidRPr="00000000" w14:paraId="0000016B">
            <w:pPr>
              <w:spacing w:after="240" w:before="240" w:lineRule="auto"/>
              <w:jc w:val="center"/>
              <w:rPr>
                <w:sz w:val="24"/>
                <w:szCs w:val="24"/>
              </w:rPr>
            </w:pPr>
            <w:r w:rsidDel="00000000" w:rsidR="00000000" w:rsidRPr="00000000">
              <w:rPr>
                <w:sz w:val="24"/>
                <w:szCs w:val="24"/>
                <w:rtl w:val="0"/>
              </w:rPr>
              <w:t xml:space="preserve">USD 42.1 billion</w:t>
            </w:r>
          </w:p>
        </w:tc>
      </w:tr>
      <w:tr>
        <w:trPr>
          <w:cantSplit w:val="0"/>
          <w:trHeight w:val="50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16C">
            <w:pPr>
              <w:spacing w:after="240" w:before="240" w:lineRule="auto"/>
              <w:jc w:val="center"/>
              <w:rPr>
                <w:sz w:val="24"/>
                <w:szCs w:val="24"/>
              </w:rPr>
            </w:pPr>
            <w:r w:rsidDel="00000000" w:rsidR="00000000" w:rsidRPr="00000000">
              <w:rPr>
                <w:sz w:val="24"/>
                <w:szCs w:val="24"/>
                <w:rtl w:val="0"/>
              </w:rPr>
              <w:t xml:space="preserve">High</w:t>
            </w:r>
          </w:p>
        </w:tc>
        <w:tc>
          <w:tcPr>
            <w:shd w:fill="f3f3f3" w:val="clear"/>
            <w:tcMar>
              <w:top w:w="0.0" w:type="dxa"/>
              <w:left w:w="0.0" w:type="dxa"/>
              <w:bottom w:w="0.0" w:type="dxa"/>
              <w:right w:w="0.0" w:type="dxa"/>
            </w:tcMar>
            <w:vAlign w:val="center"/>
          </w:tcPr>
          <w:p w:rsidR="00000000" w:rsidDel="00000000" w:rsidP="00000000" w:rsidRDefault="00000000" w:rsidRPr="00000000" w14:paraId="0000016D">
            <w:pPr>
              <w:spacing w:after="240" w:before="240" w:lineRule="auto"/>
              <w:jc w:val="center"/>
              <w:rPr>
                <w:sz w:val="24"/>
                <w:szCs w:val="24"/>
              </w:rPr>
            </w:pPr>
            <w:r w:rsidDel="00000000" w:rsidR="00000000" w:rsidRPr="00000000">
              <w:rPr>
                <w:sz w:val="24"/>
                <w:szCs w:val="24"/>
                <w:rtl w:val="0"/>
              </w:rPr>
              <w:t xml:space="preserve">85%</w:t>
            </w:r>
          </w:p>
        </w:tc>
        <w:tc>
          <w:tcPr>
            <w:shd w:fill="f3f3f3" w:val="clear"/>
            <w:tcMar>
              <w:top w:w="0.0" w:type="dxa"/>
              <w:left w:w="0.0" w:type="dxa"/>
              <w:bottom w:w="0.0" w:type="dxa"/>
              <w:right w:w="0.0" w:type="dxa"/>
            </w:tcMar>
            <w:vAlign w:val="center"/>
          </w:tcPr>
          <w:p w:rsidR="00000000" w:rsidDel="00000000" w:rsidP="00000000" w:rsidRDefault="00000000" w:rsidRPr="00000000" w14:paraId="0000016E">
            <w:pPr>
              <w:spacing w:after="240" w:before="240" w:lineRule="auto"/>
              <w:jc w:val="center"/>
              <w:rPr>
                <w:sz w:val="24"/>
                <w:szCs w:val="24"/>
              </w:rPr>
            </w:pPr>
            <w:r w:rsidDel="00000000" w:rsidR="00000000" w:rsidRPr="00000000">
              <w:rPr>
                <w:sz w:val="24"/>
                <w:szCs w:val="24"/>
                <w:rtl w:val="0"/>
              </w:rPr>
              <w:t xml:space="preserve">USD 54.9 billion</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jc w:val="both"/>
        <w:rPr/>
      </w:pPr>
      <w:r w:rsidDel="00000000" w:rsidR="00000000" w:rsidRPr="00000000">
        <w:rPr>
          <w:rtl w:val="0"/>
        </w:rPr>
        <w:t xml:space="preserve">Three illustrative scenarios were developed to show how different annual growth assumptions affect the market outlook.The scenarios are calculated by applying each assumed annual growth rate to the 2025 base value of USD 2.6 billion over five years. The growth rates for the low and high scenarios are analyst-selected assumptions, not published forecasts.</w:t>
      </w:r>
    </w:p>
    <w:p w:rsidR="00000000" w:rsidDel="00000000" w:rsidP="00000000" w:rsidRDefault="00000000" w:rsidRPr="00000000" w14:paraId="00000171">
      <w:pPr>
        <w:spacing w:after="240" w:before="240" w:lineRule="auto"/>
        <w:jc w:val="both"/>
        <w:rPr/>
      </w:pPr>
      <w:r w:rsidDel="00000000" w:rsidR="00000000" w:rsidRPr="00000000">
        <w:rPr>
          <w:rtl w:val="0"/>
        </w:rPr>
        <w:t xml:space="preserve">The base scenario produces approximately USD 42.1 billion in 2030, slightly above IDC's published USD 41.5 billion benchmark. This difference reflects the use of rounded input values and the application of the published CAGR to the rounded base value.</w:t>
      </w:r>
    </w:p>
    <w:p w:rsidR="00000000" w:rsidDel="00000000" w:rsidP="00000000" w:rsidRDefault="00000000" w:rsidRPr="00000000" w14:paraId="0000017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feyajfnby0jt" w:id="38"/>
      <w:bookmarkEnd w:id="38"/>
      <w:r w:rsidDel="00000000" w:rsidR="00000000" w:rsidRPr="00000000">
        <w:rPr>
          <w:color w:val="000000"/>
          <w:sz w:val="32"/>
          <w:szCs w:val="32"/>
          <w:rtl w:val="0"/>
        </w:rPr>
        <w:t xml:space="preserve">6.3 Interpretation</w:t>
      </w:r>
    </w:p>
    <w:p w:rsidR="00000000" w:rsidDel="00000000" w:rsidP="00000000" w:rsidRDefault="00000000" w:rsidRPr="00000000" w14:paraId="00000173">
      <w:pPr>
        <w:spacing w:after="240" w:before="240" w:lineRule="auto"/>
        <w:jc w:val="both"/>
        <w:rPr/>
      </w:pPr>
      <w:r w:rsidDel="00000000" w:rsidR="00000000" w:rsidRPr="00000000">
        <w:rPr>
          <w:rtl w:val="0"/>
        </w:rPr>
        <w:t xml:space="preserve">The scenarios indicate that the market outlook is highly sensitive to the assumed growth rate. Rapid expansion is plausible for a developing technology category, but the projected trajectory depends on enterprise adoption, the ability to demonstrate measurable returns, implementation costs, reliability, security, governance, and integration with existing systems.</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The scenarios should therefore be interpreted as sensitivity analysis rather than precise predictions. They do not establish the future market value with certainty.</w:t>
      </w:r>
    </w:p>
    <w:p w:rsidR="00000000" w:rsidDel="00000000" w:rsidP="00000000" w:rsidRDefault="00000000" w:rsidRPr="00000000" w14:paraId="0000017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h72clhbryh5j" w:id="39"/>
      <w:bookmarkEnd w:id="39"/>
      <w:r w:rsidDel="00000000" w:rsidR="00000000" w:rsidRPr="00000000">
        <w:rPr>
          <w:color w:val="000000"/>
          <w:sz w:val="32"/>
          <w:szCs w:val="32"/>
          <w:rtl w:val="0"/>
        </w:rPr>
        <w:t xml:space="preserve">6.4 Forecast Limitations</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The available published estimates may use different market definitions and may not be directly comparable. Agentic AI platforms, enterprise AI agents, AI assistants, and broader AI software spending are distinct categories. This report therefore treats external forecasts as benchmarks and does not combine them into a single market total.</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Further research should validate the underlying market definitions, clarify whether each estimate measures platform revenue or broader spending, and develop an independent bottom-up estimate using enterprise demand, adoption rates, and average annual spending.</w:t>
      </w:r>
    </w:p>
    <w:p w:rsidR="00000000" w:rsidDel="00000000" w:rsidP="00000000" w:rsidRDefault="00000000" w:rsidRPr="00000000" w14:paraId="00000178">
      <w:pPr>
        <w:spacing w:after="240" w:before="240" w:lineRule="auto"/>
        <w:jc w:val="both"/>
        <w:rPr/>
      </w:pPr>
      <w:r w:rsidDel="00000000" w:rsidR="00000000" w:rsidRPr="00000000">
        <w:rPr>
          <w:rtl w:val="0"/>
        </w:rPr>
      </w:r>
    </w:p>
    <w:p w:rsidR="00000000" w:rsidDel="00000000" w:rsidP="00000000" w:rsidRDefault="00000000" w:rsidRPr="00000000" w14:paraId="00000179">
      <w:pPr>
        <w:spacing w:after="240" w:before="240" w:lineRule="auto"/>
        <w:jc w:val="both"/>
        <w:rPr/>
      </w:pPr>
      <w:r w:rsidDel="00000000" w:rsidR="00000000" w:rsidRPr="00000000">
        <w:rPr>
          <w:rtl w:val="0"/>
        </w:rPr>
      </w:r>
    </w:p>
    <w:p w:rsidR="00000000" w:rsidDel="00000000" w:rsidP="00000000" w:rsidRDefault="00000000" w:rsidRPr="00000000" w14:paraId="0000017A">
      <w:pPr>
        <w:spacing w:after="240" w:before="240" w:lineRule="auto"/>
        <w:jc w:val="both"/>
        <w:rPr/>
      </w:pPr>
      <w:r w:rsidDel="00000000" w:rsidR="00000000" w:rsidRPr="00000000">
        <w:rPr>
          <w:rtl w:val="0"/>
        </w:rPr>
      </w:r>
    </w:p>
    <w:p w:rsidR="00000000" w:rsidDel="00000000" w:rsidP="00000000" w:rsidRDefault="00000000" w:rsidRPr="00000000" w14:paraId="0000017B">
      <w:pPr>
        <w:spacing w:after="240" w:before="240" w:lineRule="auto"/>
        <w:jc w:val="both"/>
        <w:rPr/>
      </w:pPr>
      <w:r w:rsidDel="00000000" w:rsidR="00000000" w:rsidRPr="00000000">
        <w:rPr>
          <w:rtl w:val="0"/>
        </w:rPr>
      </w:r>
    </w:p>
    <w:p w:rsidR="00000000" w:rsidDel="00000000" w:rsidP="00000000" w:rsidRDefault="00000000" w:rsidRPr="00000000" w14:paraId="0000017C">
      <w:pPr>
        <w:spacing w:after="240" w:before="240" w:lineRule="auto"/>
        <w:jc w:val="both"/>
        <w:rPr/>
      </w:pPr>
      <w:r w:rsidDel="00000000" w:rsidR="00000000" w:rsidRPr="00000000">
        <w:rPr>
          <w:rtl w:val="0"/>
        </w:rPr>
      </w:r>
    </w:p>
    <w:p w:rsidR="00000000" w:rsidDel="00000000" w:rsidP="00000000" w:rsidRDefault="00000000" w:rsidRPr="00000000" w14:paraId="0000017D">
      <w:pPr>
        <w:spacing w:after="240" w:before="240" w:lineRule="auto"/>
        <w:jc w:val="both"/>
        <w:rPr/>
      </w:pPr>
      <w:r w:rsidDel="00000000" w:rsidR="00000000" w:rsidRPr="00000000">
        <w:rPr>
          <w:rtl w:val="0"/>
        </w:rPr>
      </w:r>
    </w:p>
    <w:p w:rsidR="00000000" w:rsidDel="00000000" w:rsidP="00000000" w:rsidRDefault="00000000" w:rsidRPr="00000000" w14:paraId="0000017E">
      <w:pPr>
        <w:spacing w:after="240" w:before="240" w:lineRule="auto"/>
        <w:jc w:val="both"/>
        <w:rPr/>
      </w:pPr>
      <w:r w:rsidDel="00000000" w:rsidR="00000000" w:rsidRPr="00000000">
        <w:rPr>
          <w:rtl w:val="0"/>
        </w:rPr>
      </w:r>
    </w:p>
    <w:p w:rsidR="00000000" w:rsidDel="00000000" w:rsidP="00000000" w:rsidRDefault="00000000" w:rsidRPr="00000000" w14:paraId="0000017F">
      <w:pPr>
        <w:spacing w:after="240" w:before="240" w:lineRule="auto"/>
        <w:jc w:val="both"/>
        <w:rPr/>
      </w:pPr>
      <w:r w:rsidDel="00000000" w:rsidR="00000000" w:rsidRPr="00000000">
        <w:rPr>
          <w:rtl w:val="0"/>
        </w:rPr>
      </w:r>
    </w:p>
    <w:p w:rsidR="00000000" w:rsidDel="00000000" w:rsidP="00000000" w:rsidRDefault="00000000" w:rsidRPr="00000000" w14:paraId="00000180">
      <w:pPr>
        <w:spacing w:after="240" w:before="240" w:lineRule="auto"/>
        <w:jc w:val="both"/>
        <w:rPr/>
      </w:pPr>
      <w:r w:rsidDel="00000000" w:rsidR="00000000" w:rsidRPr="00000000">
        <w:rPr>
          <w:rtl w:val="0"/>
        </w:rPr>
      </w:r>
    </w:p>
    <w:p w:rsidR="00000000" w:rsidDel="00000000" w:rsidP="00000000" w:rsidRDefault="00000000" w:rsidRPr="00000000" w14:paraId="00000181">
      <w:pPr>
        <w:spacing w:after="240" w:before="240" w:lineRule="auto"/>
        <w:jc w:val="both"/>
        <w:rPr/>
      </w:pPr>
      <w:r w:rsidDel="00000000" w:rsidR="00000000" w:rsidRPr="00000000">
        <w:rPr>
          <w:rtl w:val="0"/>
        </w:rPr>
      </w:r>
    </w:p>
    <w:p w:rsidR="00000000" w:rsidDel="00000000" w:rsidP="00000000" w:rsidRDefault="00000000" w:rsidRPr="00000000" w14:paraId="00000182">
      <w:pPr>
        <w:spacing w:after="240" w:before="240" w:lineRule="auto"/>
        <w:jc w:val="both"/>
        <w:rPr/>
      </w:pPr>
      <w:r w:rsidDel="00000000" w:rsidR="00000000" w:rsidRPr="00000000">
        <w:rPr>
          <w:rtl w:val="0"/>
        </w:rPr>
      </w:r>
    </w:p>
    <w:p w:rsidR="00000000" w:rsidDel="00000000" w:rsidP="00000000" w:rsidRDefault="00000000" w:rsidRPr="00000000" w14:paraId="00000183">
      <w:pPr>
        <w:spacing w:after="240" w:before="240" w:lineRule="auto"/>
        <w:jc w:val="both"/>
        <w:rPr/>
      </w:pPr>
      <w:r w:rsidDel="00000000" w:rsidR="00000000" w:rsidRPr="00000000">
        <w:rPr>
          <w:rtl w:val="0"/>
        </w:rPr>
      </w:r>
    </w:p>
    <w:p w:rsidR="00000000" w:rsidDel="00000000" w:rsidP="00000000" w:rsidRDefault="00000000" w:rsidRPr="00000000" w14:paraId="00000184">
      <w:pPr>
        <w:spacing w:after="240" w:before="240" w:lineRule="auto"/>
        <w:jc w:val="both"/>
        <w:rPr/>
      </w:pPr>
      <w:r w:rsidDel="00000000" w:rsidR="00000000" w:rsidRPr="00000000">
        <w:rPr>
          <w:rtl w:val="0"/>
        </w:rPr>
      </w:r>
    </w:p>
    <w:p w:rsidR="00000000" w:rsidDel="00000000" w:rsidP="00000000" w:rsidRDefault="00000000" w:rsidRPr="00000000" w14:paraId="00000185">
      <w:pPr>
        <w:spacing w:after="240" w:before="240" w:lineRule="auto"/>
        <w:jc w:val="both"/>
        <w:rPr/>
      </w:pPr>
      <w:r w:rsidDel="00000000" w:rsidR="00000000" w:rsidRPr="00000000">
        <w:rPr>
          <w:rtl w:val="0"/>
        </w:rPr>
      </w:r>
    </w:p>
    <w:p w:rsidR="00000000" w:rsidDel="00000000" w:rsidP="00000000" w:rsidRDefault="00000000" w:rsidRPr="00000000" w14:paraId="00000186">
      <w:pPr>
        <w:spacing w:after="240" w:before="240" w:lineRule="auto"/>
        <w:jc w:val="both"/>
        <w:rPr/>
      </w:pPr>
      <w:r w:rsidDel="00000000" w:rsidR="00000000" w:rsidRPr="00000000">
        <w:rPr>
          <w:rtl w:val="0"/>
        </w:rPr>
      </w:r>
    </w:p>
    <w:p w:rsidR="00000000" w:rsidDel="00000000" w:rsidP="00000000" w:rsidRDefault="00000000" w:rsidRPr="00000000" w14:paraId="00000187">
      <w:pPr>
        <w:spacing w:after="240" w:before="240" w:lineRule="auto"/>
        <w:jc w:val="both"/>
        <w:rPr/>
      </w:pPr>
      <w:r w:rsidDel="00000000" w:rsidR="00000000" w:rsidRPr="00000000">
        <w:rPr>
          <w:rtl w:val="0"/>
        </w:rPr>
      </w:r>
    </w:p>
    <w:p w:rsidR="00000000" w:rsidDel="00000000" w:rsidP="00000000" w:rsidRDefault="00000000" w:rsidRPr="00000000" w14:paraId="00000188">
      <w:pPr>
        <w:spacing w:after="240" w:before="240" w:lineRule="auto"/>
        <w:jc w:val="both"/>
        <w:rPr/>
      </w:pPr>
      <w:r w:rsidDel="00000000" w:rsidR="00000000" w:rsidRPr="00000000">
        <w:rPr>
          <w:rtl w:val="0"/>
        </w:rPr>
      </w:r>
    </w:p>
    <w:p w:rsidR="00000000" w:rsidDel="00000000" w:rsidP="00000000" w:rsidRDefault="00000000" w:rsidRPr="00000000" w14:paraId="00000189">
      <w:pPr>
        <w:spacing w:after="240" w:before="240" w:lineRule="auto"/>
        <w:jc w:val="both"/>
        <w:rPr/>
      </w:pPr>
      <w:r w:rsidDel="00000000" w:rsidR="00000000" w:rsidRPr="00000000">
        <w:rPr>
          <w:rtl w:val="0"/>
        </w:rPr>
      </w:r>
    </w:p>
    <w:p w:rsidR="00000000" w:rsidDel="00000000" w:rsidP="00000000" w:rsidRDefault="00000000" w:rsidRPr="00000000" w14:paraId="0000018A">
      <w:pPr>
        <w:pStyle w:val="Heading1"/>
        <w:keepNext w:val="0"/>
        <w:keepLines w:val="0"/>
        <w:spacing w:after="80" w:lineRule="auto"/>
        <w:jc w:val="both"/>
        <w:rPr/>
      </w:pPr>
      <w:bookmarkStart w:colFirst="0" w:colLast="0" w:name="_rs6p30y6fouv" w:id="40"/>
      <w:bookmarkEnd w:id="40"/>
      <w:r w:rsidDel="00000000" w:rsidR="00000000" w:rsidRPr="00000000">
        <w:rPr>
          <w:rtl w:val="0"/>
        </w:rPr>
        <w:t xml:space="preserve">7. Risks, Barriers and Market Limitations</w:t>
      </w:r>
    </w:p>
    <w:p w:rsidR="00000000" w:rsidDel="00000000" w:rsidP="00000000" w:rsidRDefault="00000000" w:rsidRPr="00000000" w14:paraId="0000018B">
      <w:pPr>
        <w:pStyle w:val="Heading3"/>
        <w:keepNext w:val="0"/>
        <w:keepLines w:val="0"/>
        <w:spacing w:before="280" w:lineRule="auto"/>
        <w:jc w:val="both"/>
        <w:rPr>
          <w:b w:val="1"/>
          <w:bCs w:val="1"/>
          <w:color w:val="000000"/>
          <w:sz w:val="22"/>
          <w:szCs w:val="22"/>
        </w:rPr>
      </w:pPr>
      <w:bookmarkStart w:colFirst="0" w:colLast="0" w:name="_y4yym9m9zhht" w:id="41"/>
      <w:bookmarkEnd w:id="41"/>
      <w:r w:rsidDel="00000000" w:rsidR="00000000" w:rsidRPr="00000000">
        <w:rPr>
          <w:color w:val="000000"/>
          <w:sz w:val="32"/>
          <w:szCs w:val="32"/>
          <w:rtl w:val="0"/>
        </w:rPr>
        <w:t xml:space="preserve">7.1 Adoption Barriers</w:t>
      </w:r>
      <w:r w:rsidDel="00000000" w:rsidR="00000000" w:rsidRPr="00000000">
        <w:rPr>
          <w:rtl w:val="0"/>
        </w:rPr>
      </w:r>
    </w:p>
    <w:p w:rsidR="00000000" w:rsidDel="00000000" w:rsidP="00000000" w:rsidRDefault="00000000" w:rsidRPr="00000000" w14:paraId="0000018C">
      <w:pPr>
        <w:spacing w:after="240" w:before="240" w:lineRule="auto"/>
        <w:jc w:val="both"/>
        <w:rPr/>
      </w:pPr>
      <w:r w:rsidDel="00000000" w:rsidR="00000000" w:rsidRPr="00000000">
        <w:rPr>
          <w:rtl w:val="0"/>
        </w:rPr>
        <w:t xml:space="preserve">Enterprise adoption of agentic AI may be constrained by several factors:</w:t>
      </w:r>
    </w:p>
    <w:p w:rsidR="00000000" w:rsidDel="00000000" w:rsidP="00000000" w:rsidRDefault="00000000" w:rsidRPr="00000000" w14:paraId="0000018D">
      <w:pPr>
        <w:numPr>
          <w:ilvl w:val="0"/>
          <w:numId w:val="7"/>
        </w:numPr>
        <w:spacing w:after="0" w:afterAutospacing="0" w:before="240" w:lineRule="auto"/>
        <w:ind w:left="720" w:hanging="360"/>
        <w:jc w:val="both"/>
        <w:rPr>
          <w:sz w:val="22"/>
          <w:szCs w:val="22"/>
        </w:rPr>
      </w:pPr>
      <w:r w:rsidDel="00000000" w:rsidR="00000000" w:rsidRPr="00000000">
        <w:rPr>
          <w:b w:val="1"/>
          <w:bCs w:val="1"/>
          <w:rtl w:val="0"/>
        </w:rPr>
        <w:t xml:space="preserve">Reliability:</w:t>
      </w:r>
      <w:r w:rsidDel="00000000" w:rsidR="00000000" w:rsidRPr="00000000">
        <w:rPr>
          <w:rtl w:val="0"/>
        </w:rPr>
        <w:t xml:space="preserve"> Agents can produce incorrect outputs, misinterpret instructions, or fail during multi-step tasks.</w:t>
      </w:r>
    </w:p>
    <w:p w:rsidR="00000000" w:rsidDel="00000000" w:rsidP="00000000" w:rsidRDefault="00000000" w:rsidRPr="00000000" w14:paraId="0000018E">
      <w:pPr>
        <w:numPr>
          <w:ilvl w:val="0"/>
          <w:numId w:val="7"/>
        </w:numPr>
        <w:spacing w:after="0" w:afterAutospacing="0" w:before="0" w:beforeAutospacing="0" w:lineRule="auto"/>
        <w:ind w:left="720" w:hanging="360"/>
        <w:jc w:val="both"/>
        <w:rPr>
          <w:sz w:val="22"/>
          <w:szCs w:val="22"/>
        </w:rPr>
      </w:pPr>
      <w:r w:rsidDel="00000000" w:rsidR="00000000" w:rsidRPr="00000000">
        <w:rPr>
          <w:b w:val="1"/>
          <w:bCs w:val="1"/>
          <w:rtl w:val="0"/>
        </w:rPr>
        <w:t xml:space="preserve">Data security and privacy:</w:t>
      </w:r>
      <w:r w:rsidDel="00000000" w:rsidR="00000000" w:rsidRPr="00000000">
        <w:rPr>
          <w:rtl w:val="0"/>
        </w:rPr>
        <w:t xml:space="preserve"> Access to confidential business information requires appropriate permissions, controls, and monitoring.</w:t>
      </w:r>
    </w:p>
    <w:p w:rsidR="00000000" w:rsidDel="00000000" w:rsidP="00000000" w:rsidRDefault="00000000" w:rsidRPr="00000000" w14:paraId="0000018F">
      <w:pPr>
        <w:numPr>
          <w:ilvl w:val="0"/>
          <w:numId w:val="7"/>
        </w:numPr>
        <w:spacing w:after="0" w:afterAutospacing="0" w:before="0" w:beforeAutospacing="0" w:lineRule="auto"/>
        <w:ind w:left="720" w:hanging="360"/>
        <w:jc w:val="both"/>
        <w:rPr>
          <w:sz w:val="22"/>
          <w:szCs w:val="22"/>
        </w:rPr>
      </w:pPr>
      <w:r w:rsidDel="00000000" w:rsidR="00000000" w:rsidRPr="00000000">
        <w:rPr>
          <w:b w:val="1"/>
          <w:bCs w:val="1"/>
          <w:rtl w:val="0"/>
        </w:rPr>
        <w:t xml:space="preserve">Integration complexity:</w:t>
      </w:r>
      <w:r w:rsidDel="00000000" w:rsidR="00000000" w:rsidRPr="00000000">
        <w:rPr>
          <w:rtl w:val="0"/>
        </w:rPr>
        <w:t xml:space="preserve"> Connecting agents to legacy applications, enterprise databases, and existing workflows can increase deployment time and cost.</w:t>
      </w:r>
    </w:p>
    <w:p w:rsidR="00000000" w:rsidDel="00000000" w:rsidP="00000000" w:rsidRDefault="00000000" w:rsidRPr="00000000" w14:paraId="00000190">
      <w:pPr>
        <w:numPr>
          <w:ilvl w:val="0"/>
          <w:numId w:val="7"/>
        </w:numPr>
        <w:spacing w:after="0" w:afterAutospacing="0" w:before="0" w:beforeAutospacing="0" w:lineRule="auto"/>
        <w:ind w:left="720" w:hanging="360"/>
        <w:jc w:val="both"/>
        <w:rPr>
          <w:sz w:val="22"/>
          <w:szCs w:val="22"/>
        </w:rPr>
      </w:pPr>
      <w:r w:rsidDel="00000000" w:rsidR="00000000" w:rsidRPr="00000000">
        <w:rPr>
          <w:b w:val="1"/>
          <w:bCs w:val="1"/>
          <w:rtl w:val="0"/>
        </w:rPr>
        <w:t xml:space="preserve">Governance and accountability:</w:t>
      </w:r>
      <w:r w:rsidDel="00000000" w:rsidR="00000000" w:rsidRPr="00000000">
        <w:rPr>
          <w:rtl w:val="0"/>
        </w:rPr>
        <w:t xml:space="preserve"> Organizations need clear responsibility for agent decisions, escalation procedures, audit trails, and human oversight.</w:t>
      </w:r>
    </w:p>
    <w:p w:rsidR="00000000" w:rsidDel="00000000" w:rsidP="00000000" w:rsidRDefault="00000000" w:rsidRPr="00000000" w14:paraId="00000191">
      <w:pPr>
        <w:numPr>
          <w:ilvl w:val="0"/>
          <w:numId w:val="7"/>
        </w:numPr>
        <w:spacing w:after="0" w:afterAutospacing="0" w:before="0" w:beforeAutospacing="0" w:lineRule="auto"/>
        <w:ind w:left="720" w:hanging="360"/>
        <w:jc w:val="both"/>
        <w:rPr>
          <w:sz w:val="22"/>
          <w:szCs w:val="22"/>
        </w:rPr>
      </w:pPr>
      <w:r w:rsidDel="00000000" w:rsidR="00000000" w:rsidRPr="00000000">
        <w:rPr>
          <w:b w:val="1"/>
          <w:bCs w:val="1"/>
          <w:rtl w:val="0"/>
        </w:rPr>
        <w:t xml:space="preserve">Uncertain return on investment:</w:t>
      </w:r>
      <w:r w:rsidDel="00000000" w:rsidR="00000000" w:rsidRPr="00000000">
        <w:rPr>
          <w:rtl w:val="0"/>
        </w:rPr>
        <w:t xml:space="preserve"> Productivity improvements do not automatically translate into financial savings. Benefits must be measured against implementation, operating, and supervision costs.</w:t>
      </w:r>
    </w:p>
    <w:p w:rsidR="00000000" w:rsidDel="00000000" w:rsidP="00000000" w:rsidRDefault="00000000" w:rsidRPr="00000000" w14:paraId="00000192">
      <w:pPr>
        <w:numPr>
          <w:ilvl w:val="0"/>
          <w:numId w:val="7"/>
        </w:numPr>
        <w:spacing w:after="240" w:before="0" w:beforeAutospacing="0" w:lineRule="auto"/>
        <w:ind w:left="720" w:hanging="360"/>
        <w:jc w:val="both"/>
        <w:rPr>
          <w:sz w:val="22"/>
          <w:szCs w:val="22"/>
        </w:rPr>
      </w:pPr>
      <w:r w:rsidDel="00000000" w:rsidR="00000000" w:rsidRPr="00000000">
        <w:rPr>
          <w:b w:val="1"/>
          <w:bCs w:val="1"/>
          <w:rtl w:val="0"/>
        </w:rPr>
        <w:t xml:space="preserve">Workforce readiness:</w:t>
      </w:r>
      <w:r w:rsidDel="00000000" w:rsidR="00000000" w:rsidRPr="00000000">
        <w:rPr>
          <w:rtl w:val="0"/>
        </w:rPr>
        <w:t xml:space="preserve"> Employees may require training and changes to existing processes before agents can deliver their intended benefits.</w:t>
      </w:r>
    </w:p>
    <w:p w:rsidR="00000000" w:rsidDel="00000000" w:rsidP="00000000" w:rsidRDefault="00000000" w:rsidRPr="00000000" w14:paraId="0000019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sibazmsnegwl" w:id="42"/>
      <w:bookmarkEnd w:id="42"/>
      <w:r w:rsidDel="00000000" w:rsidR="00000000" w:rsidRPr="00000000">
        <w:rPr>
          <w:color w:val="000000"/>
          <w:sz w:val="32"/>
          <w:szCs w:val="32"/>
          <w:rtl w:val="0"/>
        </w:rPr>
        <w:t xml:space="preserve">7.2 Market Estimation Risks</w:t>
      </w:r>
    </w:p>
    <w:p w:rsidR="00000000" w:rsidDel="00000000" w:rsidP="00000000" w:rsidRDefault="00000000" w:rsidRPr="00000000" w14:paraId="00000194">
      <w:pPr>
        <w:spacing w:after="240" w:before="240" w:lineRule="auto"/>
        <w:jc w:val="both"/>
        <w:rPr/>
      </w:pPr>
      <w:r w:rsidDel="00000000" w:rsidR="00000000" w:rsidRPr="00000000">
        <w:rPr>
          <w:rtl w:val="0"/>
        </w:rPr>
        <w:t xml:space="preserve">The market estimates used in this report have important limitations. Published forecasts may differ in scope, terminology, revenue coverage, and forecast assumptions. Some include platforms, while others may include assistants, broader AI software spending, or estimated enterprise expenditure.</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Vendor disclosures also do not consistently separate agentic AI revenue from other AI products. This makes direct market-share calculations difficult without a consistent definition and comparable revenue data.</w:t>
      </w:r>
    </w:p>
    <w:p w:rsidR="00000000" w:rsidDel="00000000" w:rsidP="00000000" w:rsidRDefault="00000000" w:rsidRPr="00000000" w14:paraId="0000019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noe22ccggak" w:id="43"/>
      <w:bookmarkEnd w:id="43"/>
      <w:r w:rsidDel="00000000" w:rsidR="00000000" w:rsidRPr="00000000">
        <w:rPr>
          <w:color w:val="000000"/>
          <w:sz w:val="32"/>
          <w:szCs w:val="32"/>
          <w:rtl w:val="0"/>
        </w:rPr>
        <w:t xml:space="preserve">7.3 Implications for Market Growth</w:t>
      </w:r>
    </w:p>
    <w:p w:rsidR="00000000" w:rsidDel="00000000" w:rsidP="00000000" w:rsidRDefault="00000000" w:rsidRPr="00000000" w14:paraId="00000197">
      <w:pPr>
        <w:spacing w:after="240" w:before="240" w:lineRule="auto"/>
        <w:jc w:val="both"/>
        <w:rPr/>
      </w:pPr>
      <w:r w:rsidDel="00000000" w:rsidR="00000000" w:rsidRPr="00000000">
        <w:rPr>
          <w:rtl w:val="0"/>
        </w:rPr>
        <w:t xml:space="preserve">The market's development will depend not only on technical progress but also on the ability of organizations to deploy agents safely and demonstrate sustained business value. Strong adoption in selected workflows may coexist with slower implementation in highly regulated, complex, or sensitive business functions.</w:t>
      </w:r>
    </w:p>
    <w:p w:rsidR="00000000" w:rsidDel="00000000" w:rsidP="00000000" w:rsidRDefault="00000000" w:rsidRPr="00000000" w14:paraId="00000198">
      <w:pPr>
        <w:spacing w:after="240" w:before="240" w:lineRule="auto"/>
        <w:jc w:val="both"/>
        <w:rPr/>
      </w:pPr>
      <w:r w:rsidDel="00000000" w:rsidR="00000000" w:rsidRPr="00000000">
        <w:rPr>
          <w:rtl w:val="0"/>
        </w:rPr>
        <w:t xml:space="preserve">Accordingly, the market scenarios presented in this report should be treated as directional estimates. They should be updated as more comparable revenue disclosures, enterprise adoption data, and implementation evidence become available.</w:t>
      </w:r>
    </w:p>
    <w:p w:rsidR="00000000" w:rsidDel="00000000" w:rsidP="00000000" w:rsidRDefault="00000000" w:rsidRPr="00000000" w14:paraId="0000019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jgp9iuecjuyj" w:id="44"/>
      <w:bookmarkEnd w:id="44"/>
      <w:r w:rsidDel="00000000" w:rsidR="00000000" w:rsidRPr="00000000">
        <w:rPr>
          <w:color w:val="000000"/>
          <w:sz w:val="32"/>
          <w:szCs w:val="32"/>
          <w:rtl w:val="0"/>
        </w:rPr>
        <w:t xml:space="preserve">7.4 Research Limitations</w:t>
      </w:r>
    </w:p>
    <w:p w:rsidR="00000000" w:rsidDel="00000000" w:rsidP="00000000" w:rsidRDefault="00000000" w:rsidRPr="00000000" w14:paraId="0000019A">
      <w:pPr>
        <w:spacing w:after="240" w:before="240" w:lineRule="auto"/>
        <w:jc w:val="both"/>
        <w:rPr/>
      </w:pPr>
      <w:r w:rsidDel="00000000" w:rsidR="00000000" w:rsidRPr="00000000">
        <w:rPr>
          <w:rtl w:val="0"/>
        </w:rPr>
        <w:t xml:space="preserve">This report uses selected public sources, published market benchmarks, a qualitative competitor review, and preliminary analyst-scored use cases. It does not include primary interviews, a comprehensive vendor revenue analysis, or a fully validated bottom-up market estimate.</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These limitations should be considered when interpreting the findings and using them to inform investment or business strategy.</w:t>
      </w:r>
    </w:p>
    <w:p w:rsidR="00000000" w:rsidDel="00000000" w:rsidP="00000000" w:rsidRDefault="00000000" w:rsidRPr="00000000" w14:paraId="0000019C">
      <w:pPr>
        <w:spacing w:after="240" w:before="240" w:lineRule="auto"/>
        <w:jc w:val="both"/>
        <w:rPr/>
      </w:pPr>
      <w:r w:rsidDel="00000000" w:rsidR="00000000" w:rsidRPr="00000000">
        <w:rPr>
          <w:rtl w:val="0"/>
        </w:rPr>
      </w:r>
    </w:p>
    <w:p w:rsidR="00000000" w:rsidDel="00000000" w:rsidP="00000000" w:rsidRDefault="00000000" w:rsidRPr="00000000" w14:paraId="0000019D">
      <w:pPr>
        <w:spacing w:after="240" w:before="240" w:lineRule="auto"/>
        <w:jc w:val="both"/>
        <w:rPr/>
      </w:pPr>
      <w:r w:rsidDel="00000000" w:rsidR="00000000" w:rsidRPr="00000000">
        <w:rPr>
          <w:rtl w:val="0"/>
        </w:rPr>
      </w:r>
    </w:p>
    <w:p w:rsidR="00000000" w:rsidDel="00000000" w:rsidP="00000000" w:rsidRDefault="00000000" w:rsidRPr="00000000" w14:paraId="0000019E">
      <w:pPr>
        <w:spacing w:after="240" w:before="240" w:lineRule="auto"/>
        <w:jc w:val="both"/>
        <w:rPr/>
      </w:pPr>
      <w:r w:rsidDel="00000000" w:rsidR="00000000" w:rsidRPr="00000000">
        <w:rPr>
          <w:rtl w:val="0"/>
        </w:rPr>
      </w:r>
    </w:p>
    <w:p w:rsidR="00000000" w:rsidDel="00000000" w:rsidP="00000000" w:rsidRDefault="00000000" w:rsidRPr="00000000" w14:paraId="0000019F">
      <w:pPr>
        <w:spacing w:after="240" w:before="240" w:lineRule="auto"/>
        <w:jc w:val="both"/>
        <w:rPr/>
      </w:pPr>
      <w:r w:rsidDel="00000000" w:rsidR="00000000" w:rsidRPr="00000000">
        <w:rPr>
          <w:rtl w:val="0"/>
        </w:rPr>
      </w:r>
    </w:p>
    <w:p w:rsidR="00000000" w:rsidDel="00000000" w:rsidP="00000000" w:rsidRDefault="00000000" w:rsidRPr="00000000" w14:paraId="000001A0">
      <w:pPr>
        <w:spacing w:after="240" w:before="240" w:lineRule="auto"/>
        <w:jc w:val="both"/>
        <w:rPr/>
      </w:pPr>
      <w:r w:rsidDel="00000000" w:rsidR="00000000" w:rsidRPr="00000000">
        <w:rPr>
          <w:rtl w:val="0"/>
        </w:rPr>
      </w:r>
    </w:p>
    <w:p w:rsidR="00000000" w:rsidDel="00000000" w:rsidP="00000000" w:rsidRDefault="00000000" w:rsidRPr="00000000" w14:paraId="000001A1">
      <w:pPr>
        <w:spacing w:after="240" w:before="240" w:lineRule="auto"/>
        <w:jc w:val="both"/>
        <w:rPr/>
      </w:pPr>
      <w:r w:rsidDel="00000000" w:rsidR="00000000" w:rsidRPr="00000000">
        <w:rPr>
          <w:rtl w:val="0"/>
        </w:rPr>
      </w:r>
    </w:p>
    <w:p w:rsidR="00000000" w:rsidDel="00000000" w:rsidP="00000000" w:rsidRDefault="00000000" w:rsidRPr="00000000" w14:paraId="000001A2">
      <w:pPr>
        <w:spacing w:after="240" w:before="240" w:lineRule="auto"/>
        <w:jc w:val="both"/>
        <w:rPr/>
      </w:pPr>
      <w:r w:rsidDel="00000000" w:rsidR="00000000" w:rsidRPr="00000000">
        <w:rPr>
          <w:rtl w:val="0"/>
        </w:rPr>
      </w:r>
    </w:p>
    <w:p w:rsidR="00000000" w:rsidDel="00000000" w:rsidP="00000000" w:rsidRDefault="00000000" w:rsidRPr="00000000" w14:paraId="000001A3">
      <w:pPr>
        <w:spacing w:after="240" w:before="240" w:lineRule="auto"/>
        <w:jc w:val="both"/>
        <w:rPr/>
      </w:pPr>
      <w:r w:rsidDel="00000000" w:rsidR="00000000" w:rsidRPr="00000000">
        <w:rPr>
          <w:rtl w:val="0"/>
        </w:rPr>
      </w:r>
    </w:p>
    <w:p w:rsidR="00000000" w:rsidDel="00000000" w:rsidP="00000000" w:rsidRDefault="00000000" w:rsidRPr="00000000" w14:paraId="000001A4">
      <w:pPr>
        <w:spacing w:after="240" w:before="240" w:lineRule="auto"/>
        <w:jc w:val="both"/>
        <w:rPr/>
      </w:pPr>
      <w:r w:rsidDel="00000000" w:rsidR="00000000" w:rsidRPr="00000000">
        <w:rPr>
          <w:rtl w:val="0"/>
        </w:rPr>
      </w:r>
    </w:p>
    <w:p w:rsidR="00000000" w:rsidDel="00000000" w:rsidP="00000000" w:rsidRDefault="00000000" w:rsidRPr="00000000" w14:paraId="000001A5">
      <w:pPr>
        <w:spacing w:after="240" w:before="240" w:lineRule="auto"/>
        <w:jc w:val="both"/>
        <w:rPr/>
      </w:pPr>
      <w:r w:rsidDel="00000000" w:rsidR="00000000" w:rsidRPr="00000000">
        <w:rPr>
          <w:rtl w:val="0"/>
        </w:rPr>
      </w:r>
    </w:p>
    <w:p w:rsidR="00000000" w:rsidDel="00000000" w:rsidP="00000000" w:rsidRDefault="00000000" w:rsidRPr="00000000" w14:paraId="000001A6">
      <w:pPr>
        <w:spacing w:after="240" w:before="240" w:lineRule="auto"/>
        <w:jc w:val="both"/>
        <w:rPr/>
      </w:pPr>
      <w:r w:rsidDel="00000000" w:rsidR="00000000" w:rsidRPr="00000000">
        <w:rPr>
          <w:rtl w:val="0"/>
        </w:rPr>
      </w:r>
    </w:p>
    <w:p w:rsidR="00000000" w:rsidDel="00000000" w:rsidP="00000000" w:rsidRDefault="00000000" w:rsidRPr="00000000" w14:paraId="000001A7">
      <w:pPr>
        <w:spacing w:after="240" w:before="240" w:lineRule="auto"/>
        <w:jc w:val="both"/>
        <w:rPr/>
      </w:pPr>
      <w:r w:rsidDel="00000000" w:rsidR="00000000" w:rsidRPr="00000000">
        <w:rPr>
          <w:rtl w:val="0"/>
        </w:rPr>
      </w:r>
    </w:p>
    <w:p w:rsidR="00000000" w:rsidDel="00000000" w:rsidP="00000000" w:rsidRDefault="00000000" w:rsidRPr="00000000" w14:paraId="000001A8">
      <w:pPr>
        <w:spacing w:after="240" w:before="240" w:lineRule="auto"/>
        <w:jc w:val="both"/>
        <w:rPr/>
      </w:pPr>
      <w:r w:rsidDel="00000000" w:rsidR="00000000" w:rsidRPr="00000000">
        <w:rPr>
          <w:rtl w:val="0"/>
        </w:rPr>
      </w:r>
    </w:p>
    <w:p w:rsidR="00000000" w:rsidDel="00000000" w:rsidP="00000000" w:rsidRDefault="00000000" w:rsidRPr="00000000" w14:paraId="000001A9">
      <w:pPr>
        <w:spacing w:after="240" w:before="240" w:lineRule="auto"/>
        <w:jc w:val="both"/>
        <w:rPr/>
      </w:pPr>
      <w:r w:rsidDel="00000000" w:rsidR="00000000" w:rsidRPr="00000000">
        <w:rPr>
          <w:rtl w:val="0"/>
        </w:rPr>
      </w:r>
    </w:p>
    <w:p w:rsidR="00000000" w:rsidDel="00000000" w:rsidP="00000000" w:rsidRDefault="00000000" w:rsidRPr="00000000" w14:paraId="000001AA">
      <w:pPr>
        <w:spacing w:after="240" w:before="240" w:lineRule="auto"/>
        <w:jc w:val="both"/>
        <w:rPr/>
      </w:pPr>
      <w:r w:rsidDel="00000000" w:rsidR="00000000" w:rsidRPr="00000000">
        <w:rPr>
          <w:rtl w:val="0"/>
        </w:rPr>
      </w:r>
    </w:p>
    <w:p w:rsidR="00000000" w:rsidDel="00000000" w:rsidP="00000000" w:rsidRDefault="00000000" w:rsidRPr="00000000" w14:paraId="000001AB">
      <w:pPr>
        <w:spacing w:after="240" w:before="240" w:lineRule="auto"/>
        <w:jc w:val="both"/>
        <w:rPr/>
      </w:pPr>
      <w:r w:rsidDel="00000000" w:rsidR="00000000" w:rsidRPr="00000000">
        <w:rPr>
          <w:rtl w:val="0"/>
        </w:rPr>
      </w:r>
    </w:p>
    <w:p w:rsidR="00000000" w:rsidDel="00000000" w:rsidP="00000000" w:rsidRDefault="00000000" w:rsidRPr="00000000" w14:paraId="000001AC">
      <w:pPr>
        <w:spacing w:after="240" w:before="240" w:lineRule="auto"/>
        <w:jc w:val="both"/>
        <w:rPr/>
      </w:pPr>
      <w:r w:rsidDel="00000000" w:rsidR="00000000" w:rsidRPr="00000000">
        <w:rPr>
          <w:rtl w:val="0"/>
        </w:rPr>
      </w:r>
    </w:p>
    <w:p w:rsidR="00000000" w:rsidDel="00000000" w:rsidP="00000000" w:rsidRDefault="00000000" w:rsidRPr="00000000" w14:paraId="000001AD">
      <w:pPr>
        <w:spacing w:after="240" w:before="240" w:lineRule="auto"/>
        <w:jc w:val="both"/>
        <w:rPr/>
      </w:pPr>
      <w:r w:rsidDel="00000000" w:rsidR="00000000" w:rsidRPr="00000000">
        <w:rPr>
          <w:rtl w:val="0"/>
        </w:rPr>
      </w:r>
    </w:p>
    <w:p w:rsidR="00000000" w:rsidDel="00000000" w:rsidP="00000000" w:rsidRDefault="00000000" w:rsidRPr="00000000" w14:paraId="000001AE">
      <w:pPr>
        <w:spacing w:after="240" w:before="240" w:lineRule="auto"/>
        <w:jc w:val="both"/>
        <w:rPr/>
      </w:pPr>
      <w:r w:rsidDel="00000000" w:rsidR="00000000" w:rsidRPr="00000000">
        <w:rPr>
          <w:rtl w:val="0"/>
        </w:rPr>
      </w:r>
    </w:p>
    <w:p w:rsidR="00000000" w:rsidDel="00000000" w:rsidP="00000000" w:rsidRDefault="00000000" w:rsidRPr="00000000" w14:paraId="000001AF">
      <w:pPr>
        <w:spacing w:after="240" w:before="240" w:lineRule="auto"/>
        <w:jc w:val="both"/>
        <w:rPr/>
      </w:pPr>
      <w:r w:rsidDel="00000000" w:rsidR="00000000" w:rsidRPr="00000000">
        <w:rPr>
          <w:rtl w:val="0"/>
        </w:rPr>
      </w:r>
    </w:p>
    <w:p w:rsidR="00000000" w:rsidDel="00000000" w:rsidP="00000000" w:rsidRDefault="00000000" w:rsidRPr="00000000" w14:paraId="000001B0">
      <w:pPr>
        <w:spacing w:after="240" w:before="240" w:lineRule="auto"/>
        <w:jc w:val="both"/>
        <w:rPr/>
      </w:pPr>
      <w:r w:rsidDel="00000000" w:rsidR="00000000" w:rsidRPr="00000000">
        <w:rPr>
          <w:rtl w:val="0"/>
        </w:rPr>
      </w:r>
    </w:p>
    <w:p w:rsidR="00000000" w:rsidDel="00000000" w:rsidP="00000000" w:rsidRDefault="00000000" w:rsidRPr="00000000" w14:paraId="000001B1">
      <w:pPr>
        <w:spacing w:after="240" w:before="240" w:lineRule="auto"/>
        <w:jc w:val="both"/>
        <w:rPr/>
      </w:pPr>
      <w:r w:rsidDel="00000000" w:rsidR="00000000" w:rsidRPr="00000000">
        <w:rPr>
          <w:rtl w:val="0"/>
        </w:rPr>
      </w:r>
    </w:p>
    <w:p w:rsidR="00000000" w:rsidDel="00000000" w:rsidP="00000000" w:rsidRDefault="00000000" w:rsidRPr="00000000" w14:paraId="000001B2">
      <w:pPr>
        <w:spacing w:after="240" w:before="240" w:lineRule="auto"/>
        <w:jc w:val="both"/>
        <w:rPr/>
      </w:pPr>
      <w:r w:rsidDel="00000000" w:rsidR="00000000" w:rsidRPr="00000000">
        <w:rPr>
          <w:rtl w:val="0"/>
        </w:rPr>
      </w:r>
    </w:p>
    <w:p w:rsidR="00000000" w:rsidDel="00000000" w:rsidP="00000000" w:rsidRDefault="00000000" w:rsidRPr="00000000" w14:paraId="000001B3">
      <w:pPr>
        <w:pStyle w:val="Heading1"/>
        <w:keepNext w:val="0"/>
        <w:keepLines w:val="0"/>
        <w:tabs>
          <w:tab w:val="left" w:leader="none" w:pos="270"/>
        </w:tabs>
        <w:spacing w:after="80" w:lineRule="auto"/>
        <w:jc w:val="both"/>
        <w:rPr/>
      </w:pPr>
      <w:bookmarkStart w:colFirst="0" w:colLast="0" w:name="_kc09nfo86zni" w:id="45"/>
      <w:bookmarkEnd w:id="45"/>
      <w:r w:rsidDel="00000000" w:rsidR="00000000" w:rsidRPr="00000000">
        <w:rPr>
          <w:rtl w:val="0"/>
        </w:rPr>
        <w:t xml:space="preserve">8. Strategic Recommendations</w:t>
      </w:r>
    </w:p>
    <w:p w:rsidR="00000000" w:rsidDel="00000000" w:rsidP="00000000" w:rsidRDefault="00000000" w:rsidRPr="00000000" w14:paraId="000001B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pPr>
      <w:bookmarkStart w:colFirst="0" w:colLast="0" w:name="_uncz7ddt3l02" w:id="46"/>
      <w:bookmarkEnd w:id="46"/>
      <w:r w:rsidDel="00000000" w:rsidR="00000000" w:rsidRPr="00000000">
        <w:rPr>
          <w:rtl w:val="0"/>
        </w:rPr>
        <w:t xml:space="preserve">8.1 </w:t>
      </w:r>
      <w:r w:rsidDel="00000000" w:rsidR="00000000" w:rsidRPr="00000000">
        <w:rPr>
          <w:rtl w:val="0"/>
        </w:rPr>
        <w:t xml:space="preserve">Prioritise</w:t>
      </w:r>
      <w:r w:rsidDel="00000000" w:rsidR="00000000" w:rsidRPr="00000000">
        <w:rPr>
          <w:rtl w:val="0"/>
        </w:rPr>
        <w:t xml:space="preserve"> High-Value Workflows</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Organizations evaluating agentic AI should begin with workflows that have clear business objectives, repeatable tasks, and measurable outcomes. Customer service and IT service management are promising starting points based on this report's preliminary use-case assessment.</w:t>
      </w:r>
    </w:p>
    <w:p w:rsidR="00000000" w:rsidDel="00000000" w:rsidP="00000000" w:rsidRDefault="00000000" w:rsidRPr="00000000" w14:paraId="000001B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n9rvtrvy15u8" w:id="47"/>
      <w:bookmarkEnd w:id="47"/>
      <w:r w:rsidDel="00000000" w:rsidR="00000000" w:rsidRPr="00000000">
        <w:rPr>
          <w:color w:val="000000"/>
          <w:sz w:val="32"/>
          <w:szCs w:val="32"/>
          <w:rtl w:val="0"/>
        </w:rPr>
        <w:t xml:space="preserve">8.2 Adopt a Phased Implementation Approach</w:t>
      </w:r>
    </w:p>
    <w:p w:rsidR="00000000" w:rsidDel="00000000" w:rsidP="00000000" w:rsidRDefault="00000000" w:rsidRPr="00000000" w14:paraId="000001B7">
      <w:pPr>
        <w:spacing w:after="240" w:before="240" w:lineRule="auto"/>
        <w:jc w:val="both"/>
        <w:rPr/>
      </w:pPr>
      <w:r w:rsidDel="00000000" w:rsidR="00000000" w:rsidRPr="00000000">
        <w:rPr>
          <w:rtl w:val="0"/>
        </w:rPr>
        <w:t xml:space="preserve">Enterprises should begin with controlled pilot projects before expanding agent deployment across business functions. Each pilot should have a defined scope, baseline performance measures, human-approval requirements, and criteria for evaluating success.</w:t>
      </w:r>
    </w:p>
    <w:p w:rsidR="00000000" w:rsidDel="00000000" w:rsidP="00000000" w:rsidRDefault="00000000" w:rsidRPr="00000000" w14:paraId="000001B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bynocoozfnlq" w:id="48"/>
      <w:bookmarkEnd w:id="48"/>
      <w:r w:rsidDel="00000000" w:rsidR="00000000" w:rsidRPr="00000000">
        <w:rPr>
          <w:color w:val="000000"/>
          <w:sz w:val="32"/>
          <w:szCs w:val="32"/>
          <w:rtl w:val="0"/>
        </w:rPr>
        <w:t xml:space="preserve">8.3 Strengthen Governance and Risk Controls</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Organizations should establish access controls, activity monitoring, audit trails, escalation procedures, and clear accountability for agent actions. Higher-risk workflows should retain appropriate human oversight, particularly when actions could affect financial outcomes, sensitive data, or critical operations.</w:t>
      </w:r>
    </w:p>
    <w:p w:rsidR="00000000" w:rsidDel="00000000" w:rsidP="00000000" w:rsidRDefault="00000000" w:rsidRPr="00000000" w14:paraId="000001BA">
      <w:pPr>
        <w:pStyle w:val="Heading3"/>
        <w:keepNext w:val="0"/>
        <w:keepLines w:val="0"/>
        <w:spacing w:before="280" w:lineRule="auto"/>
        <w:jc w:val="both"/>
        <w:rPr>
          <w:b w:val="1"/>
          <w:bCs w:val="1"/>
          <w:color w:val="000000"/>
          <w:sz w:val="22"/>
          <w:szCs w:val="22"/>
        </w:rPr>
      </w:pPr>
      <w:bookmarkStart w:colFirst="0" w:colLast="0" w:name="_yhwtp3uhq6iy" w:id="49"/>
      <w:bookmarkEnd w:id="49"/>
      <w:r w:rsidDel="00000000" w:rsidR="00000000" w:rsidRPr="00000000">
        <w:rPr>
          <w:color w:val="000000"/>
          <w:sz w:val="32"/>
          <w:szCs w:val="32"/>
          <w:rtl w:val="0"/>
        </w:rPr>
        <w:t xml:space="preserve">8.4 Evaluate Platforms Against Business Requirements</w:t>
      </w:r>
      <w:r w:rsidDel="00000000" w:rsidR="00000000" w:rsidRPr="00000000">
        <w:rPr>
          <w:rtl w:val="0"/>
        </w:rPr>
      </w:r>
    </w:p>
    <w:p w:rsidR="00000000" w:rsidDel="00000000" w:rsidP="00000000" w:rsidRDefault="00000000" w:rsidRPr="00000000" w14:paraId="000001BB">
      <w:pPr>
        <w:spacing w:after="240" w:before="240" w:lineRule="auto"/>
        <w:jc w:val="both"/>
        <w:rPr/>
      </w:pPr>
      <w:r w:rsidDel="00000000" w:rsidR="00000000" w:rsidRPr="00000000">
        <w:rPr>
          <w:rtl w:val="0"/>
        </w:rPr>
        <w:t xml:space="preserve">Platform selection should consider workflow integration, orchestration capabilities, security, governance, deployment flexibility, interoperability, and total cost of ownership. Organizations should compare vendors against specific use cases rather than relying exclusively on general product claims.</w:t>
      </w:r>
    </w:p>
    <w:p w:rsidR="00000000" w:rsidDel="00000000" w:rsidP="00000000" w:rsidRDefault="00000000" w:rsidRPr="00000000" w14:paraId="000001B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color w:val="000000"/>
          <w:sz w:val="32"/>
          <w:szCs w:val="32"/>
        </w:rPr>
      </w:pPr>
      <w:bookmarkStart w:colFirst="0" w:colLast="0" w:name="_fk9o3faxtput" w:id="50"/>
      <w:bookmarkEnd w:id="50"/>
      <w:r w:rsidDel="00000000" w:rsidR="00000000" w:rsidRPr="00000000">
        <w:rPr>
          <w:color w:val="000000"/>
          <w:sz w:val="32"/>
          <w:szCs w:val="32"/>
          <w:rtl w:val="0"/>
        </w:rPr>
        <w:t xml:space="preserve">8.5 Measure Business Value</w:t>
      </w:r>
    </w:p>
    <w:p w:rsidR="00000000" w:rsidDel="00000000" w:rsidP="00000000" w:rsidRDefault="00000000" w:rsidRPr="00000000" w14:paraId="000001BD">
      <w:pPr>
        <w:spacing w:after="240" w:before="240" w:lineRule="auto"/>
        <w:jc w:val="both"/>
        <w:rPr/>
      </w:pPr>
      <w:r w:rsidDel="00000000" w:rsidR="00000000" w:rsidRPr="00000000">
        <w:rPr>
          <w:rtl w:val="0"/>
        </w:rPr>
        <w:t xml:space="preserve">Enterprises should assess outcomes using metrics such as task completion time, cost per transaction, error rates, successful task completion, employee productivity, and customer satisfaction. The financial evaluation should include implementation, licensing, infrastructure, monitoring, and human-supervision costs.</w:t>
      </w:r>
    </w:p>
    <w:p w:rsidR="00000000" w:rsidDel="00000000" w:rsidP="00000000" w:rsidRDefault="00000000" w:rsidRPr="00000000" w14:paraId="000001BE">
      <w:pPr>
        <w:pStyle w:val="Heading3"/>
        <w:keepNext w:val="0"/>
        <w:keepLines w:val="0"/>
        <w:spacing w:before="280" w:lineRule="auto"/>
        <w:jc w:val="both"/>
        <w:rPr>
          <w:b w:val="1"/>
          <w:bCs w:val="1"/>
          <w:color w:val="000000"/>
          <w:sz w:val="22"/>
          <w:szCs w:val="22"/>
        </w:rPr>
      </w:pPr>
      <w:bookmarkStart w:colFirst="0" w:colLast="0" w:name="_jvwgosyf7j4c" w:id="51"/>
      <w:bookmarkEnd w:id="51"/>
      <w:r w:rsidDel="00000000" w:rsidR="00000000" w:rsidRPr="00000000">
        <w:rPr>
          <w:color w:val="000000"/>
          <w:sz w:val="32"/>
          <w:szCs w:val="32"/>
          <w:rtl w:val="0"/>
        </w:rPr>
        <w:t xml:space="preserve">8.6 Improve Market Intelligence</w:t>
      </w:r>
      <w:r w:rsidDel="00000000" w:rsidR="00000000" w:rsidRPr="00000000">
        <w:rPr>
          <w:rtl w:val="0"/>
        </w:rPr>
      </w:r>
    </w:p>
    <w:p w:rsidR="00000000" w:rsidDel="00000000" w:rsidP="00000000" w:rsidRDefault="00000000" w:rsidRPr="00000000" w14:paraId="000001BF">
      <w:pPr>
        <w:spacing w:after="240" w:before="240" w:lineRule="auto"/>
        <w:jc w:val="both"/>
        <w:rPr/>
      </w:pPr>
      <w:r w:rsidDel="00000000" w:rsidR="00000000" w:rsidRPr="00000000">
        <w:rPr>
          <w:rtl w:val="0"/>
        </w:rPr>
        <w:t xml:space="preserve">Investors, technology providers, and enterprise decision-makers should monitor official vendor announcements, product releases, customer deployments, pricing changes, and comparable revenue disclosures. Future market estimates should be updated when new evidence becomes available and should maintain consistent market definitions across sources.</w:t>
      </w:r>
    </w:p>
    <w:p w:rsidR="00000000" w:rsidDel="00000000" w:rsidP="00000000" w:rsidRDefault="00000000" w:rsidRPr="00000000" w14:paraId="000001C0">
      <w:pPr>
        <w:pStyle w:val="Heading3"/>
        <w:keepNext w:val="0"/>
        <w:keepLines w:val="0"/>
        <w:spacing w:before="280" w:lineRule="auto"/>
        <w:jc w:val="both"/>
        <w:rPr>
          <w:b w:val="1"/>
          <w:bCs w:val="1"/>
          <w:color w:val="000000"/>
          <w:sz w:val="22"/>
          <w:szCs w:val="22"/>
        </w:rPr>
      </w:pPr>
      <w:bookmarkStart w:colFirst="0" w:colLast="0" w:name="_21330w6qdhja" w:id="52"/>
      <w:bookmarkEnd w:id="52"/>
      <w:r w:rsidDel="00000000" w:rsidR="00000000" w:rsidRPr="00000000">
        <w:rPr>
          <w:color w:val="000000"/>
          <w:sz w:val="32"/>
          <w:szCs w:val="32"/>
          <w:rtl w:val="0"/>
        </w:rPr>
        <w:t xml:space="preserve">8.7 Recommendations for Further Research</w:t>
      </w:r>
      <w:r w:rsidDel="00000000" w:rsidR="00000000" w:rsidRPr="00000000">
        <w:rPr>
          <w:rtl w:val="0"/>
        </w:rPr>
      </w:r>
    </w:p>
    <w:p w:rsidR="00000000" w:rsidDel="00000000" w:rsidP="00000000" w:rsidRDefault="00000000" w:rsidRPr="00000000" w14:paraId="000001C1">
      <w:pPr>
        <w:spacing w:after="240" w:before="240" w:lineRule="auto"/>
        <w:jc w:val="both"/>
        <w:rPr/>
      </w:pPr>
      <w:r w:rsidDel="00000000" w:rsidR="00000000" w:rsidRPr="00000000">
        <w:rPr>
          <w:rtl w:val="0"/>
        </w:rPr>
        <w:t xml:space="preserve">The next stage of research should focus on validating enterprise adoption statistics, collecting official vendor pricing information, investigating customer deployment case studies, and developing a bottom-up estimate based on enterprise counts, adoption rates, and annual spending assumptions. This would help strengthen the evidence supporting the market forecast and reduce dependence on third-party published estimates.</w:t>
      </w:r>
    </w:p>
    <w:p w:rsidR="00000000" w:rsidDel="00000000" w:rsidP="00000000" w:rsidRDefault="00000000" w:rsidRPr="00000000" w14:paraId="000001C2">
      <w:pPr>
        <w:spacing w:after="240" w:before="240" w:lineRule="auto"/>
        <w:jc w:val="both"/>
        <w:rPr/>
      </w:pPr>
      <w:r w:rsidDel="00000000" w:rsidR="00000000" w:rsidRPr="00000000">
        <w:rPr>
          <w:rtl w:val="0"/>
        </w:rPr>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pStyle w:val="Heading1"/>
        <w:spacing w:after="80" w:lineRule="auto"/>
        <w:jc w:val="both"/>
        <w:rPr/>
      </w:pPr>
      <w:bookmarkStart w:colFirst="0" w:colLast="0" w:name="_q60v739agqw1" w:id="53"/>
      <w:bookmarkEnd w:id="53"/>
      <w:r w:rsidDel="00000000" w:rsidR="00000000" w:rsidRPr="00000000">
        <w:rPr>
          <w:rtl w:val="0"/>
        </w:rPr>
        <w:t xml:space="preserve">9. Conclusion</w:t>
      </w:r>
    </w:p>
    <w:p w:rsidR="00000000" w:rsidDel="00000000" w:rsidP="00000000" w:rsidRDefault="00000000" w:rsidRPr="00000000" w14:paraId="000001E5">
      <w:pPr>
        <w:spacing w:after="240" w:before="240" w:lineRule="auto"/>
        <w:jc w:val="both"/>
        <w:rPr/>
      </w:pPr>
      <w:r w:rsidDel="00000000" w:rsidR="00000000" w:rsidRPr="00000000">
        <w:rPr>
          <w:rtl w:val="0"/>
        </w:rPr>
        <w:t xml:space="preserve">Enterprise </w:t>
      </w:r>
      <w:r w:rsidDel="00000000" w:rsidR="00000000" w:rsidRPr="00000000">
        <w:rPr>
          <w:rtl w:val="0"/>
        </w:rPr>
        <w:t xml:space="preserve">agentic</w:t>
      </w:r>
      <w:r w:rsidDel="00000000" w:rsidR="00000000" w:rsidRPr="00000000">
        <w:rPr>
          <w:rtl w:val="0"/>
        </w:rPr>
        <w:t xml:space="preserve"> AI is an emerging technology market with potential applications across customer service, IT operations, software development, sales, finance, and other business functions. Its commercial opportunity is linked to the ability of AI agents to execute multi-step tasks, interact with enterprise systems, and support business workflows with appropriate levels of autonomy and oversight.</w:t>
      </w:r>
    </w:p>
    <w:p w:rsidR="00000000" w:rsidDel="00000000" w:rsidP="00000000" w:rsidRDefault="00000000" w:rsidRPr="00000000" w14:paraId="000001E6">
      <w:pPr>
        <w:spacing w:after="240" w:before="240" w:lineRule="auto"/>
        <w:jc w:val="both"/>
        <w:rPr/>
      </w:pPr>
      <w:r w:rsidDel="00000000" w:rsidR="00000000" w:rsidRPr="00000000">
        <w:rPr>
          <w:rtl w:val="0"/>
        </w:rPr>
        <w:t xml:space="preserve">Published market benchmarks indicate the potential for substantial growth through 2030. However, these estimates vary in scope and methodology, making consistent market definitions essential when comparing forecasts. The scenarios in this report illustrate the effect of different growth assumptions and should not be interpreted as independently verified predictions.</w:t>
      </w:r>
    </w:p>
    <w:p w:rsidR="00000000" w:rsidDel="00000000" w:rsidP="00000000" w:rsidRDefault="00000000" w:rsidRPr="00000000" w14:paraId="000001E7">
      <w:pPr>
        <w:spacing w:after="240" w:before="240" w:lineRule="auto"/>
        <w:jc w:val="both"/>
        <w:rPr/>
      </w:pPr>
      <w:r w:rsidDel="00000000" w:rsidR="00000000" w:rsidRPr="00000000">
        <w:rPr>
          <w:rtl w:val="0"/>
        </w:rPr>
        <w:t xml:space="preserve">The competitive landscape includes major cloud, enterprise software, CRM, and workflow technology providers. Their existing ecosystems and integration capabilities may influence platform selection, while security, reliability, governance, and measurable business value will remain important factors in enterprise adoption.</w:t>
      </w:r>
    </w:p>
    <w:p w:rsidR="00000000" w:rsidDel="00000000" w:rsidP="00000000" w:rsidRDefault="00000000" w:rsidRPr="00000000" w14:paraId="000001E8">
      <w:pPr>
        <w:spacing w:after="240" w:before="240" w:lineRule="auto"/>
        <w:jc w:val="both"/>
        <w:rPr/>
      </w:pPr>
      <w:r w:rsidDel="00000000" w:rsidR="00000000" w:rsidRPr="00000000">
        <w:rPr>
          <w:rtl w:val="0"/>
        </w:rPr>
        <w:t xml:space="preserve">Overall, the market presents a significant research opportunity, but stronger conclusions require further validation. A consistent bottom-up market model, comparable vendor disclosures, verified adoption data, and documented enterprise case studies would improve the reliability of future market estimates and strategic decisions.</w:t>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jc w:val="both"/>
        <w:rPr>
          <w:sz w:val="40"/>
          <w:szCs w:val="40"/>
        </w:rPr>
      </w:pPr>
      <w:bookmarkStart w:colFirst="0" w:colLast="0" w:name="_jmgf71n8t0gu" w:id="54"/>
      <w:bookmarkEnd w:id="54"/>
      <w:r w:rsidDel="00000000" w:rsidR="00000000" w:rsidRPr="00000000">
        <w:rPr>
          <w:sz w:val="40"/>
          <w:szCs w:val="40"/>
          <w:rtl w:val="0"/>
        </w:rPr>
        <w:t xml:space="preserve">10. References</w:t>
      </w:r>
    </w:p>
    <w:p w:rsidR="00000000" w:rsidDel="00000000" w:rsidP="00000000" w:rsidRDefault="00000000" w:rsidRPr="00000000" w14:paraId="00000201">
      <w:pPr>
        <w:numPr>
          <w:ilvl w:val="0"/>
          <w:numId w:val="1"/>
        </w:numPr>
        <w:spacing w:after="240" w:before="240" w:lineRule="auto"/>
        <w:ind w:left="720" w:hanging="360"/>
        <w:jc w:val="both"/>
        <w:rPr>
          <w:sz w:val="22"/>
          <w:szCs w:val="22"/>
        </w:rPr>
      </w:pPr>
      <w:r w:rsidDel="00000000" w:rsidR="00000000" w:rsidRPr="00000000">
        <w:rPr>
          <w:rtl w:val="0"/>
        </w:rPr>
        <w:t xml:space="preserve">Gartner. </w:t>
      </w:r>
      <w:r w:rsidDel="00000000" w:rsidR="00000000" w:rsidRPr="00000000">
        <w:rPr>
          <w:i w:val="1"/>
          <w:iCs w:val="1"/>
          <w:rtl w:val="0"/>
        </w:rPr>
        <w:t xml:space="preserve">Forecasts and analysis relating to AI agents, assistants, and AI software spending.</w:t>
      </w:r>
    </w:p>
    <w:p w:rsidR="00000000" w:rsidDel="00000000" w:rsidP="00000000" w:rsidRDefault="00000000" w:rsidRPr="00000000" w14:paraId="00000202">
      <w:pPr>
        <w:spacing w:after="240" w:before="240" w:lineRule="auto"/>
        <w:ind w:left="720" w:firstLine="0"/>
        <w:jc w:val="both"/>
        <w:rPr>
          <w:color w:val="1155cc"/>
          <w:u w:val="single"/>
        </w:rPr>
      </w:pPr>
      <w:hyperlink r:id="rId11">
        <w:r w:rsidDel="00000000" w:rsidR="00000000" w:rsidRPr="00000000">
          <w:rPr>
            <w:color w:val="1155cc"/>
            <w:u w:val="single"/>
            <w:rtl w:val="0"/>
          </w:rPr>
          <w:t xml:space="preserve">https://www.gartner.com/en/documents/7509353</w:t>
        </w:r>
      </w:hyperlink>
      <w:r w:rsidDel="00000000" w:rsidR="00000000" w:rsidRPr="00000000">
        <w:rPr>
          <w:rtl w:val="0"/>
        </w:rPr>
      </w:r>
    </w:p>
    <w:p w:rsidR="00000000" w:rsidDel="00000000" w:rsidP="00000000" w:rsidRDefault="00000000" w:rsidRPr="00000000" w14:paraId="00000203">
      <w:pPr>
        <w:numPr>
          <w:ilvl w:val="0"/>
          <w:numId w:val="1"/>
        </w:numPr>
        <w:spacing w:after="240" w:before="240" w:lineRule="auto"/>
        <w:ind w:left="720" w:hanging="360"/>
        <w:jc w:val="both"/>
        <w:rPr>
          <w:sz w:val="22"/>
          <w:szCs w:val="22"/>
        </w:rPr>
      </w:pPr>
      <w:r w:rsidDel="00000000" w:rsidR="00000000" w:rsidRPr="00000000">
        <w:rPr>
          <w:rtl w:val="0"/>
        </w:rPr>
        <w:t xml:space="preserve">Gartner. </w:t>
      </w:r>
      <w:r w:rsidDel="00000000" w:rsidR="00000000" w:rsidRPr="00000000">
        <w:rPr>
          <w:i w:val="1"/>
          <w:iCs w:val="1"/>
          <w:rtl w:val="0"/>
        </w:rPr>
        <w:t xml:space="preserve">Published research on worldwide AI spending and AI agent forecasts.</w:t>
      </w:r>
    </w:p>
    <w:p w:rsidR="00000000" w:rsidDel="00000000" w:rsidP="00000000" w:rsidRDefault="00000000" w:rsidRPr="00000000" w14:paraId="00000204">
      <w:pPr>
        <w:spacing w:after="240" w:before="240" w:lineRule="auto"/>
        <w:ind w:left="720" w:firstLine="0"/>
        <w:jc w:val="both"/>
        <w:rPr>
          <w:color w:val="1155cc"/>
          <w:u w:val="single"/>
        </w:rPr>
      </w:pPr>
      <w:hyperlink r:id="rId12">
        <w:r w:rsidDel="00000000" w:rsidR="00000000" w:rsidRPr="00000000">
          <w:rPr>
            <w:color w:val="1155cc"/>
            <w:u w:val="single"/>
            <w:rtl w:val="0"/>
          </w:rPr>
          <w:t xml:space="preserve">https://www.gartner.com/en/documents/7455226</w:t>
        </w:r>
      </w:hyperlink>
      <w:r w:rsidDel="00000000" w:rsidR="00000000" w:rsidRPr="00000000">
        <w:rPr>
          <w:rtl w:val="0"/>
        </w:rPr>
      </w:r>
    </w:p>
    <w:p w:rsidR="00000000" w:rsidDel="00000000" w:rsidP="00000000" w:rsidRDefault="00000000" w:rsidRPr="00000000" w14:paraId="00000205">
      <w:pPr>
        <w:numPr>
          <w:ilvl w:val="0"/>
          <w:numId w:val="1"/>
        </w:numPr>
        <w:spacing w:after="240" w:before="240" w:lineRule="auto"/>
        <w:ind w:left="720" w:hanging="360"/>
        <w:jc w:val="both"/>
        <w:rPr>
          <w:sz w:val="22"/>
          <w:szCs w:val="22"/>
        </w:rPr>
      </w:pPr>
      <w:r w:rsidDel="00000000" w:rsidR="00000000" w:rsidRPr="00000000">
        <w:rPr>
          <w:rtl w:val="0"/>
        </w:rPr>
        <w:t xml:space="preserve">Gartner. </w:t>
      </w:r>
      <w:r w:rsidDel="00000000" w:rsidR="00000000" w:rsidRPr="00000000">
        <w:rPr>
          <w:i w:val="1"/>
          <w:iCs w:val="1"/>
          <w:rtl w:val="0"/>
        </w:rPr>
        <w:t xml:space="preserve">Gartner Forecasts Worldwide AI Spending to Grow 49.5% in 2026.</w:t>
      </w:r>
    </w:p>
    <w:p w:rsidR="00000000" w:rsidDel="00000000" w:rsidP="00000000" w:rsidRDefault="00000000" w:rsidRPr="00000000" w14:paraId="00000206">
      <w:pPr>
        <w:spacing w:after="240" w:before="240" w:lineRule="auto"/>
        <w:ind w:left="720" w:firstLine="0"/>
        <w:jc w:val="both"/>
        <w:rPr>
          <w:color w:val="1155cc"/>
          <w:u w:val="single"/>
        </w:rPr>
      </w:pPr>
      <w:hyperlink r:id="rId13">
        <w:r w:rsidDel="00000000" w:rsidR="00000000" w:rsidRPr="00000000">
          <w:rPr>
            <w:color w:val="1155cc"/>
            <w:u w:val="single"/>
            <w:rtl w:val="0"/>
          </w:rPr>
          <w:t xml:space="preserve">https://gcomdr.pdo.aws.gartner.com/en/newsroom/press-releases/2026-09-16-gartner-forecasts-worldwide-ai-spending-to-grow-49-point-5-percent-in-2026</w:t>
        </w:r>
      </w:hyperlink>
      <w:r w:rsidDel="00000000" w:rsidR="00000000" w:rsidRPr="00000000">
        <w:rPr>
          <w:rtl w:val="0"/>
        </w:rPr>
      </w:r>
    </w:p>
    <w:p w:rsidR="00000000" w:rsidDel="00000000" w:rsidP="00000000" w:rsidRDefault="00000000" w:rsidRPr="00000000" w14:paraId="00000207">
      <w:pPr>
        <w:numPr>
          <w:ilvl w:val="0"/>
          <w:numId w:val="1"/>
        </w:numPr>
        <w:spacing w:after="240" w:before="240" w:lineRule="auto"/>
        <w:ind w:left="720" w:hanging="360"/>
        <w:jc w:val="both"/>
        <w:rPr>
          <w:sz w:val="22"/>
          <w:szCs w:val="22"/>
        </w:rPr>
      </w:pPr>
      <w:r w:rsidDel="00000000" w:rsidR="00000000" w:rsidRPr="00000000">
        <w:rPr>
          <w:rtl w:val="0"/>
        </w:rPr>
        <w:t xml:space="preserve">CB Insights. </w:t>
      </w:r>
      <w:r w:rsidDel="00000000" w:rsidR="00000000" w:rsidRPr="00000000">
        <w:rPr>
          <w:i w:val="1"/>
          <w:iCs w:val="1"/>
          <w:rtl w:val="0"/>
        </w:rPr>
        <w:t xml:space="preserve">Enterprise AI Agents Market Size.</w:t>
      </w:r>
      <w:r w:rsidDel="00000000" w:rsidR="00000000" w:rsidRPr="00000000">
        <w:rPr>
          <w:rtl w:val="0"/>
        </w:rPr>
      </w:r>
    </w:p>
    <w:p w:rsidR="00000000" w:rsidDel="00000000" w:rsidP="00000000" w:rsidRDefault="00000000" w:rsidRPr="00000000" w14:paraId="00000208">
      <w:pPr>
        <w:spacing w:after="240" w:before="240" w:lineRule="auto"/>
        <w:ind w:left="720" w:firstLine="0"/>
        <w:jc w:val="both"/>
        <w:rPr>
          <w:color w:val="1155cc"/>
          <w:u w:val="single"/>
        </w:rPr>
      </w:pPr>
      <w:hyperlink r:id="rId14">
        <w:r w:rsidDel="00000000" w:rsidR="00000000" w:rsidRPr="00000000">
          <w:rPr>
            <w:color w:val="1155cc"/>
            <w:u w:val="single"/>
            <w:rtl w:val="0"/>
          </w:rPr>
          <w:t xml:space="preserve">https://www.cbinsights.com/research/enterprise-ai-agents-market-size/</w:t>
        </w:r>
      </w:hyperlink>
      <w:r w:rsidDel="00000000" w:rsidR="00000000" w:rsidRPr="00000000">
        <w:rPr>
          <w:rtl w:val="0"/>
        </w:rPr>
      </w:r>
    </w:p>
    <w:p w:rsidR="00000000" w:rsidDel="00000000" w:rsidP="00000000" w:rsidRDefault="00000000" w:rsidRPr="00000000" w14:paraId="00000209">
      <w:pPr>
        <w:numPr>
          <w:ilvl w:val="0"/>
          <w:numId w:val="1"/>
        </w:numPr>
        <w:spacing w:after="240" w:before="240" w:lineRule="auto"/>
        <w:ind w:left="720" w:hanging="360"/>
        <w:jc w:val="both"/>
        <w:rPr>
          <w:sz w:val="22"/>
          <w:szCs w:val="22"/>
        </w:rPr>
      </w:pPr>
      <w:r w:rsidDel="00000000" w:rsidR="00000000" w:rsidRPr="00000000">
        <w:rPr>
          <w:rtl w:val="0"/>
        </w:rPr>
        <w:t xml:space="preserve">IDC market forecast summary. </w:t>
      </w:r>
      <w:r w:rsidDel="00000000" w:rsidR="00000000" w:rsidRPr="00000000">
        <w:rPr>
          <w:i w:val="1"/>
          <w:iCs w:val="1"/>
          <w:rtl w:val="0"/>
        </w:rPr>
        <w:t xml:space="preserve">Worldwide Agentic AI Platforms Forecast.</w:t>
      </w:r>
      <w:r w:rsidDel="00000000" w:rsidR="00000000" w:rsidRPr="00000000">
        <w:rPr>
          <w:rtl w:val="0"/>
        </w:rPr>
      </w:r>
    </w:p>
    <w:p w:rsidR="00000000" w:rsidDel="00000000" w:rsidP="00000000" w:rsidRDefault="00000000" w:rsidRPr="00000000" w14:paraId="0000020A">
      <w:pPr>
        <w:spacing w:after="240" w:before="240" w:lineRule="auto"/>
        <w:ind w:left="720" w:firstLine="0"/>
        <w:jc w:val="both"/>
        <w:rPr>
          <w:color w:val="1155cc"/>
          <w:u w:val="single"/>
        </w:rPr>
      </w:pPr>
      <w:hyperlink r:id="rId15">
        <w:r w:rsidDel="00000000" w:rsidR="00000000" w:rsidRPr="00000000">
          <w:rPr>
            <w:color w:val="1155cc"/>
            <w:u w:val="single"/>
            <w:rtl w:val="0"/>
          </w:rPr>
          <w:t xml:space="preserve">https://www.marketresearch.com/IDC-v2477/Forecast-Worldwide-Agentic-AI-Platforms-46450172/</w:t>
        </w:r>
      </w:hyperlink>
      <w:r w:rsidDel="00000000" w:rsidR="00000000" w:rsidRPr="00000000">
        <w:rPr>
          <w:rtl w:val="0"/>
        </w:rPr>
      </w:r>
    </w:p>
    <w:p w:rsidR="00000000" w:rsidDel="00000000" w:rsidP="00000000" w:rsidRDefault="00000000" w:rsidRPr="00000000" w14:paraId="0000020B">
      <w:pPr>
        <w:numPr>
          <w:ilvl w:val="0"/>
          <w:numId w:val="1"/>
        </w:numPr>
        <w:spacing w:after="240" w:before="240" w:lineRule="auto"/>
        <w:ind w:left="720" w:hanging="360"/>
        <w:jc w:val="both"/>
        <w:rPr>
          <w:sz w:val="22"/>
          <w:szCs w:val="22"/>
        </w:rPr>
      </w:pPr>
      <w:r w:rsidDel="00000000" w:rsidR="00000000" w:rsidRPr="00000000">
        <w:rPr>
          <w:rtl w:val="0"/>
        </w:rPr>
        <w:t xml:space="preserve">McKinsey &amp; Company. </w:t>
      </w:r>
      <w:r w:rsidDel="00000000" w:rsidR="00000000" w:rsidRPr="00000000">
        <w:rPr>
          <w:i w:val="1"/>
          <w:iCs w:val="1"/>
          <w:rtl w:val="0"/>
        </w:rPr>
        <w:t xml:space="preserve">The State of AI.</w:t>
      </w:r>
      <w:r w:rsidDel="00000000" w:rsidR="00000000" w:rsidRPr="00000000">
        <w:rPr>
          <w:rtl w:val="0"/>
        </w:rPr>
      </w:r>
    </w:p>
    <w:p w:rsidR="00000000" w:rsidDel="00000000" w:rsidP="00000000" w:rsidRDefault="00000000" w:rsidRPr="00000000" w14:paraId="0000020C">
      <w:pPr>
        <w:spacing w:after="240" w:before="240" w:lineRule="auto"/>
        <w:ind w:left="720" w:firstLine="0"/>
        <w:jc w:val="both"/>
        <w:rPr>
          <w:color w:val="1155cc"/>
          <w:u w:val="single"/>
        </w:rPr>
      </w:pPr>
      <w:hyperlink r:id="rId16">
        <w:r w:rsidDel="00000000" w:rsidR="00000000" w:rsidRPr="00000000">
          <w:rPr>
            <w:color w:val="1155cc"/>
            <w:u w:val="single"/>
            <w:rtl w:val="0"/>
          </w:rPr>
          <w:t xml:space="preserve">https://www.mckinsey.com/capabilities/quantumblack/our-insights/the-state-of-ai</w:t>
        </w:r>
      </w:hyperlink>
      <w:r w:rsidDel="00000000" w:rsidR="00000000" w:rsidRPr="00000000">
        <w:rPr>
          <w:rtl w:val="0"/>
        </w:rPr>
      </w:r>
    </w:p>
    <w:p w:rsidR="00000000" w:rsidDel="00000000" w:rsidP="00000000" w:rsidRDefault="00000000" w:rsidRPr="00000000" w14:paraId="0000020D">
      <w:pPr>
        <w:numPr>
          <w:ilvl w:val="0"/>
          <w:numId w:val="1"/>
        </w:numPr>
        <w:spacing w:after="240" w:before="240" w:lineRule="auto"/>
        <w:ind w:left="720" w:hanging="360"/>
        <w:jc w:val="both"/>
        <w:rPr>
          <w:sz w:val="22"/>
          <w:szCs w:val="22"/>
        </w:rPr>
      </w:pPr>
      <w:r w:rsidDel="00000000" w:rsidR="00000000" w:rsidRPr="00000000">
        <w:rPr>
          <w:rtl w:val="0"/>
        </w:rPr>
        <w:t xml:space="preserve">Microsoft WorkLab. </w:t>
      </w:r>
      <w:r w:rsidDel="00000000" w:rsidR="00000000" w:rsidRPr="00000000">
        <w:rPr>
          <w:i w:val="1"/>
          <w:iCs w:val="1"/>
          <w:rtl w:val="0"/>
        </w:rPr>
        <w:t xml:space="preserve">Work Trend Index: Agents, Human Agency, and the Opportunity for Every Organization.</w:t>
      </w:r>
    </w:p>
    <w:p w:rsidR="00000000" w:rsidDel="00000000" w:rsidP="00000000" w:rsidRDefault="00000000" w:rsidRPr="00000000" w14:paraId="0000020E">
      <w:pPr>
        <w:spacing w:after="240" w:before="240" w:lineRule="auto"/>
        <w:ind w:left="720" w:firstLine="0"/>
        <w:jc w:val="both"/>
        <w:rPr>
          <w:color w:val="1155cc"/>
          <w:u w:val="single"/>
        </w:rPr>
      </w:pPr>
      <w:hyperlink r:id="rId17">
        <w:r w:rsidDel="00000000" w:rsidR="00000000" w:rsidRPr="00000000">
          <w:rPr>
            <w:color w:val="1155cc"/>
            <w:u w:val="single"/>
            <w:rtl w:val="0"/>
          </w:rPr>
          <w:t xml:space="preserve">https://www.microsoft.com/en-us/worklab/work-trend-index/agents-human-agency-and-the-opportunity-for-every-organization</w:t>
        </w:r>
      </w:hyperlink>
      <w:r w:rsidDel="00000000" w:rsidR="00000000" w:rsidRPr="00000000">
        <w:rPr>
          <w:rtl w:val="0"/>
        </w:rPr>
      </w:r>
    </w:p>
    <w:p w:rsidR="00000000" w:rsidDel="00000000" w:rsidP="00000000" w:rsidRDefault="00000000" w:rsidRPr="00000000" w14:paraId="0000020F">
      <w:pPr>
        <w:numPr>
          <w:ilvl w:val="0"/>
          <w:numId w:val="1"/>
        </w:numPr>
        <w:spacing w:after="240" w:before="240" w:lineRule="auto"/>
        <w:ind w:left="720" w:hanging="360"/>
        <w:jc w:val="both"/>
        <w:rPr>
          <w:sz w:val="22"/>
          <w:szCs w:val="22"/>
        </w:rPr>
      </w:pPr>
      <w:r w:rsidDel="00000000" w:rsidR="00000000" w:rsidRPr="00000000">
        <w:rPr>
          <w:rtl w:val="0"/>
        </w:rPr>
        <w:t xml:space="preserve">Microsoft, Google, Amazon Web Services, Salesforce, ServiceNow, and IBM. Official product documentation and public materials relating to enterprise AI agent platforms. Refer to the respective vendor websites for current product capabilities and pricing.</w:t>
      </w:r>
    </w:p>
    <w:p w:rsidR="00000000" w:rsidDel="00000000" w:rsidP="00000000" w:rsidRDefault="00000000" w:rsidRPr="00000000" w14:paraId="00000210">
      <w:pPr>
        <w:spacing w:after="240" w:before="240" w:lineRule="auto"/>
        <w:jc w:val="both"/>
        <w:rPr/>
      </w:pPr>
      <w:r w:rsidDel="00000000" w:rsidR="00000000" w:rsidRPr="00000000">
        <w:rPr>
          <w:b w:val="1"/>
          <w:bCs w:val="1"/>
          <w:rtl w:val="0"/>
        </w:rPr>
        <w:t xml:space="preserve">Source-use note:</w:t>
      </w:r>
      <w:r w:rsidDel="00000000" w:rsidR="00000000" w:rsidRPr="00000000">
        <w:rPr>
          <w:rtl w:val="0"/>
        </w:rPr>
        <w:t xml:space="preserve"> Published market figures are attributed to their respective sources. Scenario forecasts and use-case priority scores are analyst calculations or judgments, not published market estimates. Product capabilities and pricing should be verified against current official vendor documentation before external publication.</w:t>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r>
    </w:p>
    <w:sectPr>
      <w:footerReference r:id="rId1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gartner.com/en/documents/7509353" TargetMode="External"/><Relationship Id="rId10" Type="http://schemas.openxmlformats.org/officeDocument/2006/relationships/hyperlink" Target="https://www.marketresearch.com/IDC-v2477/Forecast-Worldwide-Agentic-AI-Platforms-46450172/" TargetMode="External"/><Relationship Id="rId13" Type="http://schemas.openxmlformats.org/officeDocument/2006/relationships/hyperlink" Target="https://gcomdr.pdo.aws.gartner.com/en/newsroom/press-releases/2026-09-16-gartner-forecasts-worldwide-ai-spending-to-grow-49-point-5-percent-in-2026" TargetMode="External"/><Relationship Id="rId12" Type="http://schemas.openxmlformats.org/officeDocument/2006/relationships/hyperlink" Target="https://www.gartner.com/en/documents/74552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binsights.com/research/enterprise-ai-agents-market-size/" TargetMode="External"/><Relationship Id="rId15" Type="http://schemas.openxmlformats.org/officeDocument/2006/relationships/hyperlink" Target="https://www.marketresearch.com/IDC-v2477/Forecast-Worldwide-Agentic-AI-Platforms-46450172/" TargetMode="External"/><Relationship Id="rId14" Type="http://schemas.openxmlformats.org/officeDocument/2006/relationships/hyperlink" Target="https://www.cbinsights.com/research/enterprise-ai-agents-market-size/" TargetMode="External"/><Relationship Id="rId17" Type="http://schemas.openxmlformats.org/officeDocument/2006/relationships/hyperlink" Target="https://www.microsoft.com/en-us/worklab/work-trend-index/agents-human-agency-and-the-opportunity-for-every-organization" TargetMode="External"/><Relationship Id="rId16" Type="http://schemas.openxmlformats.org/officeDocument/2006/relationships/hyperlink" Target="https://www.mckinsey.com/capabilities/quantumblack/our-insights/the-state-of-ai" TargetMode="External"/><Relationship Id="rId5" Type="http://schemas.openxmlformats.org/officeDocument/2006/relationships/styles" Target="styles.xml"/><Relationship Id="rId6" Type="http://schemas.openxmlformats.org/officeDocument/2006/relationships/hyperlink" Target="https://www.gartner.com/en/documents/7509353" TargetMode="External"/><Relationship Id="rId18" Type="http://schemas.openxmlformats.org/officeDocument/2006/relationships/footer" Target="footer1.xml"/><Relationship Id="rId7" Type="http://schemas.openxmlformats.org/officeDocument/2006/relationships/hyperlink" Target="https://www.gartner.com/en/documents/7455226" TargetMode="External"/><Relationship Id="rId8" Type="http://schemas.openxmlformats.org/officeDocument/2006/relationships/hyperlink" Target="https://gcomdr.pdo.aws.gartner.com/en/newsroom/press-releases/2026-09-16-gartner-forecasts-worldwide-ai-spending-to-grow-49-point-5-percent-in-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