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200"/>
        <w:jc w:val="center"/>
      </w:pPr>
      <w:r>
        <w:rPr>
          <w:b/>
          <w:bCs/>
          <w:color w:val="1F4E79"/>
          <w:sz w:val="52"/>
          <w:szCs w:val="52"/>
        </w:rPr>
        <w:t xml:space="preserve">FreshMart Retail Chain</w:t>
      </w:r>
    </w:p>
    <w:p>
      <w:pPr>
        <w:spacing w:after="200"/>
        <w:jc w:val="center"/>
      </w:pPr>
      <w:r>
        <w:rPr>
          <w:color w:val="1F4E79"/>
          <w:sz w:val="40"/>
          <w:szCs w:val="40"/>
        </w:rPr>
        <w:t xml:space="preserve">Forecasting Monthly Sales</w:t>
      </w:r>
    </w:p>
    <w:p>
      <w:pPr>
        <w:pBdr>
          <w:top w:val="single" w:color="1F4E79" w:sz="12" w:space="12"/>
        </w:pBdr>
        <w:spacing w:after="200" w:before="200"/>
        <w:jc w:val="center"/>
      </w:pPr>
      <w:r>
        <w:rPr>
          <w:sz w:val="30"/>
          <w:szCs w:val="30"/>
        </w:rPr>
        <w:t xml:space="preserve">Step-by-Step Explanation of the Python Notebook</w:t>
      </w:r>
    </w:p>
    <w:p>
      <w:pPr>
        <w:spacing w:after="100"/>
        <w:jc w:val="center"/>
      </w:pPr>
      <w:r>
        <w:rPr>
          <w:color w:val="595959"/>
          <w:sz w:val="24"/>
          <w:szCs w:val="24"/>
        </w:rPr>
        <w:t xml:space="preserve">Time Series Forecasting Case Study | Business Analytics</w:t>
      </w:r>
    </w:p>
    <w:p>
      <w:pPr>
        <w:spacing w:after="100" w:before="600"/>
        <w:jc w:val="center"/>
      </w:pPr>
      <w:r>
        <w:rPr>
          <w:sz w:val="22"/>
          <w:szCs w:val="22"/>
        </w:rPr>
        <w:t xml:space="preserve">Dataset: Monthly sales in INR lakhs, January 2020 to December 2024 (60 months)</w:t>
      </w:r>
    </w:p>
    <w:p>
      <w:pPr>
        <w:jc w:val="center"/>
      </w:pPr>
      <w:r>
        <w:rPr>
          <w:sz w:val="22"/>
          <w:szCs w:val="22"/>
        </w:rPr>
        <w:t xml:space="preserve">Methods covered: Moving Average, Exponential Smoothing, AR, ARIMA, SARIMA, Holt-Winters</w:t>
      </w:r>
    </w:p>
    <w:p>
      <w:r>
        <w:br w:type="page"/>
      </w:r>
    </w:p>
    <w:p>
      <w:pPr>
        <w:pStyle w:val="Heading1"/>
      </w:pPr>
      <w:r>
        <w:t xml:space="preserve">Contents</w:t>
      </w:r>
    </w:p>
    <w:p>
      <w:pPr>
        <w:spacing w:after="140"/>
      </w:pPr>
      <w:r>
        <w:rPr>
          <w:sz w:val="24"/>
          <w:szCs w:val="24"/>
        </w:rPr>
        <w:t xml:space="preserve">1. Introduction</w:t>
      </w:r>
    </w:p>
    <w:p>
      <w:pPr>
        <w:spacing w:after="140"/>
      </w:pPr>
      <w:r>
        <w:rPr>
          <w:sz w:val="24"/>
          <w:szCs w:val="24"/>
        </w:rPr>
        <w:t xml:space="preserve">2. Getting Ready: Libraries, Loading and Checking the Data</w:t>
      </w:r>
    </w:p>
    <w:p>
      <w:pPr>
        <w:spacing w:after="140"/>
      </w:pPr>
      <w:r>
        <w:rPr>
          <w:sz w:val="24"/>
          <w:szCs w:val="24"/>
        </w:rPr>
        <w:t xml:space="preserve">3. Task 1: Moving Average (MA)</w:t>
      </w:r>
    </w:p>
    <w:p>
      <w:pPr>
        <w:spacing w:after="140"/>
      </w:pPr>
      <w:r>
        <w:rPr>
          <w:sz w:val="24"/>
          <w:szCs w:val="24"/>
        </w:rPr>
        <w:t xml:space="preserve">4. Preparing for Forecasting: Train-Test Split and Error Measures</w:t>
      </w:r>
    </w:p>
    <w:p>
      <w:pPr>
        <w:spacing w:after="140"/>
      </w:pPr>
      <w:r>
        <w:rPr>
          <w:sz w:val="24"/>
          <w:szCs w:val="24"/>
        </w:rPr>
        <w:t xml:space="preserve">5. Task 2: Exponential Smoothing</w:t>
      </w:r>
    </w:p>
    <w:p>
      <w:pPr>
        <w:spacing w:after="140"/>
      </w:pPr>
      <w:r>
        <w:rPr>
          <w:sz w:val="24"/>
          <w:szCs w:val="24"/>
        </w:rPr>
        <w:t xml:space="preserve">6. Task 3: Autoregressive (AR) Models</w:t>
      </w:r>
    </w:p>
    <w:p>
      <w:pPr>
        <w:spacing w:after="140"/>
      </w:pPr>
      <w:r>
        <w:rPr>
          <w:sz w:val="24"/>
          <w:szCs w:val="24"/>
        </w:rPr>
        <w:t xml:space="preserve">7. Task 4: ARIMA Models</w:t>
      </w:r>
    </w:p>
    <w:p>
      <w:pPr>
        <w:spacing w:after="140"/>
      </w:pPr>
      <w:r>
        <w:rPr>
          <w:sz w:val="24"/>
          <w:szCs w:val="24"/>
        </w:rPr>
        <w:t xml:space="preserve">8. Task 5: Seasonal ARIMA (SARIMA)</w:t>
      </w:r>
    </w:p>
    <w:p>
      <w:pPr>
        <w:spacing w:after="140"/>
      </w:pPr>
      <w:r>
        <w:rPr>
          <w:sz w:val="24"/>
          <w:szCs w:val="24"/>
        </w:rPr>
        <w:t xml:space="preserve">9. Task 6: Holt-Winters Seasonal Method</w:t>
      </w:r>
    </w:p>
    <w:p>
      <w:pPr>
        <w:spacing w:after="140"/>
      </w:pPr>
      <w:r>
        <w:rPr>
          <w:sz w:val="24"/>
          <w:szCs w:val="24"/>
        </w:rPr>
        <w:t xml:space="preserve">10. Comparing All the Models</w:t>
      </w:r>
    </w:p>
    <w:p>
      <w:pPr>
        <w:spacing w:after="140"/>
      </w:pPr>
      <w:r>
        <w:rPr>
          <w:sz w:val="24"/>
          <w:szCs w:val="24"/>
        </w:rPr>
        <w:t xml:space="preserve">11. Forecasting the Next 12 Months (2025)</w:t>
      </w:r>
    </w:p>
    <w:p>
      <w:pPr>
        <w:spacing w:after="140"/>
      </w:pPr>
      <w:r>
        <w:rPr>
          <w:sz w:val="24"/>
          <w:szCs w:val="24"/>
        </w:rPr>
        <w:t xml:space="preserve">12. Insights and Recommendations</w:t>
      </w:r>
    </w:p>
    <w:p>
      <w:pPr>
        <w:spacing w:after="140"/>
      </w:pPr>
      <w:r>
        <w:rPr>
          <w:sz w:val="24"/>
          <w:szCs w:val="24"/>
        </w:rPr>
        <w:t xml:space="preserve">13. Overall Summary</w:t>
      </w:r>
    </w:p>
    <w:p>
      <w:pPr>
        <w:pStyle w:val="Heading1"/>
        <w:pageBreakBefore/>
      </w:pPr>
      <w:r>
        <w:t xml:space="preserve">1. Introduction</w:t>
      </w:r>
    </w:p>
    <w:p>
      <w:pPr>
        <w:pStyle w:val="Heading2"/>
      </w:pPr>
      <w:r>
        <w:t xml:space="preserve">1.1 What is the problem?</w:t>
      </w:r>
    </w:p>
    <w:p>
      <w:pPr>
        <w:spacing w:after="120" w:line="300"/>
      </w:pPr>
      <w:r>
        <w:t xml:space="preserve">FreshMart is a big retail chain that sells groceries and household items across the country. The management wants to know </w:t>
      </w:r>
      <w:r>
        <w:rPr>
          <w:b/>
          <w:bCs/>
        </w:rPr>
        <w:t xml:space="preserve">how much it will sell in each coming month</w:t>
      </w:r>
      <w:r>
        <w:t xml:space="preserve">. If they know this in advance, they can order the right amount of stock, avoid running out of items (called a stockout), and avoid keeping too much unsold stock.</w:t>
      </w:r>
    </w:p>
    <w:p>
      <w:pPr>
        <w:spacing w:after="120" w:line="300"/>
      </w:pPr>
      <w:r>
        <w:t xml:space="preserve">Our job, as the Business Analytics team, is to look at the past 5 years of monthly sales and build a </w:t>
      </w:r>
      <w:r>
        <w:rPr>
          <w:b/>
          <w:bCs/>
        </w:rPr>
        <w:t xml:space="preserve">time series forecasting model</w:t>
      </w:r>
      <w:r>
        <w:t xml:space="preserve"> that predicts the future.</w:t>
      </w:r>
    </w:p>
    <w:p>
      <w:pPr>
        <w:pStyle w:val="Heading2"/>
      </w:pPr>
      <w:r>
        <w:t xml:space="preserve">1.2 What is a time series?</w:t>
      </w:r>
    </w:p>
    <w:p>
      <w:pPr>
        <w:spacing w:after="120" w:line="300"/>
      </w:pPr>
      <w:r>
        <w:t xml:space="preserve">A time series is simply a list of numbers recorded one after another over time, for example sales for January, February, March and so on. In a time series, the order matters, because today's value is usually related to yesterday's value. Time series usually contains three things:</w:t>
      </w:r>
    </w:p>
    <w:p>
      <w:pPr>
        <w:pStyle w:val="ListParagraph"/>
        <w:numPr>
          <w:ilvl w:val="0"/>
          <w:numId w:val="2"/>
        </w:numPr>
        <w:spacing w:after="60" w:line="290"/>
      </w:pPr>
      <w:r>
        <w:rPr>
          <w:b/>
          <w:bCs/>
        </w:rPr>
        <w:t xml:space="preserve">Trend:</w:t>
      </w:r>
      <w:r>
        <w:t xml:space="preserve"> the long-term direction (going up, going down or staying flat).</w:t>
      </w:r>
    </w:p>
    <w:p>
      <w:pPr>
        <w:pStyle w:val="ListParagraph"/>
        <w:numPr>
          <w:ilvl w:val="0"/>
          <w:numId w:val="2"/>
        </w:numPr>
        <w:spacing w:after="60" w:line="290"/>
      </w:pPr>
      <w:r>
        <w:rPr>
          <w:b/>
          <w:bCs/>
        </w:rPr>
        <w:t xml:space="preserve">Seasonality:</w:t>
      </w:r>
      <w:r>
        <w:t xml:space="preserve"> a pattern that repeats every year, such as higher sales in December because of festivals.</w:t>
      </w:r>
    </w:p>
    <w:p>
      <w:pPr>
        <w:pStyle w:val="ListParagraph"/>
        <w:numPr>
          <w:ilvl w:val="0"/>
          <w:numId w:val="2"/>
        </w:numPr>
        <w:spacing w:after="60" w:line="290"/>
      </w:pPr>
      <w:r>
        <w:rPr>
          <w:b/>
          <w:bCs/>
        </w:rPr>
        <w:t xml:space="preserve">Noise (random ups and downs):</w:t>
      </w:r>
      <w:r>
        <w:t xml:space="preserve"> small unpredictable changes that we cannot explain.</w:t>
      </w:r>
    </w:p>
    <w:p>
      <w:pPr>
        <w:pStyle w:val="Heading2"/>
      </w:pPr>
      <w:r>
        <w:t xml:space="preserve">1.3 What is in this report?</w:t>
      </w:r>
    </w:p>
    <w:p>
      <w:pPr>
        <w:spacing w:after="120" w:line="300"/>
      </w:pPr>
      <w:r>
        <w:t xml:space="preserve">The professor's case study has 6 tasks. The Python notebook solves all of them one by one. This report walks through the notebook in the same order and explains, in simple words, </w:t>
      </w:r>
      <w:r>
        <w:rPr>
          <w:b/>
          <w:bCs/>
        </w:rPr>
        <w:t xml:space="preserve">what each step does, why it is done and what the result means</w:t>
      </w:r>
      <w:r>
        <w:t xml:space="preserve">. All the pictures (graphs) from the notebook are included.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300"/>
        <w:gridCol w:w="3900"/>
        <w:gridCol w:w="4546"/>
      </w:tblGrid>
      <w:tr>
        <w:trPr>
          <w:cantSplit/>
          <w:tblHeader/>
        </w:trPr>
        <w:tc>
          <w:tcPr>
            <w:tcW w:type="dxa" w:w="13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keepNext/>
              <w:jc w:val="left"/>
            </w:pPr>
            <w:r>
              <w:rPr>
                <w:b/>
                <w:bCs/>
                <w:color w:val="FFFFFF"/>
                <w:sz w:val="20"/>
                <w:szCs w:val="20"/>
              </w:rPr>
              <w:t xml:space="preserve">Task</w:t>
            </w:r>
          </w:p>
        </w:tc>
        <w:tc>
          <w:tcPr>
            <w:tcW w:type="dxa" w:w="39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keepNext/>
              <w:jc w:val="center"/>
            </w:pPr>
            <w:r>
              <w:rPr>
                <w:b/>
                <w:bCs/>
                <w:color w:val="FFFFFF"/>
                <w:sz w:val="20"/>
                <w:szCs w:val="20"/>
              </w:rPr>
              <w:t xml:space="preserve">Method</w:t>
            </w:r>
          </w:p>
        </w:tc>
        <w:tc>
          <w:tcPr>
            <w:tcW w:type="dxa" w:w="454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keepNext/>
              <w:jc w:val="center"/>
            </w:pPr>
            <w:r>
              <w:rPr>
                <w:b/>
                <w:bCs/>
                <w:color w:val="FFFFFF"/>
                <w:sz w:val="20"/>
                <w:szCs w:val="20"/>
              </w:rPr>
              <w:t xml:space="preserve">What it does in one line</w:t>
            </w:r>
          </w:p>
        </w:tc>
      </w:tr>
      <w:tr>
        <w:trPr>
          <w:cantSplit/>
        </w:trPr>
        <w:tc>
          <w:tcPr>
            <w:tcW w:type="dxa" w:w="13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keepNext/>
              <w:jc w:val="left"/>
            </w:pPr>
            <w:r>
              <w:rPr>
                <w:b w:val="false"/>
                <w:bCs w:val="false"/>
                <w:color w:val="000000"/>
                <w:sz w:val="20"/>
                <w:szCs w:val="20"/>
              </w:rPr>
              <w:t xml:space="preserve">Task 1</w:t>
            </w:r>
          </w:p>
        </w:tc>
        <w:tc>
          <w:tcPr>
            <w:tcW w:type="dxa" w:w="39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keepNext/>
              <w:jc w:val="center"/>
            </w:pPr>
            <w:r>
              <w:rPr>
                <w:b w:val="false"/>
                <w:bCs w:val="false"/>
                <w:color w:val="000000"/>
                <w:sz w:val="20"/>
                <w:szCs w:val="20"/>
              </w:rPr>
              <w:t xml:space="preserve">Moving Average</w:t>
            </w:r>
          </w:p>
        </w:tc>
        <w:tc>
          <w:tcPr>
            <w:tcW w:type="dxa" w:w="454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keepNext/>
              <w:jc w:val="center"/>
            </w:pPr>
            <w:r>
              <w:rPr>
                <w:b w:val="false"/>
                <w:bCs w:val="false"/>
                <w:color w:val="000000"/>
                <w:sz w:val="20"/>
                <w:szCs w:val="20"/>
              </w:rPr>
              <w:t xml:space="preserve">Smooths the ups and downs to show the trend</w:t>
            </w:r>
          </w:p>
        </w:tc>
      </w:tr>
      <w:tr>
        <w:trPr>
          <w:cantSplit/>
        </w:trPr>
        <w:tc>
          <w:tcPr>
            <w:tcW w:type="dxa" w:w="1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jc w:val="left"/>
            </w:pPr>
            <w:r>
              <w:rPr>
                <w:b w:val="false"/>
                <w:bCs w:val="false"/>
                <w:color w:val="000000"/>
                <w:sz w:val="20"/>
                <w:szCs w:val="20"/>
              </w:rPr>
              <w:t xml:space="preserve">Task 2</w:t>
            </w:r>
          </w:p>
        </w:tc>
        <w:tc>
          <w:tcPr>
            <w:tcW w:type="dxa" w:w="3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jc w:val="center"/>
            </w:pPr>
            <w:r>
              <w:rPr>
                <w:b w:val="false"/>
                <w:bCs w:val="false"/>
                <w:color w:val="000000"/>
                <w:sz w:val="20"/>
                <w:szCs w:val="20"/>
              </w:rPr>
              <w:t xml:space="preserve">Exponential Smoothing (SES, Double, Triple)</w:t>
            </w:r>
          </w:p>
        </w:tc>
        <w:tc>
          <w:tcPr>
            <w:tcW w:type="dxa" w:w="454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jc w:val="center"/>
            </w:pPr>
            <w:r>
              <w:rPr>
                <w:b w:val="false"/>
                <w:bCs w:val="false"/>
                <w:color w:val="000000"/>
                <w:sz w:val="20"/>
                <w:szCs w:val="20"/>
              </w:rPr>
              <w:t xml:space="preserve">Forecasts by giving more weight to recent months</w:t>
            </w:r>
          </w:p>
        </w:tc>
      </w:tr>
      <w:tr>
        <w:trPr>
          <w:cantSplit/>
        </w:trPr>
        <w:tc>
          <w:tcPr>
            <w:tcW w:type="dxa" w:w="13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keepNext/>
              <w:jc w:val="left"/>
            </w:pPr>
            <w:r>
              <w:rPr>
                <w:b w:val="false"/>
                <w:bCs w:val="false"/>
                <w:color w:val="000000"/>
                <w:sz w:val="20"/>
                <w:szCs w:val="20"/>
              </w:rPr>
              <w:t xml:space="preserve">Task 3</w:t>
            </w:r>
          </w:p>
        </w:tc>
        <w:tc>
          <w:tcPr>
            <w:tcW w:type="dxa" w:w="39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keepNext/>
              <w:jc w:val="center"/>
            </w:pPr>
            <w:r>
              <w:rPr>
                <w:b w:val="false"/>
                <w:bCs w:val="false"/>
                <w:color w:val="000000"/>
                <w:sz w:val="20"/>
                <w:szCs w:val="20"/>
              </w:rPr>
              <w:t xml:space="preserve">Autoregressive (AR)</w:t>
            </w:r>
          </w:p>
        </w:tc>
        <w:tc>
          <w:tcPr>
            <w:tcW w:type="dxa" w:w="454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keepNext/>
              <w:jc w:val="center"/>
            </w:pPr>
            <w:r>
              <w:rPr>
                <w:b w:val="false"/>
                <w:bCs w:val="false"/>
                <w:color w:val="000000"/>
                <w:sz w:val="20"/>
                <w:szCs w:val="20"/>
              </w:rPr>
              <w:t xml:space="preserve">Predicts using the previous months' values</w:t>
            </w:r>
          </w:p>
        </w:tc>
      </w:tr>
      <w:tr>
        <w:trPr>
          <w:cantSplit/>
        </w:trPr>
        <w:tc>
          <w:tcPr>
            <w:tcW w:type="dxa" w:w="1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jc w:val="left"/>
            </w:pPr>
            <w:r>
              <w:rPr>
                <w:b w:val="false"/>
                <w:bCs w:val="false"/>
                <w:color w:val="000000"/>
                <w:sz w:val="20"/>
                <w:szCs w:val="20"/>
              </w:rPr>
              <w:t xml:space="preserve">Task 4</w:t>
            </w:r>
          </w:p>
        </w:tc>
        <w:tc>
          <w:tcPr>
            <w:tcW w:type="dxa" w:w="3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jc w:val="center"/>
            </w:pPr>
            <w:r>
              <w:rPr>
                <w:b w:val="false"/>
                <w:bCs w:val="false"/>
                <w:color w:val="000000"/>
                <w:sz w:val="20"/>
                <w:szCs w:val="20"/>
              </w:rPr>
              <w:t xml:space="preserve">ARIMA</w:t>
            </w:r>
          </w:p>
        </w:tc>
        <w:tc>
          <w:tcPr>
            <w:tcW w:type="dxa" w:w="454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jc w:val="center"/>
            </w:pPr>
            <w:r>
              <w:rPr>
                <w:b w:val="false"/>
                <w:bCs w:val="false"/>
                <w:color w:val="000000"/>
                <w:sz w:val="20"/>
                <w:szCs w:val="20"/>
              </w:rPr>
              <w:t xml:space="preserve">AR + differencing + moving average errors</w:t>
            </w:r>
          </w:p>
        </w:tc>
      </w:tr>
      <w:tr>
        <w:trPr>
          <w:cantSplit/>
        </w:trPr>
        <w:tc>
          <w:tcPr>
            <w:tcW w:type="dxa" w:w="13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keepNext/>
              <w:jc w:val="left"/>
            </w:pPr>
            <w:r>
              <w:rPr>
                <w:b w:val="false"/>
                <w:bCs w:val="false"/>
                <w:color w:val="000000"/>
                <w:sz w:val="20"/>
                <w:szCs w:val="20"/>
              </w:rPr>
              <w:t xml:space="preserve">Task 5</w:t>
            </w:r>
          </w:p>
        </w:tc>
        <w:tc>
          <w:tcPr>
            <w:tcW w:type="dxa" w:w="39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keepNext/>
              <w:jc w:val="center"/>
            </w:pPr>
            <w:r>
              <w:rPr>
                <w:b w:val="false"/>
                <w:bCs w:val="false"/>
                <w:color w:val="000000"/>
                <w:sz w:val="20"/>
                <w:szCs w:val="20"/>
              </w:rPr>
              <w:t xml:space="preserve">SARIMA</w:t>
            </w:r>
          </w:p>
        </w:tc>
        <w:tc>
          <w:tcPr>
            <w:tcW w:type="dxa" w:w="454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keepNext/>
              <w:jc w:val="center"/>
            </w:pPr>
            <w:r>
              <w:rPr>
                <w:b w:val="false"/>
                <w:bCs w:val="false"/>
                <w:color w:val="000000"/>
                <w:sz w:val="20"/>
                <w:szCs w:val="20"/>
              </w:rPr>
              <w:t xml:space="preserve">ARIMA with a yearly seasonal pattern</w:t>
            </w:r>
          </w:p>
        </w:tc>
      </w:tr>
      <w:tr>
        <w:trPr>
          <w:cantSplit/>
        </w:trPr>
        <w:tc>
          <w:tcPr>
            <w:tcW w:type="dxa" w:w="1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val="false"/>
              <w:jc w:val="left"/>
            </w:pPr>
            <w:r>
              <w:rPr>
                <w:b w:val="false"/>
                <w:bCs w:val="false"/>
                <w:color w:val="000000"/>
                <w:sz w:val="20"/>
                <w:szCs w:val="20"/>
              </w:rPr>
              <w:t xml:space="preserve">Task 6</w:t>
            </w:r>
          </w:p>
        </w:tc>
        <w:tc>
          <w:tcPr>
            <w:tcW w:type="dxa" w:w="3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val="false"/>
              <w:jc w:val="center"/>
            </w:pPr>
            <w:r>
              <w:rPr>
                <w:b w:val="false"/>
                <w:bCs w:val="false"/>
                <w:color w:val="000000"/>
                <w:sz w:val="20"/>
                <w:szCs w:val="20"/>
              </w:rPr>
              <w:t xml:space="preserve">Holt-Winters</w:t>
            </w:r>
          </w:p>
        </w:tc>
        <w:tc>
          <w:tcPr>
            <w:tcW w:type="dxa" w:w="454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val="false"/>
              <w:jc w:val="center"/>
            </w:pPr>
            <w:r>
              <w:rPr>
                <w:b w:val="false"/>
                <w:bCs w:val="false"/>
                <w:color w:val="000000"/>
                <w:sz w:val="20"/>
                <w:szCs w:val="20"/>
              </w:rPr>
              <w:t xml:space="preserve">Exponential smoothing with trend and season</w:t>
            </w:r>
          </w:p>
        </w:tc>
      </w:tr>
    </w:tbl>
    <w:p>
      <w:pPr>
        <w:pStyle w:val="Heading1"/>
        <w:pageBreakBefore/>
      </w:pPr>
      <w:r>
        <w:t xml:space="preserve">2. Getting Ready: Libraries, Loading and Checking the Data</w:t>
      </w:r>
    </w:p>
    <w:p>
      <w:pPr>
        <w:pStyle w:val="Heading2"/>
      </w:pPr>
      <w:r>
        <w:t xml:space="preserve">Step 1: Import the libraries (Cell 1)</w:t>
      </w:r>
    </w:p>
    <w:p>
      <w:pPr>
        <w:spacing w:after="120" w:line="300"/>
      </w:pPr>
      <w:r>
        <w:t xml:space="preserve">Before doing any analysis, Python needs its tools. A library is a ready-made toolbox that saves us from writing everything from scratch. The notebook loads the following: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000"/>
        <w:gridCol w:w="6746"/>
      </w:tblGrid>
      <w:tr>
        <w:trPr>
          <w:cantSplit/>
          <w:tblHeader/>
        </w:trPr>
        <w:tc>
          <w:tcPr>
            <w:tcW w:type="dxa" w:w="30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keepNext/>
              <w:jc w:val="left"/>
            </w:pPr>
            <w:r>
              <w:rPr>
                <w:b/>
                <w:bCs/>
                <w:color w:val="FFFFFF"/>
                <w:sz w:val="20"/>
                <w:szCs w:val="20"/>
              </w:rPr>
              <w:t xml:space="preserve">Library</w:t>
            </w:r>
          </w:p>
        </w:tc>
        <w:tc>
          <w:tcPr>
            <w:tcW w:type="dxa" w:w="674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keepNext/>
              <w:jc w:val="center"/>
            </w:pPr>
            <w:r>
              <w:rPr>
                <w:b/>
                <w:bCs/>
                <w:color w:val="FFFFFF"/>
                <w:sz w:val="20"/>
                <w:szCs w:val="20"/>
              </w:rPr>
              <w:t xml:space="preserve">What we use it for</w:t>
            </w:r>
          </w:p>
        </w:tc>
      </w:tr>
      <w:tr>
        <w:trPr>
          <w:cantSplit/>
        </w:trPr>
        <w:tc>
          <w:tcPr>
            <w:tcW w:type="dxa" w:w="30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keepNext/>
              <w:jc w:val="left"/>
            </w:pPr>
            <w:r>
              <w:rPr>
                <w:b w:val="false"/>
                <w:bCs w:val="false"/>
                <w:color w:val="000000"/>
                <w:sz w:val="20"/>
                <w:szCs w:val="20"/>
              </w:rPr>
              <w:t xml:space="preserve">pandas</w:t>
            </w:r>
          </w:p>
        </w:tc>
        <w:tc>
          <w:tcPr>
            <w:tcW w:type="dxa" w:w="674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keepNext/>
              <w:jc w:val="center"/>
            </w:pPr>
            <w:r>
              <w:rPr>
                <w:b w:val="false"/>
                <w:bCs w:val="false"/>
                <w:color w:val="000000"/>
                <w:sz w:val="20"/>
                <w:szCs w:val="20"/>
              </w:rPr>
              <w:t xml:space="preserve">Holding the data in a table and working with dates</w:t>
            </w:r>
          </w:p>
        </w:tc>
      </w:tr>
      <w:tr>
        <w:trPr>
          <w:cantSplit/>
        </w:trPr>
        <w:tc>
          <w:tcPr>
            <w:tcW w:type="dxa" w:w="3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jc w:val="left"/>
            </w:pPr>
            <w:r>
              <w:rPr>
                <w:b w:val="false"/>
                <w:bCs w:val="false"/>
                <w:color w:val="000000"/>
                <w:sz w:val="20"/>
                <w:szCs w:val="20"/>
              </w:rPr>
              <w:t xml:space="preserve">numpy</w:t>
            </w:r>
          </w:p>
        </w:tc>
        <w:tc>
          <w:tcPr>
            <w:tcW w:type="dxa" w:w="674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jc w:val="center"/>
            </w:pPr>
            <w:r>
              <w:rPr>
                <w:b w:val="false"/>
                <w:bCs w:val="false"/>
                <w:color w:val="000000"/>
                <w:sz w:val="20"/>
                <w:szCs w:val="20"/>
              </w:rPr>
              <w:t xml:space="preserve">Mathematical calculations</w:t>
            </w:r>
          </w:p>
        </w:tc>
      </w:tr>
      <w:tr>
        <w:trPr>
          <w:cantSplit/>
        </w:trPr>
        <w:tc>
          <w:tcPr>
            <w:tcW w:type="dxa" w:w="30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keepNext/>
              <w:jc w:val="left"/>
            </w:pPr>
            <w:r>
              <w:rPr>
                <w:b w:val="false"/>
                <w:bCs w:val="false"/>
                <w:color w:val="000000"/>
                <w:sz w:val="20"/>
                <w:szCs w:val="20"/>
              </w:rPr>
              <w:t xml:space="preserve">matplotlib and seaborn</w:t>
            </w:r>
          </w:p>
        </w:tc>
        <w:tc>
          <w:tcPr>
            <w:tcW w:type="dxa" w:w="674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keepNext/>
              <w:jc w:val="center"/>
            </w:pPr>
            <w:r>
              <w:rPr>
                <w:b w:val="false"/>
                <w:bCs w:val="false"/>
                <w:color w:val="000000"/>
                <w:sz w:val="20"/>
                <w:szCs w:val="20"/>
              </w:rPr>
              <w:t xml:space="preserve">Drawing graphs and charts</w:t>
            </w:r>
          </w:p>
        </w:tc>
      </w:tr>
      <w:tr>
        <w:trPr>
          <w:cantSplit/>
        </w:trPr>
        <w:tc>
          <w:tcPr>
            <w:tcW w:type="dxa" w:w="3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jc w:val="left"/>
            </w:pPr>
            <w:r>
              <w:rPr>
                <w:b w:val="false"/>
                <w:bCs w:val="false"/>
                <w:color w:val="000000"/>
                <w:sz w:val="20"/>
                <w:szCs w:val="20"/>
              </w:rPr>
              <w:t xml:space="preserve">scikit-learn (sklearn)</w:t>
            </w:r>
          </w:p>
        </w:tc>
        <w:tc>
          <w:tcPr>
            <w:tcW w:type="dxa" w:w="674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jc w:val="center"/>
            </w:pPr>
            <w:r>
              <w:rPr>
                <w:b w:val="false"/>
                <w:bCs w:val="false"/>
                <w:color w:val="000000"/>
                <w:sz w:val="20"/>
                <w:szCs w:val="20"/>
              </w:rPr>
              <w:t xml:space="preserve">Calculating error measures such as MAE and RMSE</w:t>
            </w:r>
          </w:p>
        </w:tc>
      </w:tr>
      <w:tr>
        <w:trPr>
          <w:cantSplit/>
        </w:trPr>
        <w:tc>
          <w:tcPr>
            <w:tcW w:type="dxa" w:w="30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keepNext/>
              <w:jc w:val="left"/>
            </w:pPr>
            <w:r>
              <w:rPr>
                <w:b w:val="false"/>
                <w:bCs w:val="false"/>
                <w:color w:val="000000"/>
                <w:sz w:val="20"/>
                <w:szCs w:val="20"/>
              </w:rPr>
              <w:t xml:space="preserve">statsmodels</w:t>
            </w:r>
          </w:p>
        </w:tc>
        <w:tc>
          <w:tcPr>
            <w:tcW w:type="dxa" w:w="674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keepNext/>
              <w:jc w:val="center"/>
            </w:pPr>
            <w:r>
              <w:rPr>
                <w:b w:val="false"/>
                <w:bCs w:val="false"/>
                <w:color w:val="000000"/>
                <w:sz w:val="20"/>
                <w:szCs w:val="20"/>
              </w:rPr>
              <w:t xml:space="preserve">All the forecasting models (SES, Holt, AR, ARIMA, SARIMA, Holt-Winters) and tests</w:t>
            </w:r>
          </w:p>
        </w:tc>
      </w:tr>
      <w:tr>
        <w:trPr>
          <w:cantSplit/>
        </w:trPr>
        <w:tc>
          <w:tcPr>
            <w:tcW w:type="dxa" w:w="3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val="false"/>
              <w:jc w:val="left"/>
            </w:pPr>
            <w:r>
              <w:rPr>
                <w:b w:val="false"/>
                <w:bCs w:val="false"/>
                <w:color w:val="000000"/>
                <w:sz w:val="20"/>
                <w:szCs w:val="20"/>
              </w:rPr>
              <w:t xml:space="preserve">warnings</w:t>
            </w:r>
          </w:p>
        </w:tc>
        <w:tc>
          <w:tcPr>
            <w:tcW w:type="dxa" w:w="674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val="false"/>
              <w:jc w:val="center"/>
            </w:pPr>
            <w:r>
              <w:rPr>
                <w:b w:val="false"/>
                <w:bCs w:val="false"/>
                <w:color w:val="000000"/>
                <w:sz w:val="20"/>
                <w:szCs w:val="20"/>
              </w:rPr>
              <w:t xml:space="preserve">Hiding unnecessary warning messages so the notebook looks clean</w:t>
            </w:r>
          </w:p>
        </w:tc>
      </w:tr>
    </w:tbl>
    <w:p>
      <w:pPr>
        <w:spacing w:after="80"/>
      </w:pPr>
    </w:p>
    <w:p>
      <w:pPr>
        <w:pStyle w:val="Heading2"/>
      </w:pPr>
      <w:r>
        <w:t xml:space="preserve">Step 2: Load the dataset (Cell 2)</w:t>
      </w:r>
    </w:p>
    <w:p>
      <w:pPr>
        <w:spacing w:after="120" w:line="300"/>
      </w:pPr>
      <w:r>
        <w:t xml:space="preserve">The notebook reads the file </w:t>
      </w:r>
      <w:r>
        <w:rPr>
          <w:b/>
          <w:bCs/>
        </w:rPr>
        <w:t xml:space="preserve">FreshMart_Monthly_Sales.csv</w:t>
      </w:r>
      <w:r>
        <w:t xml:space="preserve">. It then does four small but important things:</w:t>
      </w:r>
    </w:p>
    <w:p>
      <w:pPr>
        <w:pStyle w:val="ListParagraph"/>
        <w:numPr>
          <w:ilvl w:val="0"/>
          <w:numId w:val="3"/>
        </w:numPr>
        <w:spacing w:after="60" w:line="290"/>
      </w:pPr>
      <w:r>
        <w:t xml:space="preserve">Converts the Month column (text such as "Jan-20") into a real date, so Python understands it as time.</w:t>
      </w:r>
    </w:p>
    <w:p>
      <w:pPr>
        <w:pStyle w:val="ListParagraph"/>
        <w:numPr>
          <w:ilvl w:val="0"/>
          <w:numId w:val="3"/>
        </w:numPr>
        <w:spacing w:after="60" w:line="290"/>
      </w:pPr>
      <w:r>
        <w:t xml:space="preserve">Sorts the rows from oldest to newest month.</w:t>
      </w:r>
    </w:p>
    <w:p>
      <w:pPr>
        <w:pStyle w:val="ListParagraph"/>
        <w:numPr>
          <w:ilvl w:val="0"/>
          <w:numId w:val="3"/>
        </w:numPr>
        <w:spacing w:after="60" w:line="290"/>
      </w:pPr>
      <w:r>
        <w:t xml:space="preserve">Makes Month the index (the row label) of the table, which is the standard way to store a time series.</w:t>
      </w:r>
    </w:p>
    <w:p>
      <w:pPr>
        <w:pStyle w:val="ListParagraph"/>
        <w:numPr>
          <w:ilvl w:val="0"/>
          <w:numId w:val="3"/>
        </w:numPr>
        <w:spacing w:after="60" w:line="290"/>
      </w:pPr>
      <w:r>
        <w:t xml:space="preserve">Prints the first 10 rows and the shape of the data.</w:t>
      </w:r>
    </w:p>
    <w:p>
      <w:pPr>
        <w:spacing w:after="120" w:line="300"/>
      </w:pPr>
      <w:r>
        <w:rPr>
          <w:b/>
          <w:bCs/>
        </w:rPr>
        <w:t xml:space="preserve">Result:</w:t>
      </w:r>
      <w:r>
        <w:t xml:space="preserve"> The data has </w:t>
      </w:r>
      <w:r>
        <w:rPr>
          <w:b/>
          <w:bCs/>
        </w:rPr>
        <w:t xml:space="preserve">60 rows and 1 column</w:t>
      </w:r>
      <w:r>
        <w:t xml:space="preserve"> (Sales). That means 60 months, from January 2020 to December 2024. The first values are: Jan-2020 = 54.99, Feb-2020 = 52.98, Mar-2020 = 54.14 and so on (in INR lakhs).</w:t>
      </w:r>
    </w:p>
    <w:p>
      <w:pPr>
        <w:pStyle w:val="Heading2"/>
      </w:pPr>
      <w:r>
        <w:t xml:space="preserve">Step 3: Check the quality of the data (Cell 3)</w:t>
      </w:r>
    </w:p>
    <w:p>
      <w:pPr>
        <w:spacing w:after="120" w:line="300"/>
      </w:pPr>
      <w:r>
        <w:t xml:space="preserve">Before building a model, we always make sure the data is clean. The notebook checks for missing values, data types and basic statistics.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946"/>
      </w:tblGrid>
      <w:tr>
        <w:trPr>
          <w:cantSplit/>
          <w:tblHeader/>
        </w:trPr>
        <w:tc>
          <w:tcPr>
            <w:tcW w:type="dxa" w:w="26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keepNext/>
              <w:jc w:val="left"/>
            </w:pPr>
            <w:r>
              <w:rPr>
                <w:b/>
                <w:bCs/>
                <w:color w:val="FFFFFF"/>
                <w:sz w:val="20"/>
                <w:szCs w:val="20"/>
              </w:rPr>
              <w:t xml:space="preserve">Check</w:t>
            </w:r>
          </w:p>
        </w:tc>
        <w:tc>
          <w:tcPr>
            <w:tcW w:type="dxa" w:w="22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keepNext/>
              <w:jc w:val="center"/>
            </w:pPr>
            <w:r>
              <w:rPr>
                <w:b/>
                <w:bCs/>
                <w:color w:val="FFFFFF"/>
                <w:sz w:val="20"/>
                <w:szCs w:val="20"/>
              </w:rPr>
              <w:t xml:space="preserve">Result</w:t>
            </w:r>
          </w:p>
        </w:tc>
        <w:tc>
          <w:tcPr>
            <w:tcW w:type="dxa" w:w="494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keepNext/>
              <w:jc w:val="center"/>
            </w:pPr>
            <w:r>
              <w:rPr>
                <w:b/>
                <w:bCs/>
                <w:color w:val="FFFFFF"/>
                <w:sz w:val="20"/>
                <w:szCs w:val="20"/>
              </w:rPr>
              <w:t xml:space="preserve">Meaning</w:t>
            </w:r>
          </w:p>
        </w:tc>
      </w:tr>
      <w:tr>
        <w:trPr>
          <w:cantSplit/>
        </w:trPr>
        <w:tc>
          <w:tcPr>
            <w:tcW w:type="dxa" w:w="26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keepNext/>
              <w:jc w:val="left"/>
            </w:pPr>
            <w:r>
              <w:rPr>
                <w:b w:val="false"/>
                <w:bCs w:val="false"/>
                <w:color w:val="000000"/>
                <w:sz w:val="20"/>
                <w:szCs w:val="20"/>
              </w:rPr>
              <w:t xml:space="preserve">Missing values</w:t>
            </w:r>
          </w:p>
        </w:tc>
        <w:tc>
          <w:tcPr>
            <w:tcW w:type="dxa" w:w="22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keepNext/>
              <w:jc w:val="center"/>
            </w:pPr>
            <w:r>
              <w:rPr>
                <w:b w:val="false"/>
                <w:bCs w:val="false"/>
                <w:color w:val="000000"/>
                <w:sz w:val="20"/>
                <w:szCs w:val="20"/>
              </w:rPr>
              <w:t xml:space="preserve">0</w:t>
            </w:r>
          </w:p>
        </w:tc>
        <w:tc>
          <w:tcPr>
            <w:tcW w:type="dxa" w:w="494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keepNext/>
              <w:jc w:val="center"/>
            </w:pPr>
            <w:r>
              <w:rPr>
                <w:b w:val="false"/>
                <w:bCs w:val="false"/>
                <w:color w:val="000000"/>
                <w:sz w:val="20"/>
                <w:szCs w:val="20"/>
              </w:rPr>
              <w:t xml:space="preserve">No blanks, so no cleaning is needed</w:t>
            </w:r>
          </w:p>
        </w:tc>
      </w:tr>
      <w:tr>
        <w:trPr>
          <w:cantSplit/>
        </w:trP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jc w:val="left"/>
            </w:pPr>
            <w:r>
              <w:rPr>
                <w:b w:val="false"/>
                <w:bCs w:val="false"/>
                <w:color w:val="000000"/>
                <w:sz w:val="20"/>
                <w:szCs w:val="20"/>
              </w:rPr>
              <w:t xml:space="preserve">Data type of Sales</w:t>
            </w:r>
          </w:p>
        </w:tc>
        <w:tc>
          <w:tcPr>
            <w:tcW w:type="dxa" w:w="2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jc w:val="center"/>
            </w:pPr>
            <w:r>
              <w:rPr>
                <w:b w:val="false"/>
                <w:bCs w:val="false"/>
                <w:color w:val="000000"/>
                <w:sz w:val="20"/>
                <w:szCs w:val="20"/>
              </w:rPr>
              <w:t xml:space="preserve">float64</w:t>
            </w:r>
          </w:p>
        </w:tc>
        <w:tc>
          <w:tcPr>
            <w:tcW w:type="dxa" w:w="494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jc w:val="center"/>
            </w:pPr>
            <w:r>
              <w:rPr>
                <w:b w:val="false"/>
                <w:bCs w:val="false"/>
                <w:color w:val="000000"/>
                <w:sz w:val="20"/>
                <w:szCs w:val="20"/>
              </w:rPr>
              <w:t xml:space="preserve">Sales are decimal numbers, which is correct</w:t>
            </w:r>
          </w:p>
        </w:tc>
      </w:tr>
      <w:tr>
        <w:trPr>
          <w:cantSplit/>
        </w:trPr>
        <w:tc>
          <w:tcPr>
            <w:tcW w:type="dxa" w:w="26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keepNext/>
              <w:jc w:val="left"/>
            </w:pPr>
            <w:r>
              <w:rPr>
                <w:b w:val="false"/>
                <w:bCs w:val="false"/>
                <w:color w:val="000000"/>
                <w:sz w:val="20"/>
                <w:szCs w:val="20"/>
              </w:rPr>
              <w:t xml:space="preserve">Number of months</w:t>
            </w:r>
          </w:p>
        </w:tc>
        <w:tc>
          <w:tcPr>
            <w:tcW w:type="dxa" w:w="22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keepNext/>
              <w:jc w:val="center"/>
            </w:pPr>
            <w:r>
              <w:rPr>
                <w:b w:val="false"/>
                <w:bCs w:val="false"/>
                <w:color w:val="000000"/>
                <w:sz w:val="20"/>
                <w:szCs w:val="20"/>
              </w:rPr>
              <w:t xml:space="preserve">60</w:t>
            </w:r>
          </w:p>
        </w:tc>
        <w:tc>
          <w:tcPr>
            <w:tcW w:type="dxa" w:w="494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keepNext/>
              <w:jc w:val="center"/>
            </w:pPr>
            <w:r>
              <w:rPr>
                <w:b w:val="false"/>
                <w:bCs w:val="false"/>
                <w:color w:val="000000"/>
                <w:sz w:val="20"/>
                <w:szCs w:val="20"/>
              </w:rPr>
              <w:t xml:space="preserve">5 full years</w:t>
            </w:r>
          </w:p>
        </w:tc>
      </w:tr>
      <w:tr>
        <w:trPr>
          <w:cantSplit/>
        </w:trP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jc w:val="left"/>
            </w:pPr>
            <w:r>
              <w:rPr>
                <w:b w:val="false"/>
                <w:bCs w:val="false"/>
                <w:color w:val="000000"/>
                <w:sz w:val="20"/>
                <w:szCs w:val="20"/>
              </w:rPr>
              <w:t xml:space="preserve">Average sales</w:t>
            </w:r>
          </w:p>
        </w:tc>
        <w:tc>
          <w:tcPr>
            <w:tcW w:type="dxa" w:w="2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jc w:val="center"/>
            </w:pPr>
            <w:r>
              <w:rPr>
                <w:b w:val="false"/>
                <w:bCs w:val="false"/>
                <w:color w:val="000000"/>
                <w:sz w:val="20"/>
                <w:szCs w:val="20"/>
              </w:rPr>
              <w:t xml:space="preserve">62.19</w:t>
            </w:r>
          </w:p>
        </w:tc>
        <w:tc>
          <w:tcPr>
            <w:tcW w:type="dxa" w:w="494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jc w:val="center"/>
            </w:pPr>
            <w:r>
              <w:rPr>
                <w:b w:val="false"/>
                <w:bCs w:val="false"/>
                <w:color w:val="000000"/>
                <w:sz w:val="20"/>
                <w:szCs w:val="20"/>
              </w:rPr>
              <w:t xml:space="preserve">A typical month is about 62 lakhs</w:t>
            </w:r>
          </w:p>
        </w:tc>
      </w:tr>
      <w:tr>
        <w:trPr>
          <w:cantSplit/>
        </w:trPr>
        <w:tc>
          <w:tcPr>
            <w:tcW w:type="dxa" w:w="26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keepNext/>
              <w:jc w:val="left"/>
            </w:pPr>
            <w:r>
              <w:rPr>
                <w:b w:val="false"/>
                <w:bCs w:val="false"/>
                <w:color w:val="000000"/>
                <w:sz w:val="20"/>
                <w:szCs w:val="20"/>
              </w:rPr>
              <w:t xml:space="preserve">Minimum / Maximum</w:t>
            </w:r>
          </w:p>
        </w:tc>
        <w:tc>
          <w:tcPr>
            <w:tcW w:type="dxa" w:w="22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keepNext/>
              <w:jc w:val="center"/>
            </w:pPr>
            <w:r>
              <w:rPr>
                <w:b w:val="false"/>
                <w:bCs w:val="false"/>
                <w:color w:val="000000"/>
                <w:sz w:val="20"/>
                <w:szCs w:val="20"/>
              </w:rPr>
              <w:t xml:space="preserve">44.45 / 79.95</w:t>
            </w:r>
          </w:p>
        </w:tc>
        <w:tc>
          <w:tcPr>
            <w:tcW w:type="dxa" w:w="494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keepNext/>
              <w:jc w:val="center"/>
            </w:pPr>
            <w:r>
              <w:rPr>
                <w:b w:val="false"/>
                <w:bCs w:val="false"/>
                <w:color w:val="000000"/>
                <w:sz w:val="20"/>
                <w:szCs w:val="20"/>
              </w:rPr>
              <w:t xml:space="preserve">Lowest and highest month</w:t>
            </w:r>
          </w:p>
        </w:tc>
      </w:tr>
      <w:tr>
        <w:trPr>
          <w:cantSplit/>
        </w:trP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val="false"/>
              <w:jc w:val="left"/>
            </w:pPr>
            <w:r>
              <w:rPr>
                <w:b w:val="false"/>
                <w:bCs w:val="false"/>
                <w:color w:val="000000"/>
                <w:sz w:val="20"/>
                <w:szCs w:val="20"/>
              </w:rPr>
              <w:t xml:space="preserve">Standard deviation</w:t>
            </w:r>
          </w:p>
        </w:tc>
        <w:tc>
          <w:tcPr>
            <w:tcW w:type="dxa" w:w="2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val="false"/>
              <w:jc w:val="center"/>
            </w:pPr>
            <w:r>
              <w:rPr>
                <w:b w:val="false"/>
                <w:bCs w:val="false"/>
                <w:color w:val="000000"/>
                <w:sz w:val="20"/>
                <w:szCs w:val="20"/>
              </w:rPr>
              <w:t xml:space="preserve">8.19</w:t>
            </w:r>
          </w:p>
        </w:tc>
        <w:tc>
          <w:tcPr>
            <w:tcW w:type="dxa" w:w="494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val="false"/>
              <w:jc w:val="center"/>
            </w:pPr>
            <w:r>
              <w:rPr>
                <w:b w:val="false"/>
                <w:bCs w:val="false"/>
                <w:color w:val="000000"/>
                <w:sz w:val="20"/>
                <w:szCs w:val="20"/>
              </w:rPr>
              <w:t xml:space="preserve">Sales move about 8 lakhs around the average</w:t>
            </w:r>
          </w:p>
        </w:tc>
      </w:tr>
    </w:tbl>
    <w:p>
      <w:pPr>
        <w:spacing w:after="80"/>
      </w:pPr>
    </w:p>
    <w:p>
      <w:pPr>
        <w:pStyle w:val="Heading2"/>
      </w:pPr>
      <w:r>
        <w:t xml:space="preserve">Step 4: Plot the sales (Cell 4)</w:t>
      </w:r>
    </w:p>
    <w:p>
      <w:pPr>
        <w:spacing w:after="120" w:line="300"/>
      </w:pPr>
      <w:r>
        <w:t xml:space="preserve">The first graph is always the simple line chart of the raw data. It lets us see the story with our own eyes before using any formula.</w:t>
      </w:r>
    </w:p>
    <w:p>
      <w:pPr>
        <w:keepNext/>
        <w:spacing w:after="60" w:before="120"/>
        <w:jc w:val="center"/>
      </w:pPr>
      <w:r>
        <w:drawing>
          <wp:inline distT="0" distB="0" distL="0" distR="0">
            <wp:extent cx="5715000" cy="2705100"/>
            <wp:effectExtent t="0" r="0" b="0" l="0"/>
            <wp:docPr id="1" name="Figure 1: FreshMart monthly sales, 2020 to 2024" descr="Figure 1: FreshMart monthly sales, 2020 to 2024" title="Figure 1: FreshMart monthly sales, 2020 to 2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705100"/>
                    </a:xfrm>
                    <a:prstGeom prst="rect">
                      <a:avLst/>
                    </a:prstGeom>
                  </pic:spPr>
                </pic:pic>
              </a:graphicData>
            </a:graphic>
          </wp:inline>
        </w:drawing>
      </w:r>
    </w:p>
    <w:p>
      <w:pPr>
        <w:spacing w:after="200"/>
        <w:jc w:val="center"/>
      </w:pPr>
      <w:r>
        <w:rPr>
          <w:i/>
          <w:iCs/>
          <w:color w:val="595959"/>
          <w:sz w:val="19"/>
          <w:szCs w:val="19"/>
        </w:rPr>
        <w:t xml:space="preserve">Figure 1: FreshMart monthly sales, 2020 to 2024</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single" w:color="BFBFBF" w:sz="4"/>
              <w:left w:val="single" w:color="1F4E79" w:sz="24"/>
              <w:bottom w:val="single" w:color="BFBFBF" w:sz="4"/>
              <w:right w:val="single" w:color="BFBFBF" w:sz="4"/>
            </w:tcBorders>
            <w:shd w:fill="DEEAF6" w:color="auto" w:val="clear"/>
            <w:tcMar>
              <w:top w:type="dxa" w:w="100"/>
              <w:left w:type="dxa" w:w="180"/>
              <w:bottom w:type="dxa" w:w="100"/>
              <w:right w:type="dxa" w:w="180"/>
            </w:tcMar>
          </w:tcPr>
          <w:p>
            <w:pPr>
              <w:spacing w:after="60"/>
            </w:pPr>
            <w:r>
              <w:rPr>
                <w:b/>
                <w:bCs/>
                <w:color w:val="1F4E79"/>
              </w:rPr>
              <w:t xml:space="preserve">What we learn from Figure 1</w:t>
            </w:r>
          </w:p>
          <w:p>
            <w:pPr>
              <w:spacing w:after="60" w:line="290"/>
            </w:pPr>
            <w:r>
              <w:rPr>
                <w:b/>
                <w:bCs/>
              </w:rPr>
              <w:t xml:space="preserve">1. Upward trend:</w:t>
            </w:r>
            <w:r>
              <w:t xml:space="preserve"> Sales grow over the 5 years, from about 55 lakhs in early 2020 to about 80 lakhs at the end of 2024.</w:t>
            </w:r>
          </w:p>
          <w:p>
            <w:pPr>
              <w:spacing w:after="60" w:line="290"/>
            </w:pPr>
            <w:r>
              <w:rPr>
                <w:b/>
                <w:bCs/>
              </w:rPr>
              <w:t xml:space="preserve">2. Repeating pattern:</w:t>
            </w:r>
            <w:r>
              <w:t xml:space="preserve"> Each year the line goes up and down in a similar shape, which suggests seasonality.</w:t>
            </w:r>
          </w:p>
          <w:p>
            <w:pPr>
              <w:spacing w:after="60" w:line="290"/>
            </w:pPr>
            <w:r>
              <w:rPr>
                <w:b/>
                <w:bCs/>
              </w:rPr>
              <w:t xml:space="preserve">3. Random noise:</w:t>
            </w:r>
            <w:r>
              <w:t xml:space="preserve"> The line is not smooth; small jumps happen every month.</w:t>
            </w:r>
          </w:p>
        </w:tc>
      </w:tr>
    </w:tbl>
    <w:p>
      <w:pPr>
        <w:pStyle w:val="Heading1"/>
        <w:pageBreakBefore/>
      </w:pPr>
      <w:r>
        <w:t xml:space="preserve">3. Task 1: Moving Average (MA)</w:t>
      </w:r>
    </w:p>
    <w:p>
      <w:pPr>
        <w:pStyle w:val="Heading2"/>
      </w:pPr>
      <w:r>
        <w:t xml:space="preserve">The idea in simple words</w:t>
      </w:r>
    </w:p>
    <w:p>
      <w:pPr>
        <w:spacing w:after="120" w:line="300"/>
      </w:pPr>
      <w:r>
        <w:t xml:space="preserve">A moving average takes the average of the last few months and slides forward one month at a time. Imagine you look at your marks for the last 3 exams and take their average. Next time you drop the oldest exam and add the newest. This smooths out sudden jumps, so you can see the real direction.</w:t>
      </w:r>
    </w:p>
    <w:p>
      <w:pPr>
        <w:pStyle w:val="Heading2"/>
      </w:pPr>
      <w:r>
        <w:t xml:space="preserve">Step 5: Calculate 3, 6 and 12-month moving averages (Cell 5)</w:t>
      </w:r>
    </w:p>
    <w:p>
      <w:pPr>
        <w:spacing w:after="120" w:line="300"/>
      </w:pPr>
      <w:r>
        <w:t xml:space="preserve">The notebook makes a copy of the data and adds three new columns: </w:t>
      </w:r>
      <w:r>
        <w:rPr>
          <w:b/>
          <w:bCs/>
        </w:rPr>
        <w:t xml:space="preserve">MA_3, MA_6 and MA_12</w:t>
      </w:r>
      <w:r>
        <w:t xml:space="preserve">. For example, the MA_3 of March 2020 is the average of Jan, Feb and Mar 2020 = (54.99 + 52.98 + 54.14) / 3 = 54.04.</w:t>
      </w:r>
    </w:p>
    <w:p>
      <w:pPr>
        <w:spacing w:after="120" w:line="300"/>
      </w:pPr>
      <w:r>
        <w:t xml:space="preserve">The first few rows show NaN (empty) because there are not enough earlier months. MA_3 starts from the 3rd month, MA_6 from the 6th month and MA_12 from the 12th month.</w:t>
      </w:r>
    </w:p>
    <w:p>
      <w:pPr>
        <w:pStyle w:val="Heading2"/>
      </w:pPr>
      <w:r>
        <w:t xml:space="preserve">Step 6: Plot the moving averages against actual sales (Cell 6)</w:t>
      </w:r>
    </w:p>
    <w:p>
      <w:pPr>
        <w:keepNext/>
        <w:spacing w:after="60" w:before="120"/>
        <w:jc w:val="center"/>
      </w:pPr>
      <w:r>
        <w:drawing>
          <wp:inline distT="0" distB="0" distL="0" distR="0">
            <wp:extent cx="5715000" cy="2895600"/>
            <wp:effectExtent t="0" r="0" b="0" l="0"/>
            <wp:docPr id="1" name="Figure 2: Actual sales with 3, 6 and 12-month moving averages" descr="Figure 2: Actual sales with 3, 6 and 12-month moving averages" title="Figure 2: Actual sales with 3, 6 and 12-month moving aver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895600"/>
                    </a:xfrm>
                    <a:prstGeom prst="rect">
                      <a:avLst/>
                    </a:prstGeom>
                  </pic:spPr>
                </pic:pic>
              </a:graphicData>
            </a:graphic>
          </wp:inline>
        </w:drawing>
      </w:r>
    </w:p>
    <w:p>
      <w:pPr>
        <w:spacing w:after="200"/>
        <w:jc w:val="center"/>
      </w:pPr>
      <w:r>
        <w:rPr>
          <w:i/>
          <w:iCs/>
          <w:color w:val="595959"/>
          <w:sz w:val="19"/>
          <w:szCs w:val="19"/>
        </w:rPr>
        <w:t xml:space="preserve">Figure 2: Actual sales with 3, 6 and 12-month moving averages</w:t>
      </w:r>
    </w:p>
    <w:p>
      <w:pPr>
        <w:spacing w:after="120" w:line="300"/>
      </w:pPr>
      <w:r>
        <w:t xml:space="preserve">How to read Figure 2:</w:t>
      </w:r>
    </w:p>
    <w:p>
      <w:pPr>
        <w:pStyle w:val="ListParagraph"/>
        <w:numPr>
          <w:ilvl w:val="0"/>
          <w:numId w:val="2"/>
        </w:numPr>
        <w:spacing w:after="60" w:line="290"/>
      </w:pPr>
      <w:r>
        <w:rPr>
          <w:b/>
          <w:bCs/>
        </w:rPr>
        <w:t xml:space="preserve">Blue line (actual sales):</w:t>
      </w:r>
      <w:r>
        <w:t xml:space="preserve"> very jumpy, it follows every small change.</w:t>
      </w:r>
    </w:p>
    <w:p>
      <w:pPr>
        <w:pStyle w:val="ListParagraph"/>
        <w:numPr>
          <w:ilvl w:val="0"/>
          <w:numId w:val="2"/>
        </w:numPr>
        <w:spacing w:after="60" w:line="290"/>
      </w:pPr>
      <w:r>
        <w:rPr>
          <w:b/>
          <w:bCs/>
        </w:rPr>
        <w:t xml:space="preserve">Orange line (3-month MA):</w:t>
      </w:r>
      <w:r>
        <w:t xml:space="preserve"> a bit smoother, but still moves a lot with the actual data.</w:t>
      </w:r>
    </w:p>
    <w:p>
      <w:pPr>
        <w:pStyle w:val="ListParagraph"/>
        <w:numPr>
          <w:ilvl w:val="0"/>
          <w:numId w:val="2"/>
        </w:numPr>
        <w:spacing w:after="60" w:line="290"/>
      </w:pPr>
      <w:r>
        <w:rPr>
          <w:b/>
          <w:bCs/>
        </w:rPr>
        <w:t xml:space="preserve">Green line (6-month MA):</w:t>
      </w:r>
      <w:r>
        <w:t xml:space="preserve"> smoother and still shows the seasonal ups and downs.</w:t>
      </w:r>
    </w:p>
    <w:p>
      <w:pPr>
        <w:pStyle w:val="ListParagraph"/>
        <w:numPr>
          <w:ilvl w:val="0"/>
          <w:numId w:val="2"/>
        </w:numPr>
        <w:spacing w:after="60" w:line="290"/>
      </w:pPr>
      <w:r>
        <w:rPr>
          <w:b/>
          <w:bCs/>
        </w:rPr>
        <w:t xml:space="preserve">Red line (12-month MA):</w:t>
      </w:r>
      <w:r>
        <w:t xml:space="preserve"> almost a straight, gently rising line. It completely removes the yearly seasonality and shows only the trend.</w:t>
      </w:r>
    </w:p>
    <w:p>
      <w:pPr>
        <w:pStyle w:val="Heading2"/>
      </w:pPr>
      <w:r>
        <w:t xml:space="preserve">Step 7: Measure how smooth each average is (Cell 7)</w:t>
      </w:r>
    </w:p>
    <w:p>
      <w:pPr>
        <w:spacing w:after="120" w:line="300"/>
      </w:pPr>
      <w:r>
        <w:t xml:space="preserve">To back up what we saw in the graph with numbers, the notebook calculates the standard deviation (how much the line moves) of each moving average. A </w:t>
      </w:r>
      <w:r>
        <w:rPr>
          <w:b/>
          <w:bCs/>
        </w:rPr>
        <w:t xml:space="preserve">smaller value means a smoother line</w:t>
      </w:r>
      <w:r>
        <w:t xml:space="preserv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500"/>
        <w:gridCol w:w="3000"/>
        <w:gridCol w:w="3246"/>
      </w:tblGrid>
      <w:tr>
        <w:trPr>
          <w:cantSplit/>
          <w:tblHeader/>
        </w:trPr>
        <w:tc>
          <w:tcPr>
            <w:tcW w:type="dxa" w:w="35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keepNext/>
              <w:jc w:val="left"/>
            </w:pPr>
            <w:r>
              <w:rPr>
                <w:b/>
                <w:bCs/>
                <w:color w:val="FFFFFF"/>
                <w:sz w:val="20"/>
                <w:szCs w:val="20"/>
              </w:rPr>
              <w:t xml:space="preserve">Moving Average</w:t>
            </w:r>
          </w:p>
        </w:tc>
        <w:tc>
          <w:tcPr>
            <w:tcW w:type="dxa" w:w="30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keepNext/>
              <w:jc w:val="center"/>
            </w:pPr>
            <w:r>
              <w:rPr>
                <w:b/>
                <w:bCs/>
                <w:color w:val="FFFFFF"/>
                <w:sz w:val="20"/>
                <w:szCs w:val="20"/>
              </w:rPr>
              <w:t xml:space="preserve">Standard Deviation</w:t>
            </w:r>
          </w:p>
        </w:tc>
        <w:tc>
          <w:tcPr>
            <w:tcW w:type="dxa" w:w="324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keepNext/>
              <w:jc w:val="center"/>
            </w:pPr>
            <w:r>
              <w:rPr>
                <w:b/>
                <w:bCs/>
                <w:color w:val="FFFFFF"/>
                <w:sz w:val="20"/>
                <w:szCs w:val="20"/>
              </w:rPr>
              <w:t xml:space="preserve">Smoothness</w:t>
            </w:r>
          </w:p>
        </w:tc>
      </w:tr>
      <w:tr>
        <w:trPr>
          <w:cantSplit/>
        </w:trPr>
        <w:tc>
          <w:tcPr>
            <w:tcW w:type="dxa" w:w="35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keepNext/>
              <w:jc w:val="left"/>
            </w:pPr>
            <w:r>
              <w:rPr>
                <w:b w:val="false"/>
                <w:bCs w:val="false"/>
                <w:color w:val="000000"/>
                <w:sz w:val="20"/>
                <w:szCs w:val="20"/>
              </w:rPr>
              <w:t xml:space="preserve">3-Month MA</w:t>
            </w:r>
          </w:p>
        </w:tc>
        <w:tc>
          <w:tcPr>
            <w:tcW w:type="dxa" w:w="30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keepNext/>
              <w:jc w:val="center"/>
            </w:pPr>
            <w:r>
              <w:rPr>
                <w:b w:val="false"/>
                <w:bCs w:val="false"/>
                <w:color w:val="000000"/>
                <w:sz w:val="20"/>
                <w:szCs w:val="20"/>
              </w:rPr>
              <w:t xml:space="preserve">7.51</w:t>
            </w:r>
          </w:p>
        </w:tc>
        <w:tc>
          <w:tcPr>
            <w:tcW w:type="dxa" w:w="324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keepNext/>
              <w:jc w:val="center"/>
            </w:pPr>
            <w:r>
              <w:rPr>
                <w:b w:val="false"/>
                <w:bCs w:val="false"/>
                <w:color w:val="000000"/>
                <w:sz w:val="20"/>
                <w:szCs w:val="20"/>
              </w:rPr>
              <w:t xml:space="preserve">Least smooth</w:t>
            </w:r>
          </w:p>
        </w:tc>
      </w:tr>
      <w:tr>
        <w:trPr>
          <w:cantSplit/>
        </w:trPr>
        <w:tc>
          <w:tcPr>
            <w:tcW w:type="dxa" w:w="3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jc w:val="left"/>
            </w:pPr>
            <w:r>
              <w:rPr>
                <w:b w:val="false"/>
                <w:bCs w:val="false"/>
                <w:color w:val="000000"/>
                <w:sz w:val="20"/>
                <w:szCs w:val="20"/>
              </w:rPr>
              <w:t xml:space="preserve">6-Month MA</w:t>
            </w:r>
          </w:p>
        </w:tc>
        <w:tc>
          <w:tcPr>
            <w:tcW w:type="dxa" w:w="3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jc w:val="center"/>
            </w:pPr>
            <w:r>
              <w:rPr>
                <w:b w:val="false"/>
                <w:bCs w:val="false"/>
                <w:color w:val="000000"/>
                <w:sz w:val="20"/>
                <w:szCs w:val="20"/>
              </w:rPr>
              <w:t xml:space="preserve">6.99</w:t>
            </w:r>
          </w:p>
        </w:tc>
        <w:tc>
          <w:tcPr>
            <w:tcW w:type="dxa" w:w="324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jc w:val="center"/>
            </w:pPr>
            <w:r>
              <w:rPr>
                <w:b w:val="false"/>
                <w:bCs w:val="false"/>
                <w:color w:val="000000"/>
                <w:sz w:val="20"/>
                <w:szCs w:val="20"/>
              </w:rPr>
              <w:t xml:space="preserve">Medium</w:t>
            </w:r>
          </w:p>
        </w:tc>
      </w:tr>
      <w:tr>
        <w:trPr>
          <w:cantSplit/>
        </w:trPr>
        <w:tc>
          <w:tcPr>
            <w:tcW w:type="dxa" w:w="35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keepNext w:val="false"/>
              <w:jc w:val="left"/>
            </w:pPr>
            <w:r>
              <w:rPr>
                <w:b w:val="false"/>
                <w:bCs w:val="false"/>
                <w:color w:val="000000"/>
                <w:sz w:val="20"/>
                <w:szCs w:val="20"/>
              </w:rPr>
              <w:t xml:space="preserve">12-Month MA</w:t>
            </w:r>
          </w:p>
        </w:tc>
        <w:tc>
          <w:tcPr>
            <w:tcW w:type="dxa" w:w="30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keepNext w:val="false"/>
              <w:jc w:val="center"/>
            </w:pPr>
            <w:r>
              <w:rPr>
                <w:b w:val="false"/>
                <w:bCs w:val="false"/>
                <w:color w:val="000000"/>
                <w:sz w:val="20"/>
                <w:szCs w:val="20"/>
              </w:rPr>
              <w:t xml:space="preserve">6.12</w:t>
            </w:r>
          </w:p>
        </w:tc>
        <w:tc>
          <w:tcPr>
            <w:tcW w:type="dxa" w:w="324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keepNext w:val="false"/>
              <w:jc w:val="center"/>
            </w:pPr>
            <w:r>
              <w:rPr>
                <w:b w:val="false"/>
                <w:bCs w:val="false"/>
                <w:color w:val="000000"/>
                <w:sz w:val="20"/>
                <w:szCs w:val="20"/>
              </w:rPr>
              <w:t xml:space="preserve">Smoothest</w:t>
            </w:r>
          </w:p>
        </w:tc>
      </w:tr>
    </w:tbl>
    <w:p>
      <w:pPr>
        <w:spacing w:after="80"/>
      </w:pPr>
    </w:p>
    <w:p>
      <w:pPr>
        <w:pStyle w:val="Heading2"/>
      </w:pPr>
      <w:r>
        <w:t xml:space="preserve">Step 8: Save the results to Excel (Cells 8 and 9)</w:t>
      </w:r>
    </w:p>
    <w:p>
      <w:pPr>
        <w:spacing w:after="120" w:line="300"/>
      </w:pPr>
      <w:r>
        <w:t xml:space="preserve">The notebook saves the actual sales and the three moving averages into a separate Excel file called </w:t>
      </w:r>
      <w:r>
        <w:rPr>
          <w:b/>
          <w:bCs/>
        </w:rPr>
        <w:t xml:space="preserve">FreshMart_Task1_Moving_Averages.xlsx</w:t>
      </w:r>
      <w:r>
        <w:t xml:space="preserve">, so it can be submitted or opened in Excel. It also prints the current working folder (os.getcwd) so we know where the file was saved.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single" w:color="BFBFBF" w:sz="4"/>
              <w:left w:val="single" w:color="1F4E79" w:sz="24"/>
              <w:bottom w:val="single" w:color="BFBFBF" w:sz="4"/>
              <w:right w:val="single" w:color="BFBFBF" w:sz="4"/>
            </w:tcBorders>
            <w:shd w:fill="E2EFDA" w:color="auto" w:val="clear"/>
            <w:tcMar>
              <w:top w:type="dxa" w:w="100"/>
              <w:left w:type="dxa" w:w="180"/>
              <w:bottom w:type="dxa" w:w="100"/>
              <w:right w:type="dxa" w:w="180"/>
            </w:tcMar>
          </w:tcPr>
          <w:p>
            <w:pPr>
              <w:spacing w:after="60"/>
            </w:pPr>
            <w:r>
              <w:rPr>
                <w:b/>
                <w:bCs/>
                <w:color w:val="1F4E79"/>
              </w:rPr>
              <w:t xml:space="preserve">Answer to the Task 1 question: Which moving average is best?</w:t>
            </w:r>
          </w:p>
          <w:p>
            <w:pPr>
              <w:spacing w:after="60" w:line="290"/>
            </w:pPr>
            <w:r>
              <w:rPr>
                <w:b/>
                <w:bCs/>
              </w:rPr>
              <w:t xml:space="preserve">The 6-month moving average is the best balance.</w:t>
            </w:r>
            <w:r>
              <w:t xml:space="preserve"> It removes most of the noise but still keeps the seasonal shape.</w:t>
            </w:r>
          </w:p>
          <w:p>
            <w:pPr>
              <w:spacing w:after="60" w:line="290"/>
            </w:pPr>
            <w:r>
              <w:t xml:space="preserve">The 3-month MA is too close to the noisy actual data. The 12-month MA gives the clearest trend, but it over-smooths: it hides the seasonal changes and reacts late to changes (it lags behind).</w:t>
            </w:r>
          </w:p>
          <w:p>
            <w:pPr>
              <w:spacing w:after="60" w:line="290"/>
            </w:pPr>
            <w:r>
              <w:t xml:space="preserve">If we only want to see the long-term growth, the 12-month MA is the clearest choice. If we want a trend that is still useful for planning, the 6-month MA is better.</w:t>
            </w:r>
          </w:p>
        </w:tc>
      </w:tr>
    </w:tbl>
    <w:p>
      <w:pPr>
        <w:pStyle w:val="Heading1"/>
        <w:pageBreakBefore/>
      </w:pPr>
      <w:r>
        <w:t xml:space="preserve">4. Preparing for Forecasting: Train-Test Split and Error Measures</w:t>
      </w:r>
    </w:p>
    <w:p>
      <w:pPr>
        <w:pStyle w:val="Heading2"/>
      </w:pPr>
      <w:r>
        <w:t xml:space="preserve">Step 9: Split the data into training and testing (Cell 10)</w:t>
      </w:r>
    </w:p>
    <w:p>
      <w:pPr>
        <w:spacing w:after="120" w:line="300"/>
      </w:pPr>
      <w:r>
        <w:t xml:space="preserve">To check whether a model is good, we cannot test it on the same data it learned from. It is like a student who sees the exam paper before the exam: a high score would mean nothing. So the data is split in two parts: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2900"/>
        <w:gridCol w:w="3846"/>
      </w:tblGrid>
      <w:tr>
        <w:trPr>
          <w:cantSplit/>
          <w:tblHeader/>
        </w:trPr>
        <w:tc>
          <w:tcPr>
            <w:tcW w:type="dxa" w:w="18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keepNext/>
              <w:jc w:val="left"/>
            </w:pPr>
            <w:r>
              <w:rPr>
                <w:b/>
                <w:bCs/>
                <w:color w:val="FFFFFF"/>
                <w:sz w:val="20"/>
                <w:szCs w:val="20"/>
              </w:rPr>
              <w:t xml:space="preserve">Part</w:t>
            </w:r>
          </w:p>
        </w:tc>
        <w:tc>
          <w:tcPr>
            <w:tcW w:type="dxa" w:w="12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keepNext/>
              <w:jc w:val="center"/>
            </w:pPr>
            <w:r>
              <w:rPr>
                <w:b/>
                <w:bCs/>
                <w:color w:val="FFFFFF"/>
                <w:sz w:val="20"/>
                <w:szCs w:val="20"/>
              </w:rPr>
              <w:t xml:space="preserve">Months</w:t>
            </w:r>
          </w:p>
        </w:tc>
        <w:tc>
          <w:tcPr>
            <w:tcW w:type="dxa" w:w="29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keepNext/>
              <w:jc w:val="center"/>
            </w:pPr>
            <w:r>
              <w:rPr>
                <w:b/>
                <w:bCs/>
                <w:color w:val="FFFFFF"/>
                <w:sz w:val="20"/>
                <w:szCs w:val="20"/>
              </w:rPr>
              <w:t xml:space="preserve">Period</w:t>
            </w:r>
          </w:p>
        </w:tc>
        <w:tc>
          <w:tcPr>
            <w:tcW w:type="dxa" w:w="384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keepNext/>
              <w:jc w:val="center"/>
            </w:pPr>
            <w:r>
              <w:rPr>
                <w:b/>
                <w:bCs/>
                <w:color w:val="FFFFFF"/>
                <w:sz w:val="20"/>
                <w:szCs w:val="20"/>
              </w:rPr>
              <w:t xml:space="preserve">Purpose</w:t>
            </w:r>
          </w:p>
        </w:tc>
      </w:tr>
      <w:tr>
        <w:trPr>
          <w:cantSplit/>
        </w:trPr>
        <w:tc>
          <w:tcPr>
            <w:tcW w:type="dxa" w:w="18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keepNext/>
              <w:jc w:val="left"/>
            </w:pPr>
            <w:r>
              <w:rPr>
                <w:b w:val="false"/>
                <w:bCs w:val="false"/>
                <w:color w:val="000000"/>
                <w:sz w:val="20"/>
                <w:szCs w:val="20"/>
              </w:rPr>
              <w:t xml:space="preserve">Training set</w:t>
            </w:r>
          </w:p>
        </w:tc>
        <w:tc>
          <w:tcPr>
            <w:tcW w:type="dxa" w:w="12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keepNext/>
              <w:jc w:val="center"/>
            </w:pPr>
            <w:r>
              <w:rPr>
                <w:b w:val="false"/>
                <w:bCs w:val="false"/>
                <w:color w:val="000000"/>
                <w:sz w:val="20"/>
                <w:szCs w:val="20"/>
              </w:rPr>
              <w:t xml:space="preserve">48</w:t>
            </w:r>
          </w:p>
        </w:tc>
        <w:tc>
          <w:tcPr>
            <w:tcW w:type="dxa" w:w="29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keepNext/>
              <w:jc w:val="center"/>
            </w:pPr>
            <w:r>
              <w:rPr>
                <w:b w:val="false"/>
                <w:bCs w:val="false"/>
                <w:color w:val="000000"/>
                <w:sz w:val="20"/>
                <w:szCs w:val="20"/>
              </w:rPr>
              <w:t xml:space="preserve">Jan 2020 to Dec 2023</w:t>
            </w:r>
          </w:p>
        </w:tc>
        <w:tc>
          <w:tcPr>
            <w:tcW w:type="dxa" w:w="384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keepNext/>
              <w:jc w:val="center"/>
            </w:pPr>
            <w:r>
              <w:rPr>
                <w:b w:val="false"/>
                <w:bCs w:val="false"/>
                <w:color w:val="000000"/>
                <w:sz w:val="20"/>
                <w:szCs w:val="20"/>
              </w:rPr>
              <w:t xml:space="preserve">The model learns from this</w:t>
            </w:r>
          </w:p>
        </w:tc>
      </w:tr>
      <w:tr>
        <w:trPr>
          <w:cantSplit/>
        </w:trPr>
        <w:tc>
          <w:tcPr>
            <w:tcW w:type="dxa" w:w="1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val="false"/>
              <w:jc w:val="left"/>
            </w:pPr>
            <w:r>
              <w:rPr>
                <w:b w:val="false"/>
                <w:bCs w:val="false"/>
                <w:color w:val="000000"/>
                <w:sz w:val="20"/>
                <w:szCs w:val="20"/>
              </w:rPr>
              <w:t xml:space="preserve">Testing set</w:t>
            </w:r>
          </w:p>
        </w:tc>
        <w:tc>
          <w:tcPr>
            <w:tcW w:type="dxa" w:w="1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val="false"/>
              <w:jc w:val="center"/>
            </w:pPr>
            <w:r>
              <w:rPr>
                <w:b w:val="false"/>
                <w:bCs w:val="false"/>
                <w:color w:val="000000"/>
                <w:sz w:val="20"/>
                <w:szCs w:val="20"/>
              </w:rPr>
              <w:t xml:space="preserve">12</w:t>
            </w:r>
          </w:p>
        </w:tc>
        <w:tc>
          <w:tcPr>
            <w:tcW w:type="dxa" w:w="2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val="false"/>
              <w:jc w:val="center"/>
            </w:pPr>
            <w:r>
              <w:rPr>
                <w:b w:val="false"/>
                <w:bCs w:val="false"/>
                <w:color w:val="000000"/>
                <w:sz w:val="20"/>
                <w:szCs w:val="20"/>
              </w:rPr>
              <w:t xml:space="preserve">Jan 2024 to Dec 2024</w:t>
            </w:r>
          </w:p>
        </w:tc>
        <w:tc>
          <w:tcPr>
            <w:tcW w:type="dxa" w:w="384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val="false"/>
              <w:jc w:val="center"/>
            </w:pPr>
            <w:r>
              <w:rPr>
                <w:b w:val="false"/>
                <w:bCs w:val="false"/>
                <w:color w:val="000000"/>
                <w:sz w:val="20"/>
                <w:szCs w:val="20"/>
              </w:rPr>
              <w:t xml:space="preserve">We hide it, ask the model to forecast it and compare with the real values</w:t>
            </w:r>
          </w:p>
        </w:tc>
      </w:tr>
    </w:tbl>
    <w:p>
      <w:pPr>
        <w:spacing w:after="80"/>
      </w:pPr>
    </w:p>
    <w:p>
      <w:pPr>
        <w:pStyle w:val="Heading2"/>
      </w:pPr>
      <w:r>
        <w:t xml:space="preserve">Step 10: Define the error measures (Cell 11)</w:t>
      </w:r>
    </w:p>
    <w:p>
      <w:pPr>
        <w:spacing w:after="120" w:line="300"/>
      </w:pPr>
      <w:r>
        <w:t xml:space="preserve">To decide which model is the best we need a score. The notebook defines two functions, MAPE and RMSE, and later also uses MAE. </w:t>
      </w:r>
      <w:r>
        <w:rPr>
          <w:b/>
          <w:bCs/>
        </w:rPr>
        <w:t xml:space="preserve">For all three, a lower value is better.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5246"/>
      </w:tblGrid>
      <w:tr>
        <w:trPr>
          <w:cantSplit/>
          <w:tblHeader/>
        </w:trPr>
        <w:tc>
          <w:tcPr>
            <w:tcW w:type="dxa" w:w="15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keepNext/>
              <w:jc w:val="left"/>
            </w:pPr>
            <w:r>
              <w:rPr>
                <w:b/>
                <w:bCs/>
                <w:color w:val="FFFFFF"/>
                <w:sz w:val="20"/>
                <w:szCs w:val="20"/>
              </w:rPr>
              <w:t xml:space="preserve">Measure</w:t>
            </w:r>
          </w:p>
        </w:tc>
        <w:tc>
          <w:tcPr>
            <w:tcW w:type="dxa" w:w="30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keepNext/>
              <w:jc w:val="center"/>
            </w:pPr>
            <w:r>
              <w:rPr>
                <w:b/>
                <w:bCs/>
                <w:color w:val="FFFFFF"/>
                <w:sz w:val="20"/>
                <w:szCs w:val="20"/>
              </w:rPr>
              <w:t xml:space="preserve">Full name</w:t>
            </w:r>
          </w:p>
        </w:tc>
        <w:tc>
          <w:tcPr>
            <w:tcW w:type="dxa" w:w="524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keepNext/>
              <w:jc w:val="center"/>
            </w:pPr>
            <w:r>
              <w:rPr>
                <w:b/>
                <w:bCs/>
                <w:color w:val="FFFFFF"/>
                <w:sz w:val="20"/>
                <w:szCs w:val="20"/>
              </w:rPr>
              <w:t xml:space="preserve">Simple meaning</w:t>
            </w:r>
          </w:p>
        </w:tc>
      </w:tr>
      <w:tr>
        <w:trPr>
          <w:cantSplit/>
        </w:trPr>
        <w:tc>
          <w:tcPr>
            <w:tcW w:type="dxa" w:w="15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keepNext/>
              <w:jc w:val="left"/>
            </w:pPr>
            <w:r>
              <w:rPr>
                <w:b w:val="false"/>
                <w:bCs w:val="false"/>
                <w:color w:val="000000"/>
                <w:sz w:val="20"/>
                <w:szCs w:val="20"/>
              </w:rPr>
              <w:t xml:space="preserve">MAE</w:t>
            </w:r>
          </w:p>
        </w:tc>
        <w:tc>
          <w:tcPr>
            <w:tcW w:type="dxa" w:w="30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keepNext/>
              <w:jc w:val="center"/>
            </w:pPr>
            <w:r>
              <w:rPr>
                <w:b w:val="false"/>
                <w:bCs w:val="false"/>
                <w:color w:val="000000"/>
                <w:sz w:val="20"/>
                <w:szCs w:val="20"/>
              </w:rPr>
              <w:t xml:space="preserve">Mean Absolute Error</w:t>
            </w:r>
          </w:p>
        </w:tc>
        <w:tc>
          <w:tcPr>
            <w:tcW w:type="dxa" w:w="524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keepNext/>
              <w:jc w:val="center"/>
            </w:pPr>
            <w:r>
              <w:rPr>
                <w:b w:val="false"/>
                <w:bCs w:val="false"/>
                <w:color w:val="000000"/>
                <w:sz w:val="20"/>
                <w:szCs w:val="20"/>
              </w:rPr>
              <w:t xml:space="preserve">On average, how many lakhs is the forecast wrong by?</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jc w:val="left"/>
            </w:pPr>
            <w:r>
              <w:rPr>
                <w:b w:val="false"/>
                <w:bCs w:val="false"/>
                <w:color w:val="000000"/>
                <w:sz w:val="20"/>
                <w:szCs w:val="20"/>
              </w:rPr>
              <w:t xml:space="preserve">RMSE</w:t>
            </w:r>
          </w:p>
        </w:tc>
        <w:tc>
          <w:tcPr>
            <w:tcW w:type="dxa" w:w="3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jc w:val="center"/>
            </w:pPr>
            <w:r>
              <w:rPr>
                <w:b w:val="false"/>
                <w:bCs w:val="false"/>
                <w:color w:val="000000"/>
                <w:sz w:val="20"/>
                <w:szCs w:val="20"/>
              </w:rPr>
              <w:t xml:space="preserve">Root Mean Squared Error</w:t>
            </w:r>
          </w:p>
        </w:tc>
        <w:tc>
          <w:tcPr>
            <w:tcW w:type="dxa" w:w="524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jc w:val="center"/>
            </w:pPr>
            <w:r>
              <w:rPr>
                <w:b w:val="false"/>
                <w:bCs w:val="false"/>
                <w:color w:val="000000"/>
                <w:sz w:val="20"/>
                <w:szCs w:val="20"/>
              </w:rPr>
              <w:t xml:space="preserve">Like MAE, but big mistakes are punished more heavily</w:t>
            </w:r>
          </w:p>
        </w:tc>
      </w:tr>
      <w:tr>
        <w:trPr>
          <w:cantSplit/>
        </w:trPr>
        <w:tc>
          <w:tcPr>
            <w:tcW w:type="dxa" w:w="15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keepNext w:val="false"/>
              <w:jc w:val="left"/>
            </w:pPr>
            <w:r>
              <w:rPr>
                <w:b w:val="false"/>
                <w:bCs w:val="false"/>
                <w:color w:val="000000"/>
                <w:sz w:val="20"/>
                <w:szCs w:val="20"/>
              </w:rPr>
              <w:t xml:space="preserve">MAPE</w:t>
            </w:r>
          </w:p>
        </w:tc>
        <w:tc>
          <w:tcPr>
            <w:tcW w:type="dxa" w:w="30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keepNext w:val="false"/>
              <w:jc w:val="center"/>
            </w:pPr>
            <w:r>
              <w:rPr>
                <w:b w:val="false"/>
                <w:bCs w:val="false"/>
                <w:color w:val="000000"/>
                <w:sz w:val="20"/>
                <w:szCs w:val="20"/>
              </w:rPr>
              <w:t xml:space="preserve">Mean Absolute Percentage Error</w:t>
            </w:r>
          </w:p>
        </w:tc>
        <w:tc>
          <w:tcPr>
            <w:tcW w:type="dxa" w:w="524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keepNext w:val="false"/>
              <w:jc w:val="center"/>
            </w:pPr>
            <w:r>
              <w:rPr>
                <w:b w:val="false"/>
                <w:bCs w:val="false"/>
                <w:color w:val="000000"/>
                <w:sz w:val="20"/>
                <w:szCs w:val="20"/>
              </w:rPr>
              <w:t xml:space="preserve">On average, by what percent is the forecast wrong? Easy to explain to management</w:t>
            </w:r>
          </w:p>
        </w:tc>
      </w:tr>
    </w:tbl>
    <w:p>
      <w:pPr>
        <w:pStyle w:val="Heading1"/>
        <w:pageBreakBefore/>
      </w:pPr>
      <w:r>
        <w:t xml:space="preserve">5. Task 2: Exponential Smoothing</w:t>
      </w:r>
    </w:p>
    <w:p>
      <w:pPr>
        <w:spacing w:after="120" w:line="300"/>
      </w:pPr>
      <w:r>
        <w:t xml:space="preserve">Exponential smoothing is a family of methods which forecast the future by taking a weighted average of the past, where </w:t>
      </w:r>
      <w:r>
        <w:rPr>
          <w:b/>
          <w:bCs/>
        </w:rPr>
        <w:t xml:space="preserve">recent months get more weight and old months get less</w:t>
      </w:r>
      <w:r>
        <w:t xml:space="preserve">. There are three versions, each adding one more feature.</w:t>
      </w:r>
    </w:p>
    <w:p>
      <w:pPr>
        <w:pStyle w:val="Heading2"/>
      </w:pPr>
      <w:r>
        <w:t xml:space="preserve">5.1 Simple Exponential Smoothing (SES)</w:t>
      </w:r>
    </w:p>
    <w:p>
      <w:pPr>
        <w:pStyle w:val="Heading2"/>
      </w:pPr>
      <w:r>
        <w:t xml:space="preserve">Step 11: Try many alpha values (Cell 12)</w:t>
      </w:r>
    </w:p>
    <w:p>
      <w:pPr>
        <w:spacing w:after="120" w:line="300"/>
      </w:pPr>
      <w:r>
        <w:t xml:space="preserve">SES has one setting called </w:t>
      </w:r>
      <w:r>
        <w:rPr>
          <w:b/>
          <w:bCs/>
        </w:rPr>
        <w:t xml:space="preserve">alpha (α)</w:t>
      </w:r>
      <w:r>
        <w:t xml:space="preserve">, the smoothing factor, which lies between 0 and 1.</w:t>
      </w:r>
    </w:p>
    <w:p>
      <w:pPr>
        <w:pStyle w:val="ListParagraph"/>
        <w:numPr>
          <w:ilvl w:val="0"/>
          <w:numId w:val="2"/>
        </w:numPr>
        <w:spacing w:after="60" w:line="290"/>
      </w:pPr>
      <w:r>
        <w:rPr>
          <w:b/>
          <w:bCs/>
        </w:rPr>
        <w:t xml:space="preserve">Small alpha (e.g. 0.1):</w:t>
      </w:r>
      <w:r>
        <w:t xml:space="preserve"> the model changes slowly and trusts the long past more.</w:t>
      </w:r>
    </w:p>
    <w:p>
      <w:pPr>
        <w:pStyle w:val="ListParagraph"/>
        <w:numPr>
          <w:ilvl w:val="0"/>
          <w:numId w:val="2"/>
        </w:numPr>
        <w:spacing w:after="60" w:line="290"/>
      </w:pPr>
      <w:r>
        <w:rPr>
          <w:b/>
          <w:bCs/>
        </w:rPr>
        <w:t xml:space="preserve">Large alpha (e.g. 0.9):</w:t>
      </w:r>
      <w:r>
        <w:t xml:space="preserve"> the model reacts quickly and trusts the latest month more.</w:t>
      </w:r>
    </w:p>
    <w:p>
      <w:pPr>
        <w:spacing w:after="120" w:line="300"/>
      </w:pPr>
      <w:r>
        <w:t xml:space="preserve">The task asks us to experiment with different alphas. The notebook uses a loop to try every alpha from 0.01 to 0.99 (99 values). For each one it fits the model on the training data, forecasts 12 months, and records RMSE and MAPE. For example, alpha = 0.01 gave RMSE 16.29, while alpha = 0.05 gave 11.35, which shows that the choice of alpha matters a lot.</w:t>
      </w:r>
    </w:p>
    <w:p>
      <w:pPr>
        <w:pStyle w:val="Heading2"/>
      </w:pPr>
      <w:r>
        <w:t xml:space="preserve">Step 12: Pick the best alpha and forecast (Cells 13 and 14)</w:t>
      </w:r>
    </w:p>
    <w:p>
      <w:pPr>
        <w:spacing w:after="120" w:line="300"/>
      </w:pPr>
      <w:r>
        <w:t xml:space="preserve">The notebook selects the alpha with the lowest RMSE, and re-fits the model with it.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346"/>
      </w:tblGrid>
      <w:tr>
        <w:trPr>
          <w:cantSplit/>
          <w:tblHeader/>
        </w:trPr>
        <w:tc>
          <w:tcPr>
            <w:tcW w:type="dxa" w:w="32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keepNext/>
              <w:jc w:val="left"/>
            </w:pPr>
            <w:r>
              <w:rPr>
                <w:b/>
                <w:bCs/>
                <w:color w:val="FFFFFF"/>
                <w:sz w:val="20"/>
                <w:szCs w:val="20"/>
              </w:rPr>
              <w:t xml:space="preserve">Best alpha</w:t>
            </w:r>
          </w:p>
        </w:tc>
        <w:tc>
          <w:tcPr>
            <w:tcW w:type="dxa" w:w="32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keepNext/>
              <w:jc w:val="center"/>
            </w:pPr>
            <w:r>
              <w:rPr>
                <w:b/>
                <w:bCs/>
                <w:color w:val="FFFFFF"/>
                <w:sz w:val="20"/>
                <w:szCs w:val="20"/>
              </w:rPr>
              <w:t xml:space="preserve">RMSE</w:t>
            </w:r>
          </w:p>
        </w:tc>
        <w:tc>
          <w:tcPr>
            <w:tcW w:type="dxa" w:w="334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keepNext/>
              <w:jc w:val="center"/>
            </w:pPr>
            <w:r>
              <w:rPr>
                <w:b/>
                <w:bCs/>
                <w:color w:val="FFFFFF"/>
                <w:sz w:val="20"/>
                <w:szCs w:val="20"/>
              </w:rPr>
              <w:t xml:space="preserve">MAPE</w:t>
            </w:r>
          </w:p>
        </w:tc>
      </w:tr>
      <w:tr>
        <w:trPr>
          <w:cantSplit/>
        </w:trPr>
        <w:tc>
          <w:tcPr>
            <w:tcW w:type="dxa" w:w="32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keepNext w:val="false"/>
              <w:jc w:val="left"/>
            </w:pPr>
            <w:r>
              <w:rPr>
                <w:b w:val="false"/>
                <w:bCs w:val="false"/>
                <w:color w:val="000000"/>
                <w:sz w:val="20"/>
                <w:szCs w:val="20"/>
              </w:rPr>
              <w:t xml:space="preserve">0.75</w:t>
            </w:r>
          </w:p>
        </w:tc>
        <w:tc>
          <w:tcPr>
            <w:tcW w:type="dxa" w:w="32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keepNext w:val="false"/>
              <w:jc w:val="center"/>
            </w:pPr>
            <w:r>
              <w:rPr>
                <w:b w:val="false"/>
                <w:bCs w:val="false"/>
                <w:color w:val="000000"/>
                <w:sz w:val="20"/>
                <w:szCs w:val="20"/>
              </w:rPr>
              <w:t xml:space="preserve">4.101</w:t>
            </w:r>
          </w:p>
        </w:tc>
        <w:tc>
          <w:tcPr>
            <w:tcW w:type="dxa" w:w="334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keepNext w:val="false"/>
              <w:jc w:val="center"/>
            </w:pPr>
            <w:r>
              <w:rPr>
                <w:b w:val="false"/>
                <w:bCs w:val="false"/>
                <w:color w:val="000000"/>
                <w:sz w:val="20"/>
                <w:szCs w:val="20"/>
              </w:rPr>
              <w:t xml:space="preserve">4.65%</w:t>
            </w:r>
          </w:p>
        </w:tc>
      </w:tr>
    </w:tbl>
    <w:p>
      <w:pPr>
        <w:spacing w:after="80"/>
      </w:pPr>
    </w:p>
    <w:p>
      <w:pPr>
        <w:spacing w:after="120" w:line="300"/>
      </w:pPr>
      <w:r>
        <w:t xml:space="preserve">SES gives a flat line as its forecast (you can see this in Figure 3), because it has no idea about trend or seasonality. It is good only for data with no clear pattern.</w:t>
      </w:r>
    </w:p>
    <w:p>
      <w:pPr>
        <w:pStyle w:val="Heading2"/>
      </w:pPr>
      <w:r>
        <w:t xml:space="preserve">5.2 Double Exponential Smoothing (Holt's method)</w:t>
      </w:r>
    </w:p>
    <w:p>
      <w:pPr>
        <w:pStyle w:val="Heading2"/>
      </w:pPr>
      <w:r>
        <w:t xml:space="preserve">Step 13: Tune alpha and beta (Cells 15, 16, 17)</w:t>
      </w:r>
    </w:p>
    <w:p>
      <w:pPr>
        <w:spacing w:after="120" w:line="300"/>
      </w:pPr>
      <w:r>
        <w:t xml:space="preserve">Double exponential smoothing adds a second setting, </w:t>
      </w:r>
      <w:r>
        <w:rPr>
          <w:b/>
          <w:bCs/>
        </w:rPr>
        <w:t xml:space="preserve">beta (β)</w:t>
      </w:r>
      <w:r>
        <w:t xml:space="preserve">, which lets the model learn the </w:t>
      </w:r>
      <w:r>
        <w:rPr>
          <w:b/>
          <w:bCs/>
        </w:rPr>
        <w:t xml:space="preserve">trend</w:t>
      </w:r>
      <w:r>
        <w:t xml:space="preserve"> (whether sales are rising or falling). Now there are two settings to tune, so the notebook uses a loop inside a loop, testing every combination of alpha (0.1 to 0.9) and beta (0.1 to 0.9), which is 81 combinations.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546"/>
      </w:tblGrid>
      <w:tr>
        <w:trPr>
          <w:cantSplit/>
          <w:tblHeader/>
        </w:trPr>
        <w:tc>
          <w:tcPr>
            <w:tcW w:type="dxa" w:w="24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keepNext/>
              <w:jc w:val="left"/>
            </w:pPr>
            <w:r>
              <w:rPr>
                <w:b/>
                <w:bCs/>
                <w:color w:val="FFFFFF"/>
                <w:sz w:val="20"/>
                <w:szCs w:val="20"/>
              </w:rPr>
              <w:t xml:space="preserve">Best alpha</w:t>
            </w:r>
          </w:p>
        </w:tc>
        <w:tc>
          <w:tcPr>
            <w:tcW w:type="dxa" w:w="24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keepNext/>
              <w:jc w:val="center"/>
            </w:pPr>
            <w:r>
              <w:rPr>
                <w:b/>
                <w:bCs/>
                <w:color w:val="FFFFFF"/>
                <w:sz w:val="20"/>
                <w:szCs w:val="20"/>
              </w:rPr>
              <w:t xml:space="preserve">Best beta</w:t>
            </w:r>
          </w:p>
        </w:tc>
        <w:tc>
          <w:tcPr>
            <w:tcW w:type="dxa" w:w="24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keepNext/>
              <w:jc w:val="center"/>
            </w:pPr>
            <w:r>
              <w:rPr>
                <w:b/>
                <w:bCs/>
                <w:color w:val="FFFFFF"/>
                <w:sz w:val="20"/>
                <w:szCs w:val="20"/>
              </w:rPr>
              <w:t xml:space="preserve">RMSE</w:t>
            </w:r>
          </w:p>
        </w:tc>
        <w:tc>
          <w:tcPr>
            <w:tcW w:type="dxa" w:w="254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keepNext/>
              <w:jc w:val="center"/>
            </w:pPr>
            <w:r>
              <w:rPr>
                <w:b/>
                <w:bCs/>
                <w:color w:val="FFFFFF"/>
                <w:sz w:val="20"/>
                <w:szCs w:val="20"/>
              </w:rPr>
              <w:t xml:space="preserve">MAPE</w:t>
            </w:r>
          </w:p>
        </w:tc>
      </w:tr>
      <w:tr>
        <w:trPr>
          <w:cantSplit/>
        </w:trPr>
        <w:tc>
          <w:tcPr>
            <w:tcW w:type="dxa" w:w="24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keepNext w:val="false"/>
              <w:jc w:val="left"/>
            </w:pPr>
            <w:r>
              <w:rPr>
                <w:b w:val="false"/>
                <w:bCs w:val="false"/>
                <w:color w:val="000000"/>
                <w:sz w:val="20"/>
                <w:szCs w:val="20"/>
              </w:rPr>
              <w:t xml:space="preserve">0.4</w:t>
            </w:r>
          </w:p>
        </w:tc>
        <w:tc>
          <w:tcPr>
            <w:tcW w:type="dxa" w:w="24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keepNext w:val="false"/>
              <w:jc w:val="center"/>
            </w:pPr>
            <w:r>
              <w:rPr>
                <w:b w:val="false"/>
                <w:bCs w:val="false"/>
                <w:color w:val="000000"/>
                <w:sz w:val="20"/>
                <w:szCs w:val="20"/>
              </w:rPr>
              <w:t xml:space="preserve">0.1</w:t>
            </w:r>
          </w:p>
        </w:tc>
        <w:tc>
          <w:tcPr>
            <w:tcW w:type="dxa" w:w="24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keepNext w:val="false"/>
              <w:jc w:val="center"/>
            </w:pPr>
            <w:r>
              <w:rPr>
                <w:b w:val="false"/>
                <w:bCs w:val="false"/>
                <w:color w:val="000000"/>
                <w:sz w:val="20"/>
                <w:szCs w:val="20"/>
              </w:rPr>
              <w:t xml:space="preserve">4.605</w:t>
            </w:r>
          </w:p>
        </w:tc>
        <w:tc>
          <w:tcPr>
            <w:tcW w:type="dxa" w:w="254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keepNext w:val="false"/>
              <w:jc w:val="center"/>
            </w:pPr>
            <w:r>
              <w:rPr>
                <w:b w:val="false"/>
                <w:bCs w:val="false"/>
                <w:color w:val="000000"/>
                <w:sz w:val="20"/>
                <w:szCs w:val="20"/>
              </w:rPr>
              <w:t xml:space="preserve">5.57%</w:t>
            </w:r>
          </w:p>
        </w:tc>
      </w:tr>
    </w:tbl>
    <w:p>
      <w:pPr>
        <w:spacing w:after="80"/>
      </w:pPr>
    </w:p>
    <w:p>
      <w:pPr>
        <w:spacing w:after="120" w:line="300"/>
      </w:pPr>
      <w:r>
        <w:t xml:space="preserve">The forecast is now a sloped line (going upward) because the model has learnt the growth trend. But the accuracy did not improve; it is actually a little worse than SES, because the real data goes up and down in a yearly pattern and a straight sloping line cannot copy that.</w:t>
      </w:r>
    </w:p>
    <w:p>
      <w:pPr>
        <w:pStyle w:val="Heading2"/>
      </w:pPr>
      <w:r>
        <w:t xml:space="preserve">5.3 Triple Exponential Smoothing (Holt-Winters)</w:t>
      </w:r>
    </w:p>
    <w:p>
      <w:pPr>
        <w:pStyle w:val="Heading2"/>
      </w:pPr>
      <w:r>
        <w:t xml:space="preserve">Step 14: Add seasonality (Cell 18)</w:t>
      </w:r>
    </w:p>
    <w:p>
      <w:pPr>
        <w:spacing w:after="120" w:line="300"/>
      </w:pPr>
      <w:r>
        <w:t xml:space="preserve">Triple exponential smoothing adds a third component, </w:t>
      </w:r>
      <w:r>
        <w:rPr>
          <w:b/>
          <w:bCs/>
        </w:rPr>
        <w:t xml:space="preserve">seasonality</w:t>
      </w:r>
      <w:r>
        <w:t xml:space="preserve">. The notebook uses trend = additive, seasonal = additive and seasonal_periods = 12 (the pattern repeats every 12 months). Python finds the best alpha, beta and gamma settings on its own.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873"/>
        <w:gridCol w:w="4873"/>
      </w:tblGrid>
      <w:tr>
        <w:trPr>
          <w:cantSplit/>
          <w:tblHeader/>
        </w:trPr>
        <w:tc>
          <w:tcPr>
            <w:tcW w:type="dxa" w:w="487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keepNext/>
              <w:jc w:val="left"/>
            </w:pPr>
            <w:r>
              <w:rPr>
                <w:b/>
                <w:bCs/>
                <w:color w:val="FFFFFF"/>
                <w:sz w:val="20"/>
                <w:szCs w:val="20"/>
              </w:rPr>
              <w:t xml:space="preserve">RMSE</w:t>
            </w:r>
          </w:p>
        </w:tc>
        <w:tc>
          <w:tcPr>
            <w:tcW w:type="dxa" w:w="487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keepNext/>
              <w:jc w:val="center"/>
            </w:pPr>
            <w:r>
              <w:rPr>
                <w:b/>
                <w:bCs/>
                <w:color w:val="FFFFFF"/>
                <w:sz w:val="20"/>
                <w:szCs w:val="20"/>
              </w:rPr>
              <w:t xml:space="preserve">MAPE</w:t>
            </w:r>
          </w:p>
        </w:tc>
      </w:tr>
      <w:tr>
        <w:trPr>
          <w:cantSplit/>
        </w:trPr>
        <w:tc>
          <w:tcPr>
            <w:tcW w:type="dxa" w:w="4873"/>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keepNext w:val="false"/>
              <w:jc w:val="left"/>
            </w:pPr>
            <w:r>
              <w:rPr>
                <w:b w:val="false"/>
                <w:bCs w:val="false"/>
                <w:color w:val="000000"/>
                <w:sz w:val="20"/>
                <w:szCs w:val="20"/>
              </w:rPr>
              <w:t xml:space="preserve">1.968</w:t>
            </w:r>
          </w:p>
        </w:tc>
        <w:tc>
          <w:tcPr>
            <w:tcW w:type="dxa" w:w="4873"/>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keepNext w:val="false"/>
              <w:jc w:val="center"/>
            </w:pPr>
            <w:r>
              <w:rPr>
                <w:b w:val="false"/>
                <w:bCs w:val="false"/>
                <w:color w:val="000000"/>
                <w:sz w:val="20"/>
                <w:szCs w:val="20"/>
              </w:rPr>
              <w:t xml:space="preserve">2.22%</w:t>
            </w:r>
          </w:p>
        </w:tc>
      </w:tr>
    </w:tbl>
    <w:p>
      <w:pPr>
        <w:spacing w:after="80"/>
      </w:pPr>
    </w:p>
    <w:p>
      <w:pPr>
        <w:pStyle w:val="Heading2"/>
      </w:pPr>
      <w:r>
        <w:t xml:space="preserve">Step 15: Compare the three methods (Cells 19 and 20)</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600"/>
        <w:gridCol w:w="2400"/>
        <w:gridCol w:w="2746"/>
      </w:tblGrid>
      <w:tr>
        <w:trPr>
          <w:cantSplit/>
          <w:tblHeader/>
        </w:trPr>
        <w:tc>
          <w:tcPr>
            <w:tcW w:type="dxa" w:w="46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keepNext/>
              <w:jc w:val="left"/>
            </w:pPr>
            <w:r>
              <w:rPr>
                <w:b/>
                <w:bCs/>
                <w:color w:val="FFFFFF"/>
                <w:sz w:val="20"/>
                <w:szCs w:val="20"/>
              </w:rPr>
              <w:t xml:space="preserve">Model</w:t>
            </w:r>
          </w:p>
        </w:tc>
        <w:tc>
          <w:tcPr>
            <w:tcW w:type="dxa" w:w="24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keepNext/>
              <w:jc w:val="center"/>
            </w:pPr>
            <w:r>
              <w:rPr>
                <w:b/>
                <w:bCs/>
                <w:color w:val="FFFFFF"/>
                <w:sz w:val="20"/>
                <w:szCs w:val="20"/>
              </w:rPr>
              <w:t xml:space="preserve">RMSE</w:t>
            </w:r>
          </w:p>
        </w:tc>
        <w:tc>
          <w:tcPr>
            <w:tcW w:type="dxa" w:w="274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keepNext/>
              <w:jc w:val="center"/>
            </w:pPr>
            <w:r>
              <w:rPr>
                <w:b/>
                <w:bCs/>
                <w:color w:val="FFFFFF"/>
                <w:sz w:val="20"/>
                <w:szCs w:val="20"/>
              </w:rPr>
              <w:t xml:space="preserve">MAPE (%)</w:t>
            </w:r>
          </w:p>
        </w:tc>
      </w:tr>
      <w:tr>
        <w:trPr>
          <w:cantSplit/>
        </w:trPr>
        <w:tc>
          <w:tcPr>
            <w:tcW w:type="dxa" w:w="46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keepNext/>
              <w:jc w:val="left"/>
            </w:pPr>
            <w:r>
              <w:rPr>
                <w:b w:val="false"/>
                <w:bCs w:val="false"/>
                <w:color w:val="000000"/>
                <w:sz w:val="20"/>
                <w:szCs w:val="20"/>
              </w:rPr>
              <w:t xml:space="preserve">Simple Exponential Smoothing</w:t>
            </w:r>
          </w:p>
        </w:tc>
        <w:tc>
          <w:tcPr>
            <w:tcW w:type="dxa" w:w="24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keepNext/>
              <w:jc w:val="center"/>
            </w:pPr>
            <w:r>
              <w:rPr>
                <w:b w:val="false"/>
                <w:bCs w:val="false"/>
                <w:color w:val="000000"/>
                <w:sz w:val="20"/>
                <w:szCs w:val="20"/>
              </w:rPr>
              <w:t xml:space="preserve">4.101</w:t>
            </w:r>
          </w:p>
        </w:tc>
        <w:tc>
          <w:tcPr>
            <w:tcW w:type="dxa" w:w="274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keepNext/>
              <w:jc w:val="center"/>
            </w:pPr>
            <w:r>
              <w:rPr>
                <w:b w:val="false"/>
                <w:bCs w:val="false"/>
                <w:color w:val="000000"/>
                <w:sz w:val="20"/>
                <w:szCs w:val="20"/>
              </w:rPr>
              <w:t xml:space="preserve">4.651</w:t>
            </w:r>
          </w:p>
        </w:tc>
      </w:tr>
      <w:tr>
        <w:trPr>
          <w:cantSplit/>
        </w:trPr>
        <w:tc>
          <w:tcPr>
            <w:tcW w:type="dxa" w:w="4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jc w:val="left"/>
            </w:pPr>
            <w:r>
              <w:rPr>
                <w:b w:val="false"/>
                <w:bCs w:val="false"/>
                <w:color w:val="000000"/>
                <w:sz w:val="20"/>
                <w:szCs w:val="20"/>
              </w:rPr>
              <w:t xml:space="preserve">Double Exponential Smoothing</w:t>
            </w:r>
          </w:p>
        </w:tc>
        <w:tc>
          <w:tcPr>
            <w:tcW w:type="dxa" w:w="24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jc w:val="center"/>
            </w:pPr>
            <w:r>
              <w:rPr>
                <w:b w:val="false"/>
                <w:bCs w:val="false"/>
                <w:color w:val="000000"/>
                <w:sz w:val="20"/>
                <w:szCs w:val="20"/>
              </w:rPr>
              <w:t xml:space="preserve">4.605</w:t>
            </w:r>
          </w:p>
        </w:tc>
        <w:tc>
          <w:tcPr>
            <w:tcW w:type="dxa" w:w="274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jc w:val="center"/>
            </w:pPr>
            <w:r>
              <w:rPr>
                <w:b w:val="false"/>
                <w:bCs w:val="false"/>
                <w:color w:val="000000"/>
                <w:sz w:val="20"/>
                <w:szCs w:val="20"/>
              </w:rPr>
              <w:t xml:space="preserve">5.572</w:t>
            </w:r>
          </w:p>
        </w:tc>
      </w:tr>
      <w:tr>
        <w:trPr>
          <w:cantSplit/>
        </w:trPr>
        <w:tc>
          <w:tcPr>
            <w:tcW w:type="dxa" w:w="46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pPr>
              <w:keepNext w:val="false"/>
              <w:jc w:val="left"/>
            </w:pPr>
            <w:r>
              <w:rPr>
                <w:b w:val="false"/>
                <w:bCs w:val="false"/>
                <w:color w:val="000000"/>
                <w:sz w:val="20"/>
                <w:szCs w:val="20"/>
              </w:rPr>
              <w:t xml:space="preserve">Triple Exponential Smoothing</w:t>
            </w:r>
          </w:p>
        </w:tc>
        <w:tc>
          <w:tcPr>
            <w:tcW w:type="dxa" w:w="24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pPr>
              <w:keepNext w:val="false"/>
              <w:jc w:val="center"/>
            </w:pPr>
            <w:r>
              <w:rPr>
                <w:b w:val="false"/>
                <w:bCs w:val="false"/>
                <w:color w:val="000000"/>
                <w:sz w:val="20"/>
                <w:szCs w:val="20"/>
              </w:rPr>
              <w:t xml:space="preserve">1.968</w:t>
            </w:r>
          </w:p>
        </w:tc>
        <w:tc>
          <w:tcPr>
            <w:tcW w:type="dxa" w:w="2746"/>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pPr>
              <w:keepNext w:val="false"/>
              <w:jc w:val="center"/>
            </w:pPr>
            <w:r>
              <w:rPr>
                <w:b w:val="false"/>
                <w:bCs w:val="false"/>
                <w:color w:val="000000"/>
                <w:sz w:val="20"/>
                <w:szCs w:val="20"/>
              </w:rPr>
              <w:t xml:space="preserve">2.224</w:t>
            </w:r>
          </w:p>
        </w:tc>
      </w:tr>
    </w:tbl>
    <w:p>
      <w:pPr>
        <w:spacing w:after="80"/>
      </w:pPr>
    </w:p>
    <w:p>
      <w:pPr>
        <w:keepNext/>
        <w:spacing w:after="60" w:before="120"/>
        <w:jc w:val="center"/>
      </w:pPr>
      <w:r>
        <w:drawing>
          <wp:inline distT="0" distB="0" distL="0" distR="0">
            <wp:extent cx="5715000" cy="2895600"/>
            <wp:effectExtent t="0" r="0" b="0" l="0"/>
            <wp:docPr id="1" name="Figure 3: Actual 2024 sales vs SES, Double and Triple exponential forecasts" descr="Figure 3: Actual 2024 sales vs SES, Double and Triple exponential forecasts" title="Figure 3: Actual 2024 sales vs SES, Double and Triple exponential forecas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895600"/>
                    </a:xfrm>
                    <a:prstGeom prst="rect">
                      <a:avLst/>
                    </a:prstGeom>
                  </pic:spPr>
                </pic:pic>
              </a:graphicData>
            </a:graphic>
          </wp:inline>
        </w:drawing>
      </w:r>
    </w:p>
    <w:p>
      <w:pPr>
        <w:spacing w:after="200"/>
        <w:jc w:val="center"/>
      </w:pPr>
      <w:r>
        <w:rPr>
          <w:i/>
          <w:iCs/>
          <w:color w:val="595959"/>
          <w:sz w:val="19"/>
          <w:szCs w:val="19"/>
        </w:rPr>
        <w:t xml:space="preserve">Figure 3: Actual 2024 sales vs SES, Double and Triple exponential forecasts</w:t>
      </w:r>
    </w:p>
    <w:p>
      <w:pPr>
        <w:spacing w:after="120" w:line="300"/>
      </w:pPr>
      <w:r>
        <w:t xml:space="preserve">How to read Figure 3: the thick blue line is the real sales in 2024. The orange line (SES) is flat, and the green line (Double) is a slow upward slope, and both miss the real ups and downs. The red line (Triple) follows the blue line closely, including the big fall in September and the big rise in November and December.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single" w:color="BFBFBF" w:sz="4"/>
              <w:left w:val="single" w:color="1F4E79" w:sz="24"/>
              <w:bottom w:val="single" w:color="BFBFBF" w:sz="4"/>
              <w:right w:val="single" w:color="BFBFBF" w:sz="4"/>
            </w:tcBorders>
            <w:shd w:fill="E2EFDA" w:color="auto" w:val="clear"/>
            <w:tcMar>
              <w:top w:type="dxa" w:w="100"/>
              <w:left w:type="dxa" w:w="180"/>
              <w:bottom w:type="dxa" w:w="100"/>
              <w:right w:type="dxa" w:w="180"/>
            </w:tcMar>
          </w:tcPr>
          <w:p>
            <w:pPr>
              <w:spacing w:after="60"/>
            </w:pPr>
            <w:r>
              <w:rPr>
                <w:b/>
                <w:bCs/>
                <w:color w:val="1F4E79"/>
              </w:rPr>
              <w:t xml:space="preserve">Answer to the Task 2 question: How does triple smoothing improve accuracy over double smoothing?</w:t>
            </w:r>
          </w:p>
          <w:p>
            <w:pPr>
              <w:spacing w:after="60" w:line="290"/>
            </w:pPr>
            <w:r>
              <w:t xml:space="preserve">Double smoothing knows only about </w:t>
            </w:r>
            <w:r>
              <w:rPr>
                <w:b/>
                <w:bCs/>
              </w:rPr>
              <w:t xml:space="preserve">trend</w:t>
            </w:r>
            <w:r>
              <w:t xml:space="preserve">, so it draws a straight sloping line. Triple smoothing knows about </w:t>
            </w:r>
            <w:r>
              <w:rPr>
                <w:b/>
                <w:bCs/>
              </w:rPr>
              <w:t xml:space="preserve">trend and seasonality</w:t>
            </w:r>
            <w:r>
              <w:t xml:space="preserve">, so it can copy the yearly up-and-down pattern.</w:t>
            </w:r>
          </w:p>
          <w:p>
            <w:pPr>
              <w:spacing w:after="60" w:line="290"/>
            </w:pPr>
            <w:r>
              <w:t xml:space="preserve">The error fell from </w:t>
            </w:r>
            <w:r>
              <w:rPr>
                <w:b/>
                <w:bCs/>
              </w:rPr>
              <w:t xml:space="preserve">RMSE 4.605 to 1.968</w:t>
            </w:r>
            <w:r>
              <w:t xml:space="preserve"> and from </w:t>
            </w:r>
            <w:r>
              <w:rPr>
                <w:b/>
                <w:bCs/>
              </w:rPr>
              <w:t xml:space="preserve">MAPE 5.57% to 2.22%</w:t>
            </w:r>
            <w:r>
              <w:t xml:space="preserve">, which is an improvement of more than half. FreshMart's sales are clearly seasonal, so a method that understands seasonality wins.</w:t>
            </w:r>
          </w:p>
        </w:tc>
      </w:tr>
    </w:tbl>
    <w:p>
      <w:pPr>
        <w:pStyle w:val="Heading1"/>
        <w:pageBreakBefore/>
      </w:pPr>
      <w:r>
        <w:t xml:space="preserve">6. Task 3: Autoregressive (AR) Models</w:t>
      </w:r>
    </w:p>
    <w:p>
      <w:pPr>
        <w:pStyle w:val="Heading2"/>
      </w:pPr>
      <w:r>
        <w:t xml:space="preserve">The idea in simple words</w:t>
      </w:r>
    </w:p>
    <w:p>
      <w:pPr>
        <w:spacing w:after="120" w:line="300"/>
      </w:pPr>
      <w:r>
        <w:t xml:space="preserve">"Auto" means self and "regression" means predicting from something. An AR model predicts this month's sales using </w:t>
      </w:r>
      <w:r>
        <w:rPr>
          <w:b/>
          <w:bCs/>
        </w:rPr>
        <w:t xml:space="preserve">the sales of previous months</w:t>
      </w:r>
      <w:r>
        <w:t xml:space="preserve">. AR(1) uses only last month. AR(2) uses the last two months, and AR(3) uses the last three months. The number in brackets is called the </w:t>
      </w:r>
      <w:r>
        <w:rPr>
          <w:b/>
          <w:bCs/>
        </w:rPr>
        <w:t xml:space="preserve">order</w:t>
      </w:r>
      <w:r>
        <w:t xml:space="preserve"> or the </w:t>
      </w:r>
      <w:r>
        <w:rPr>
          <w:b/>
          <w:bCs/>
        </w:rPr>
        <w:t xml:space="preserve">lag</w:t>
      </w:r>
      <w:r>
        <w:t xml:space="preserve">.</w:t>
      </w:r>
    </w:p>
    <w:p>
      <w:pPr>
        <w:pStyle w:val="Heading2"/>
      </w:pPr>
      <w:r>
        <w:t xml:space="preserve">Step 16: Plot ACF and PACF (Cell 21)</w:t>
      </w:r>
    </w:p>
    <w:p>
      <w:pPr>
        <w:spacing w:after="120" w:line="300"/>
      </w:pPr>
      <w:r>
        <w:t xml:space="preserve">To decide how many past months are useful, we draw two special graphs:</w:t>
      </w:r>
    </w:p>
    <w:p>
      <w:pPr>
        <w:pStyle w:val="ListParagraph"/>
        <w:numPr>
          <w:ilvl w:val="0"/>
          <w:numId w:val="2"/>
        </w:numPr>
        <w:spacing w:after="60" w:line="290"/>
      </w:pPr>
      <w:r>
        <w:rPr>
          <w:b/>
          <w:bCs/>
        </w:rPr>
        <w:t xml:space="preserve">ACF (Autocorrelation Function):</w:t>
      </w:r>
      <w:r>
        <w:t xml:space="preserve"> shows how strongly today's value is related to the value 1, 2, 3... months ago.</w:t>
      </w:r>
    </w:p>
    <w:p>
      <w:pPr>
        <w:pStyle w:val="ListParagraph"/>
        <w:numPr>
          <w:ilvl w:val="0"/>
          <w:numId w:val="2"/>
        </w:numPr>
        <w:spacing w:after="60" w:line="290"/>
      </w:pPr>
      <w:r>
        <w:rPr>
          <w:b/>
          <w:bCs/>
        </w:rPr>
        <w:t xml:space="preserve">PACF (Partial Autocorrelation Function):</w:t>
      </w:r>
      <w:r>
        <w:t xml:space="preserve"> the same idea, but it removes the effect of the in-between months. It shows the direct link only. The PACF is the main graph used for choosing the AR order.</w:t>
      </w:r>
    </w:p>
    <w:p>
      <w:pPr>
        <w:spacing w:after="120" w:line="300"/>
      </w:pPr>
      <w:r>
        <w:t xml:space="preserve">The blue shaded area is the "not significant" zone. A bar that goes </w:t>
      </w:r>
      <w:r>
        <w:rPr>
          <w:b/>
          <w:bCs/>
        </w:rPr>
        <w:t xml:space="preserve">outside</w:t>
      </w:r>
      <w:r>
        <w:t xml:space="preserve"> the blue area is significant (a real relationship). A bar inside the blue area could just be random luck.</w:t>
      </w:r>
    </w:p>
    <w:p>
      <w:pPr>
        <w:keepNext/>
        <w:spacing w:after="60" w:before="120"/>
        <w:jc w:val="center"/>
      </w:pPr>
      <w:r>
        <w:drawing>
          <wp:inline distT="0" distB="0" distL="0" distR="0">
            <wp:extent cx="4953000" cy="3705225"/>
            <wp:effectExtent t="0" r="0" b="0" l="0"/>
            <wp:docPr id="1" name="Figure 4: ACF and PACF of the FreshMart sales series" descr="Figure 4: ACF and PACF of the FreshMart sales series" title="Figure 4: ACF and PACF of the FreshMart sales ser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3705225"/>
                    </a:xfrm>
                    <a:prstGeom prst="rect">
                      <a:avLst/>
                    </a:prstGeom>
                  </pic:spPr>
                </pic:pic>
              </a:graphicData>
            </a:graphic>
          </wp:inline>
        </w:drawing>
      </w:r>
    </w:p>
    <w:p>
      <w:pPr>
        <w:spacing w:after="200"/>
        <w:jc w:val="center"/>
      </w:pPr>
      <w:r>
        <w:rPr>
          <w:i/>
          <w:iCs/>
          <w:color w:val="595959"/>
          <w:sz w:val="19"/>
          <w:szCs w:val="19"/>
        </w:rPr>
        <w:t xml:space="preserve">Figure 4: ACF and PACF of the FreshMart sales series</w:t>
      </w:r>
    </w:p>
    <w:p>
      <w:pPr>
        <w:spacing w:after="120" w:line="300"/>
      </w:pPr>
      <w:r>
        <w:t xml:space="preserve">What we see in Figure 4:</w:t>
      </w:r>
    </w:p>
    <w:p>
      <w:pPr>
        <w:pStyle w:val="ListParagraph"/>
        <w:numPr>
          <w:ilvl w:val="0"/>
          <w:numId w:val="2"/>
        </w:numPr>
        <w:spacing w:after="60" w:line="290"/>
      </w:pPr>
      <w:r>
        <w:t xml:space="preserve">The </w:t>
      </w:r>
      <w:r>
        <w:rPr>
          <w:b/>
          <w:bCs/>
        </w:rPr>
        <w:t xml:space="preserve">ACF</w:t>
      </w:r>
      <w:r>
        <w:t xml:space="preserve"> starts high (about 0.84 at lag 1) and falls slowly. A slow fall like this is a sign of a trend in the data.</w:t>
      </w:r>
    </w:p>
    <w:p>
      <w:pPr>
        <w:pStyle w:val="ListParagraph"/>
        <w:numPr>
          <w:ilvl w:val="0"/>
          <w:numId w:val="2"/>
        </w:numPr>
        <w:spacing w:after="60" w:line="290"/>
      </w:pPr>
      <w:r>
        <w:t xml:space="preserve">The </w:t>
      </w:r>
      <w:r>
        <w:rPr>
          <w:b/>
          <w:bCs/>
        </w:rPr>
        <w:t xml:space="preserve">PACF</w:t>
      </w:r>
      <w:r>
        <w:t xml:space="preserve"> has one very tall bar at lag 1 (about 0.84), and after that the bars are mostly inside the blue zone. This tells us that </w:t>
      </w:r>
      <w:r>
        <w:rPr>
          <w:b/>
          <w:bCs/>
        </w:rPr>
        <w:t xml:space="preserve">lag 1 is the most important</w:t>
      </w:r>
      <w:r>
        <w:t xml:space="preserve">, so an AR(1) model should be enough.</w:t>
      </w:r>
    </w:p>
    <w:p>
      <w:pPr>
        <w:pStyle w:val="Heading2"/>
      </w:pPr>
      <w:r>
        <w:t xml:space="preserve">Step 17: Build AR(1), AR(2), AR(3) (Cells 22 and 23)</w:t>
      </w:r>
    </w:p>
    <w:p>
      <w:pPr>
        <w:spacing w:after="120" w:line="300"/>
      </w:pPr>
      <w:r>
        <w:t xml:space="preserve">A loop builds the three AR models on the training data, forecasts 12 months and calculates the errors.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400"/>
        <w:gridCol w:w="3000"/>
        <w:gridCol w:w="3346"/>
      </w:tblGrid>
      <w:tr>
        <w:trPr>
          <w:cantSplit/>
          <w:tblHeader/>
        </w:trPr>
        <w:tc>
          <w:tcPr>
            <w:tcW w:type="dxa" w:w="34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keepNext/>
              <w:jc w:val="left"/>
            </w:pPr>
            <w:r>
              <w:rPr>
                <w:b/>
                <w:bCs/>
                <w:color w:val="FFFFFF"/>
                <w:sz w:val="20"/>
                <w:szCs w:val="20"/>
              </w:rPr>
              <w:t xml:space="preserve">Model</w:t>
            </w:r>
          </w:p>
        </w:tc>
        <w:tc>
          <w:tcPr>
            <w:tcW w:type="dxa" w:w="30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keepNext/>
              <w:jc w:val="center"/>
            </w:pPr>
            <w:r>
              <w:rPr>
                <w:b/>
                <w:bCs/>
                <w:color w:val="FFFFFF"/>
                <w:sz w:val="20"/>
                <w:szCs w:val="20"/>
              </w:rPr>
              <w:t xml:space="preserve">RMSE</w:t>
            </w:r>
          </w:p>
        </w:tc>
        <w:tc>
          <w:tcPr>
            <w:tcW w:type="dxa" w:w="334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keepNext/>
              <w:jc w:val="center"/>
            </w:pPr>
            <w:r>
              <w:rPr>
                <w:b/>
                <w:bCs/>
                <w:color w:val="FFFFFF"/>
                <w:sz w:val="20"/>
                <w:szCs w:val="20"/>
              </w:rPr>
              <w:t xml:space="preserve">MAPE (%)</w:t>
            </w:r>
          </w:p>
        </w:tc>
      </w:tr>
      <w:tr>
        <w:trPr>
          <w:cantSplit/>
        </w:trPr>
        <w:tc>
          <w:tcPr>
            <w:tcW w:type="dxa" w:w="34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pPr>
              <w:keepNext/>
              <w:jc w:val="left"/>
            </w:pPr>
            <w:r>
              <w:rPr>
                <w:b w:val="false"/>
                <w:bCs w:val="false"/>
                <w:color w:val="000000"/>
                <w:sz w:val="20"/>
                <w:szCs w:val="20"/>
              </w:rPr>
              <w:t xml:space="preserve">AR(1)</w:t>
            </w:r>
          </w:p>
        </w:tc>
        <w:tc>
          <w:tcPr>
            <w:tcW w:type="dxa" w:w="30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pPr>
              <w:keepNext/>
              <w:jc w:val="center"/>
            </w:pPr>
            <w:r>
              <w:rPr>
                <w:b w:val="false"/>
                <w:bCs w:val="false"/>
                <w:color w:val="000000"/>
                <w:sz w:val="20"/>
                <w:szCs w:val="20"/>
              </w:rPr>
              <w:t xml:space="preserve">6.417</w:t>
            </w:r>
          </w:p>
        </w:tc>
        <w:tc>
          <w:tcPr>
            <w:tcW w:type="dxa" w:w="3346"/>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pPr>
              <w:keepNext/>
              <w:jc w:val="center"/>
            </w:pPr>
            <w:r>
              <w:rPr>
                <w:b w:val="false"/>
                <w:bCs w:val="false"/>
                <w:color w:val="000000"/>
                <w:sz w:val="20"/>
                <w:szCs w:val="20"/>
              </w:rPr>
              <w:t xml:space="preserve">6.862</w:t>
            </w:r>
          </w:p>
        </w:tc>
      </w:tr>
      <w:tr>
        <w:trPr>
          <w:cantSplit/>
        </w:trPr>
        <w:tc>
          <w:tcPr>
            <w:tcW w:type="dxa" w:w="34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jc w:val="left"/>
            </w:pPr>
            <w:r>
              <w:rPr>
                <w:b w:val="false"/>
                <w:bCs w:val="false"/>
                <w:color w:val="000000"/>
                <w:sz w:val="20"/>
                <w:szCs w:val="20"/>
              </w:rPr>
              <w:t xml:space="preserve">AR(2)</w:t>
            </w:r>
          </w:p>
        </w:tc>
        <w:tc>
          <w:tcPr>
            <w:tcW w:type="dxa" w:w="3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jc w:val="center"/>
            </w:pPr>
            <w:r>
              <w:rPr>
                <w:b w:val="false"/>
                <w:bCs w:val="false"/>
                <w:color w:val="000000"/>
                <w:sz w:val="20"/>
                <w:szCs w:val="20"/>
              </w:rPr>
              <w:t xml:space="preserve">8.787</w:t>
            </w:r>
          </w:p>
        </w:tc>
        <w:tc>
          <w:tcPr>
            <w:tcW w:type="dxa" w:w="334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jc w:val="center"/>
            </w:pPr>
            <w:r>
              <w:rPr>
                <w:b w:val="false"/>
                <w:bCs w:val="false"/>
                <w:color w:val="000000"/>
                <w:sz w:val="20"/>
                <w:szCs w:val="20"/>
              </w:rPr>
              <w:t xml:space="preserve">9.738</w:t>
            </w:r>
          </w:p>
        </w:tc>
      </w:tr>
      <w:tr>
        <w:trPr>
          <w:cantSplit/>
        </w:trPr>
        <w:tc>
          <w:tcPr>
            <w:tcW w:type="dxa" w:w="34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keepNext w:val="false"/>
              <w:jc w:val="left"/>
            </w:pPr>
            <w:r>
              <w:rPr>
                <w:b w:val="false"/>
                <w:bCs w:val="false"/>
                <w:color w:val="000000"/>
                <w:sz w:val="20"/>
                <w:szCs w:val="20"/>
              </w:rPr>
              <w:t xml:space="preserve">AR(3)</w:t>
            </w:r>
          </w:p>
        </w:tc>
        <w:tc>
          <w:tcPr>
            <w:tcW w:type="dxa" w:w="30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keepNext w:val="false"/>
              <w:jc w:val="center"/>
            </w:pPr>
            <w:r>
              <w:rPr>
                <w:b w:val="false"/>
                <w:bCs w:val="false"/>
                <w:color w:val="000000"/>
                <w:sz w:val="20"/>
                <w:szCs w:val="20"/>
              </w:rPr>
              <w:t xml:space="preserve">8.587</w:t>
            </w:r>
          </w:p>
        </w:tc>
        <w:tc>
          <w:tcPr>
            <w:tcW w:type="dxa" w:w="334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keepNext w:val="false"/>
              <w:jc w:val="center"/>
            </w:pPr>
            <w:r>
              <w:rPr>
                <w:b w:val="false"/>
                <w:bCs w:val="false"/>
                <w:color w:val="000000"/>
                <w:sz w:val="20"/>
                <w:szCs w:val="20"/>
              </w:rPr>
              <w:t xml:space="preserve">9.453</w:t>
            </w:r>
          </w:p>
        </w:tc>
      </w:tr>
    </w:tbl>
    <w:p>
      <w:pPr>
        <w:spacing w:after="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single" w:color="BFBFBF" w:sz="4"/>
              <w:left w:val="single" w:color="1F4E79" w:sz="24"/>
              <w:bottom w:val="single" w:color="BFBFBF" w:sz="4"/>
              <w:right w:val="single" w:color="BFBFBF" w:sz="4"/>
            </w:tcBorders>
            <w:shd w:fill="E2EFDA" w:color="auto" w:val="clear"/>
            <w:tcMar>
              <w:top w:type="dxa" w:w="100"/>
              <w:left w:type="dxa" w:w="180"/>
              <w:bottom w:type="dxa" w:w="100"/>
              <w:right w:type="dxa" w:w="180"/>
            </w:tcMar>
          </w:tcPr>
          <w:p>
            <w:pPr>
              <w:spacing w:after="60"/>
            </w:pPr>
            <w:r>
              <w:rPr>
                <w:b/>
                <w:bCs/>
                <w:color w:val="1F4E79"/>
              </w:rPr>
              <w:t xml:space="preserve">Answer to the Task 3 question: Which lag order fits best?</w:t>
            </w:r>
          </w:p>
          <w:p>
            <w:pPr>
              <w:spacing w:after="60" w:line="290"/>
            </w:pPr>
            <w:r>
              <w:rPr>
                <w:b/>
                <w:bCs/>
              </w:rPr>
              <w:t xml:space="preserve">AR(1) is the best</w:t>
            </w:r>
            <w:r>
              <w:t xml:space="preserve">, with the lowest errors (RMSE 6.417, MAPE 6.86%). This matches the PACF graph, where only lag 1 was clearly significant.</w:t>
            </w:r>
          </w:p>
          <w:p>
            <w:pPr>
              <w:spacing w:after="60" w:line="290"/>
            </w:pPr>
            <w:r>
              <w:t xml:space="preserve">Adding more lags (AR(2) and AR(3)) made the forecast worse, since the extra lags only add noise. Even the best AR model is weaker than Holt-Winters, because AR alone cannot handle trend and seasonality.</w:t>
            </w:r>
          </w:p>
        </w:tc>
      </w:tr>
    </w:tbl>
    <w:p>
      <w:pPr>
        <w:pStyle w:val="Heading1"/>
        <w:pageBreakBefore/>
      </w:pPr>
      <w:r>
        <w:t xml:space="preserve">7. Task 4: ARIMA Models</w:t>
      </w:r>
    </w:p>
    <w:p>
      <w:pPr>
        <w:pStyle w:val="Heading2"/>
      </w:pPr>
      <w:r>
        <w:t xml:space="preserve">The idea in simple words</w:t>
      </w:r>
    </w:p>
    <w:p>
      <w:pPr>
        <w:spacing w:after="120" w:line="300"/>
      </w:pPr>
      <w:r>
        <w:t xml:space="preserve">ARIMA stands for </w:t>
      </w:r>
      <w:r>
        <w:rPr>
          <w:b/>
          <w:bCs/>
        </w:rPr>
        <w:t xml:space="preserve">A</w:t>
      </w:r>
      <w:r>
        <w:t xml:space="preserve">uto</w:t>
      </w:r>
      <w:r>
        <w:rPr>
          <w:b/>
          <w:bCs/>
        </w:rPr>
        <w:t xml:space="preserve">R</w:t>
      </w:r>
      <w:r>
        <w:t xml:space="preserve">egressive </w:t>
      </w:r>
      <w:r>
        <w:rPr>
          <w:b/>
          <w:bCs/>
        </w:rPr>
        <w:t xml:space="preserve">I</w:t>
      </w:r>
      <w:r>
        <w:t xml:space="preserve">ntegrated </w:t>
      </w:r>
      <w:r>
        <w:rPr>
          <w:b/>
          <w:bCs/>
        </w:rPr>
        <w:t xml:space="preserve">M</w:t>
      </w:r>
      <w:r>
        <w:t xml:space="preserve">oving </w:t>
      </w:r>
      <w:r>
        <w:rPr>
          <w:b/>
          <w:bCs/>
        </w:rPr>
        <w:t xml:space="preserve">A</w:t>
      </w:r>
      <w:r>
        <w:t xml:space="preserve">verage. It has three settings, written as ARIMA(p, d, q):</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5946"/>
      </w:tblGrid>
      <w:tr>
        <w:trPr>
          <w:cantSplit/>
          <w:tblHeader/>
        </w:trPr>
        <w:tc>
          <w:tcPr>
            <w:tcW w:type="dxa" w:w="12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keepNext/>
              <w:jc w:val="left"/>
            </w:pPr>
            <w:r>
              <w:rPr>
                <w:b/>
                <w:bCs/>
                <w:color w:val="FFFFFF"/>
                <w:sz w:val="20"/>
                <w:szCs w:val="20"/>
              </w:rPr>
              <w:t xml:space="preserve">Letter</w:t>
            </w:r>
          </w:p>
        </w:tc>
        <w:tc>
          <w:tcPr>
            <w:tcW w:type="dxa" w:w="26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keepNext/>
              <w:jc w:val="center"/>
            </w:pPr>
            <w:r>
              <w:rPr>
                <w:b/>
                <w:bCs/>
                <w:color w:val="FFFFFF"/>
                <w:sz w:val="20"/>
                <w:szCs w:val="20"/>
              </w:rPr>
              <w:t xml:space="preserve">Name</w:t>
            </w:r>
          </w:p>
        </w:tc>
        <w:tc>
          <w:tcPr>
            <w:tcW w:type="dxa" w:w="594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keepNext/>
              <w:jc w:val="center"/>
            </w:pPr>
            <w:r>
              <w:rPr>
                <w:b/>
                <w:bCs/>
                <w:color w:val="FFFFFF"/>
                <w:sz w:val="20"/>
                <w:szCs w:val="20"/>
              </w:rPr>
              <w:t xml:space="preserve">Meaning</w:t>
            </w:r>
          </w:p>
        </w:tc>
      </w:tr>
      <w:tr>
        <w:trPr>
          <w:cantSplit/>
        </w:trPr>
        <w:tc>
          <w:tcPr>
            <w:tcW w:type="dxa" w:w="12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keepNext/>
              <w:jc w:val="left"/>
            </w:pPr>
            <w:r>
              <w:rPr>
                <w:b w:val="false"/>
                <w:bCs w:val="false"/>
                <w:color w:val="000000"/>
                <w:sz w:val="20"/>
                <w:szCs w:val="20"/>
              </w:rPr>
              <w:t xml:space="preserve">p</w:t>
            </w:r>
          </w:p>
        </w:tc>
        <w:tc>
          <w:tcPr>
            <w:tcW w:type="dxa" w:w="26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keepNext/>
              <w:jc w:val="center"/>
            </w:pPr>
            <w:r>
              <w:rPr>
                <w:b w:val="false"/>
                <w:bCs w:val="false"/>
                <w:color w:val="000000"/>
                <w:sz w:val="20"/>
                <w:szCs w:val="20"/>
              </w:rPr>
              <w:t xml:space="preserve">AR order</w:t>
            </w:r>
          </w:p>
        </w:tc>
        <w:tc>
          <w:tcPr>
            <w:tcW w:type="dxa" w:w="594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keepNext/>
              <w:jc w:val="center"/>
            </w:pPr>
            <w:r>
              <w:rPr>
                <w:b w:val="false"/>
                <w:bCs w:val="false"/>
                <w:color w:val="000000"/>
                <w:sz w:val="20"/>
                <w:szCs w:val="20"/>
              </w:rPr>
              <w:t xml:space="preserve">How many past values are used</w:t>
            </w:r>
          </w:p>
        </w:tc>
      </w:tr>
      <w:tr>
        <w:trPr>
          <w:cantSplit/>
        </w:trPr>
        <w:tc>
          <w:tcPr>
            <w:tcW w:type="dxa" w:w="1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jc w:val="left"/>
            </w:pPr>
            <w:r>
              <w:rPr>
                <w:b w:val="false"/>
                <w:bCs w:val="false"/>
                <w:color w:val="000000"/>
                <w:sz w:val="20"/>
                <w:szCs w:val="20"/>
              </w:rPr>
              <w:t xml:space="preserve">d</w:t>
            </w:r>
          </w:p>
        </w:tc>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jc w:val="center"/>
            </w:pPr>
            <w:r>
              <w:rPr>
                <w:b w:val="false"/>
                <w:bCs w:val="false"/>
                <w:color w:val="000000"/>
                <w:sz w:val="20"/>
                <w:szCs w:val="20"/>
              </w:rPr>
              <w:t xml:space="preserve">Differencing</w:t>
            </w:r>
          </w:p>
        </w:tc>
        <w:tc>
          <w:tcPr>
            <w:tcW w:type="dxa" w:w="594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jc w:val="center"/>
            </w:pPr>
            <w:r>
              <w:rPr>
                <w:b w:val="false"/>
                <w:bCs w:val="false"/>
                <w:color w:val="000000"/>
                <w:sz w:val="20"/>
                <w:szCs w:val="20"/>
              </w:rPr>
              <w:t xml:space="preserve">How many times we subtract the previous value to remove the trend</w:t>
            </w:r>
          </w:p>
        </w:tc>
      </w:tr>
      <w:tr>
        <w:trPr>
          <w:cantSplit/>
        </w:trPr>
        <w:tc>
          <w:tcPr>
            <w:tcW w:type="dxa" w:w="12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keepNext w:val="false"/>
              <w:jc w:val="left"/>
            </w:pPr>
            <w:r>
              <w:rPr>
                <w:b w:val="false"/>
                <w:bCs w:val="false"/>
                <w:color w:val="000000"/>
                <w:sz w:val="20"/>
                <w:szCs w:val="20"/>
              </w:rPr>
              <w:t xml:space="preserve">q</w:t>
            </w:r>
          </w:p>
        </w:tc>
        <w:tc>
          <w:tcPr>
            <w:tcW w:type="dxa" w:w="26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keepNext w:val="false"/>
              <w:jc w:val="center"/>
            </w:pPr>
            <w:r>
              <w:rPr>
                <w:b w:val="false"/>
                <w:bCs w:val="false"/>
                <w:color w:val="000000"/>
                <w:sz w:val="20"/>
                <w:szCs w:val="20"/>
              </w:rPr>
              <w:t xml:space="preserve">MA order</w:t>
            </w:r>
          </w:p>
        </w:tc>
        <w:tc>
          <w:tcPr>
            <w:tcW w:type="dxa" w:w="594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keepNext w:val="false"/>
              <w:jc w:val="center"/>
            </w:pPr>
            <w:r>
              <w:rPr>
                <w:b w:val="false"/>
                <w:bCs w:val="false"/>
                <w:color w:val="000000"/>
                <w:sz w:val="20"/>
                <w:szCs w:val="20"/>
              </w:rPr>
              <w:t xml:space="preserve">How many past forecast errors are used</w:t>
            </w:r>
          </w:p>
        </w:tc>
      </w:tr>
    </w:tbl>
    <w:p>
      <w:pPr>
        <w:spacing w:after="80"/>
      </w:pPr>
    </w:p>
    <w:p>
      <w:pPr>
        <w:spacing w:after="120" w:line="300"/>
      </w:pPr>
      <w:r>
        <w:t xml:space="preserve">ARIMA works only on </w:t>
      </w:r>
      <w:r>
        <w:rPr>
          <w:b/>
          <w:bCs/>
        </w:rPr>
        <w:t xml:space="preserve">stationary</w:t>
      </w:r>
      <w:r>
        <w:t xml:space="preserve"> data. A stationary series is one whose average and spread stay steady over time, without a trend. Our sales keep growing, so they are probably not stationary. To follow the </w:t>
      </w:r>
      <w:r>
        <w:rPr>
          <w:b/>
          <w:bCs/>
        </w:rPr>
        <w:t xml:space="preserve">Box-Jenkins method</w:t>
      </w:r>
      <w:r>
        <w:t xml:space="preserve">, we do the following steps in order: check stationarity, identify p, d, q, estimate (fit) the model, and check the residuals (diagnostics).</w:t>
      </w:r>
    </w:p>
    <w:p>
      <w:pPr>
        <w:pStyle w:val="Heading2"/>
      </w:pPr>
      <w:r>
        <w:t xml:space="preserve">Step 18: Check stationarity with the ADF test (Cell 24)</w:t>
      </w:r>
    </w:p>
    <w:p>
      <w:pPr>
        <w:spacing w:after="120" w:line="300"/>
      </w:pPr>
      <w:r>
        <w:t xml:space="preserve">The ADF (Augmented Dickey-Fuller) test gives a p-value. The rule is simple: </w:t>
      </w:r>
      <w:r>
        <w:rPr>
          <w:b/>
          <w:bCs/>
        </w:rPr>
        <w:t xml:space="preserve">if p-value is 0.05 or below, the series is stationary. If it is above 0.05, it is not stationary.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800"/>
        <w:gridCol w:w="2100"/>
        <w:gridCol w:w="2200"/>
        <w:gridCol w:w="2646"/>
      </w:tblGrid>
      <w:tr>
        <w:trPr>
          <w:cantSplit/>
          <w:tblHeader/>
        </w:trPr>
        <w:tc>
          <w:tcPr>
            <w:tcW w:type="dxa" w:w="28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keepNext/>
              <w:jc w:val="left"/>
            </w:pPr>
            <w:r>
              <w:rPr>
                <w:b/>
                <w:bCs/>
                <w:color w:val="FFFFFF"/>
                <w:sz w:val="20"/>
                <w:szCs w:val="20"/>
              </w:rPr>
              <w:t xml:space="preserve">Series</w:t>
            </w:r>
          </w:p>
        </w:tc>
        <w:tc>
          <w:tcPr>
            <w:tcW w:type="dxa" w:w="21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keepNext/>
              <w:jc w:val="center"/>
            </w:pPr>
            <w:r>
              <w:rPr>
                <w:b/>
                <w:bCs/>
                <w:color w:val="FFFFFF"/>
                <w:sz w:val="20"/>
                <w:szCs w:val="20"/>
              </w:rPr>
              <w:t xml:space="preserve">ADF Statistic</w:t>
            </w:r>
          </w:p>
        </w:tc>
        <w:tc>
          <w:tcPr>
            <w:tcW w:type="dxa" w:w="22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keepNext/>
              <w:jc w:val="center"/>
            </w:pPr>
            <w:r>
              <w:rPr>
                <w:b/>
                <w:bCs/>
                <w:color w:val="FFFFFF"/>
                <w:sz w:val="20"/>
                <w:szCs w:val="20"/>
              </w:rPr>
              <w:t xml:space="preserve">p-value</w:t>
            </w:r>
          </w:p>
        </w:tc>
        <w:tc>
          <w:tcPr>
            <w:tcW w:type="dxa" w:w="264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keepNext/>
              <w:jc w:val="center"/>
            </w:pPr>
            <w:r>
              <w:rPr>
                <w:b/>
                <w:bCs/>
                <w:color w:val="FFFFFF"/>
                <w:sz w:val="20"/>
                <w:szCs w:val="20"/>
              </w:rPr>
              <w:t xml:space="preserve">Conclusion</w:t>
            </w:r>
          </w:p>
        </w:tc>
      </w:tr>
      <w:tr>
        <w:trPr>
          <w:cantSplit/>
        </w:trPr>
        <w:tc>
          <w:tcPr>
            <w:tcW w:type="dxa" w:w="28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keepNext/>
              <w:jc w:val="left"/>
            </w:pPr>
            <w:r>
              <w:rPr>
                <w:b w:val="false"/>
                <w:bCs w:val="false"/>
                <w:color w:val="000000"/>
                <w:sz w:val="20"/>
                <w:szCs w:val="20"/>
              </w:rPr>
              <w:t xml:space="preserve">Original training data</w:t>
            </w:r>
          </w:p>
        </w:tc>
        <w:tc>
          <w:tcPr>
            <w:tcW w:type="dxa" w:w="21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keepNext/>
              <w:jc w:val="center"/>
            </w:pPr>
            <w:r>
              <w:rPr>
                <w:b w:val="false"/>
                <w:bCs w:val="false"/>
                <w:color w:val="000000"/>
                <w:sz w:val="20"/>
                <w:szCs w:val="20"/>
              </w:rPr>
              <w:t xml:space="preserve">0.470</w:t>
            </w:r>
          </w:p>
        </w:tc>
        <w:tc>
          <w:tcPr>
            <w:tcW w:type="dxa" w:w="22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keepNext/>
              <w:jc w:val="center"/>
            </w:pPr>
            <w:r>
              <w:rPr>
                <w:b w:val="false"/>
                <w:bCs w:val="false"/>
                <w:color w:val="000000"/>
                <w:sz w:val="20"/>
                <w:szCs w:val="20"/>
              </w:rPr>
              <w:t xml:space="preserve">0.984</w:t>
            </w:r>
          </w:p>
        </w:tc>
        <w:tc>
          <w:tcPr>
            <w:tcW w:type="dxa" w:w="264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keepNext/>
              <w:jc w:val="center"/>
            </w:pPr>
            <w:r>
              <w:rPr>
                <w:b w:val="false"/>
                <w:bCs w:val="false"/>
                <w:color w:val="000000"/>
                <w:sz w:val="20"/>
                <w:szCs w:val="20"/>
              </w:rPr>
              <w:t xml:space="preserve">Not stationary</w:t>
            </w:r>
          </w:p>
        </w:tc>
      </w:tr>
      <w:tr>
        <w:trPr>
          <w:cantSplit/>
        </w:trPr>
        <w:tc>
          <w:tcPr>
            <w:tcW w:type="dxa" w:w="2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val="false"/>
              <w:jc w:val="left"/>
            </w:pPr>
            <w:r>
              <w:rPr>
                <w:b w:val="false"/>
                <w:bCs w:val="false"/>
                <w:color w:val="000000"/>
                <w:sz w:val="20"/>
                <w:szCs w:val="20"/>
              </w:rPr>
              <w:t xml:space="preserve">After first differencing</w:t>
            </w:r>
          </w:p>
        </w:tc>
        <w:tc>
          <w:tcPr>
            <w:tcW w:type="dxa" w:w="21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val="false"/>
              <w:jc w:val="center"/>
            </w:pPr>
            <w:r>
              <w:rPr>
                <w:b w:val="false"/>
                <w:bCs w:val="false"/>
                <w:color w:val="000000"/>
                <w:sz w:val="20"/>
                <w:szCs w:val="20"/>
              </w:rPr>
              <w:t xml:space="preserve">-7.216</w:t>
            </w:r>
          </w:p>
        </w:tc>
        <w:tc>
          <w:tcPr>
            <w:tcW w:type="dxa" w:w="2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val="false"/>
              <w:jc w:val="center"/>
            </w:pPr>
            <w:r>
              <w:rPr>
                <w:b w:val="false"/>
                <w:bCs w:val="false"/>
                <w:color w:val="000000"/>
                <w:sz w:val="20"/>
                <w:szCs w:val="20"/>
              </w:rPr>
              <w:t xml:space="preserve">0.0000000002</w:t>
            </w:r>
          </w:p>
        </w:tc>
        <w:tc>
          <w:tcPr>
            <w:tcW w:type="dxa" w:w="264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val="false"/>
              <w:jc w:val="center"/>
            </w:pPr>
            <w:r>
              <w:rPr>
                <w:b w:val="false"/>
                <w:bCs w:val="false"/>
                <w:color w:val="000000"/>
                <w:sz w:val="20"/>
                <w:szCs w:val="20"/>
              </w:rPr>
              <w:t xml:space="preserve">Stationary</w:t>
            </w:r>
          </w:p>
        </w:tc>
      </w:tr>
    </w:tbl>
    <w:p>
      <w:pPr>
        <w:spacing w:after="80"/>
      </w:pPr>
    </w:p>
    <w:p>
      <w:pPr>
        <w:spacing w:after="120" w:line="300"/>
      </w:pPr>
      <w:r>
        <w:t xml:space="preserve">The original data has a p-value of 0.98, which is far above 0.05, so it is </w:t>
      </w:r>
      <w:r>
        <w:rPr>
          <w:b/>
          <w:bCs/>
        </w:rPr>
        <w:t xml:space="preserve">not stationary</w:t>
      </w:r>
      <w:r>
        <w:t xml:space="preserve">.</w:t>
      </w:r>
    </w:p>
    <w:p>
      <w:pPr>
        <w:pStyle w:val="Heading2"/>
      </w:pPr>
      <w:r>
        <w:t xml:space="preserve">Step 19: Differencing (Cells 25, 26, 27)</w:t>
      </w:r>
    </w:p>
    <w:p>
      <w:pPr>
        <w:spacing w:after="120" w:line="300"/>
      </w:pPr>
      <w:r>
        <w:t xml:space="preserve">Differencing means replacing each value by "this month minus last month". This removes the upward trend. The notebook plots the differenced series and repeats the ADF test.</w:t>
      </w:r>
    </w:p>
    <w:p>
      <w:pPr>
        <w:keepNext/>
        <w:spacing w:after="60" w:before="120"/>
        <w:jc w:val="center"/>
      </w:pPr>
      <w:r>
        <w:drawing>
          <wp:inline distT="0" distB="0" distL="0" distR="0">
            <wp:extent cx="5715000" cy="2314575"/>
            <wp:effectExtent t="0" r="0" b="0" l="0"/>
            <wp:docPr id="1" name="Figure 5: First differenced sales series" descr="Figure 5: First differenced sales series" title="Figure 5: First differenced sales ser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314575"/>
                    </a:xfrm>
                    <a:prstGeom prst="rect">
                      <a:avLst/>
                    </a:prstGeom>
                  </pic:spPr>
                </pic:pic>
              </a:graphicData>
            </a:graphic>
          </wp:inline>
        </w:drawing>
      </w:r>
    </w:p>
    <w:p>
      <w:pPr>
        <w:spacing w:after="200"/>
        <w:jc w:val="center"/>
      </w:pPr>
      <w:r>
        <w:rPr>
          <w:i/>
          <w:iCs/>
          <w:color w:val="595959"/>
          <w:sz w:val="19"/>
          <w:szCs w:val="19"/>
        </w:rPr>
        <w:t xml:space="preserve">Figure 5: First differenced sales series</w:t>
      </w:r>
    </w:p>
    <w:p>
      <w:pPr>
        <w:spacing w:after="120" w:line="300"/>
      </w:pPr>
      <w:r>
        <w:t xml:space="preserve">After one differencing the graph moves around a steady middle value (zero) without any upward drift, and the p-value becomes almost zero, so the series is now </w:t>
      </w:r>
      <w:r>
        <w:rPr>
          <w:b/>
          <w:bCs/>
        </w:rPr>
        <w:t xml:space="preserve">stationary</w:t>
      </w:r>
      <w:r>
        <w:t xml:space="preserve">. The notebook then automatically picks </w:t>
      </w:r>
      <w:r>
        <w:rPr>
          <w:b/>
          <w:bCs/>
        </w:rPr>
        <w:t xml:space="preserve">d = 1</w:t>
      </w:r>
      <w:r>
        <w:t xml:space="preserve"> because one round of differencing was enough.</w:t>
      </w:r>
    </w:p>
    <w:p>
      <w:pPr>
        <w:pStyle w:val="Heading2"/>
      </w:pPr>
      <w:r>
        <w:t xml:space="preserve">Step 20: Identification, choosing p and q from ACF/PACF (Cell 28)</w:t>
      </w:r>
    </w:p>
    <w:p>
      <w:pPr>
        <w:spacing w:after="120" w:line="300"/>
      </w:pPr>
      <w:r>
        <w:t xml:space="preserve">Now the ACF and PACF graphs are drawn again, but on the differenced data, to guess suitable p and q values.</w:t>
      </w:r>
    </w:p>
    <w:p>
      <w:pPr>
        <w:keepNext/>
        <w:spacing w:after="60" w:before="120"/>
        <w:jc w:val="center"/>
      </w:pPr>
      <w:r>
        <w:drawing>
          <wp:inline distT="0" distB="0" distL="0" distR="0">
            <wp:extent cx="4953000" cy="3705225"/>
            <wp:effectExtent t="0" r="0" b="0" l="0"/>
            <wp:docPr id="1" name="Figure 6: ACF and PACF of the differenced series (for ARIMA identification)" descr="Figure 6: ACF and PACF of the differenced series (for ARIMA identification)" title="Figure 6: ACF and PACF of the differenced series (for ARIMA identif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953000" cy="3705225"/>
                    </a:xfrm>
                    <a:prstGeom prst="rect">
                      <a:avLst/>
                    </a:prstGeom>
                  </pic:spPr>
                </pic:pic>
              </a:graphicData>
            </a:graphic>
          </wp:inline>
        </w:drawing>
      </w:r>
    </w:p>
    <w:p>
      <w:pPr>
        <w:spacing w:after="200"/>
        <w:jc w:val="center"/>
      </w:pPr>
      <w:r>
        <w:rPr>
          <w:i/>
          <w:iCs/>
          <w:color w:val="595959"/>
          <w:sz w:val="19"/>
          <w:szCs w:val="19"/>
        </w:rPr>
        <w:t xml:space="preserve">Figure 6: ACF and PACF of the differenced series (for ARIMA identification)</w:t>
      </w:r>
    </w:p>
    <w:p>
      <w:pPr>
        <w:spacing w:after="120" w:line="300"/>
      </w:pPr>
      <w:r>
        <w:t xml:space="preserve">Several bars around lags 3, 4 and 8 cross the blue zone, which suggests that a fairly big model with lags up to 3 or 4 might be needed. Because reading p and q by eye is difficult, the notebook does not rely on the graphs alone, and tests many combinations in the next step.</w:t>
      </w:r>
    </w:p>
    <w:p>
      <w:pPr>
        <w:pStyle w:val="Heading2"/>
      </w:pPr>
      <w:r>
        <w:t xml:space="preserve">Step 21: Estimation, fit many ARIMA models (Cells 29, 30, 31)</w:t>
      </w:r>
    </w:p>
    <w:p>
      <w:pPr>
        <w:spacing w:after="120" w:line="300"/>
      </w:pPr>
      <w:r>
        <w:t xml:space="preserve">The notebook fits ARIMA models for every combination of p from 0 to 3 and q from 0 to 3, with d = 1, which is 16 models. It records AIC (a score where lower is better and which penalises complicated models), RMSE and MAPE. The top results are: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2200"/>
        <w:gridCol w:w="2346"/>
      </w:tblGrid>
      <w:tr>
        <w:trPr>
          <w:cantSplit/>
          <w:tblHeader/>
        </w:trPr>
        <w:tc>
          <w:tcPr>
            <w:tcW w:type="dxa" w:w="30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keepNext/>
              <w:jc w:val="left"/>
            </w:pPr>
            <w:r>
              <w:rPr>
                <w:b/>
                <w:bCs/>
                <w:color w:val="FFFFFF"/>
                <w:sz w:val="20"/>
                <w:szCs w:val="20"/>
              </w:rPr>
              <w:t xml:space="preserve">ARIMA(p,d,q)</w:t>
            </w:r>
          </w:p>
        </w:tc>
        <w:tc>
          <w:tcPr>
            <w:tcW w:type="dxa" w:w="22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keepNext/>
              <w:jc w:val="center"/>
            </w:pPr>
            <w:r>
              <w:rPr>
                <w:b/>
                <w:bCs/>
                <w:color w:val="FFFFFF"/>
                <w:sz w:val="20"/>
                <w:szCs w:val="20"/>
              </w:rPr>
              <w:t xml:space="preserve">AIC</w:t>
            </w:r>
          </w:p>
        </w:tc>
        <w:tc>
          <w:tcPr>
            <w:tcW w:type="dxa" w:w="22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keepNext/>
              <w:jc w:val="center"/>
            </w:pPr>
            <w:r>
              <w:rPr>
                <w:b/>
                <w:bCs/>
                <w:color w:val="FFFFFF"/>
                <w:sz w:val="20"/>
                <w:szCs w:val="20"/>
              </w:rPr>
              <w:t xml:space="preserve">RMSE</w:t>
            </w:r>
          </w:p>
        </w:tc>
        <w:tc>
          <w:tcPr>
            <w:tcW w:type="dxa" w:w="234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keepNext/>
              <w:jc w:val="center"/>
            </w:pPr>
            <w:r>
              <w:rPr>
                <w:b/>
                <w:bCs/>
                <w:color w:val="FFFFFF"/>
                <w:sz w:val="20"/>
                <w:szCs w:val="20"/>
              </w:rPr>
              <w:t xml:space="preserve">MAPE (%)</w:t>
            </w:r>
          </w:p>
        </w:tc>
      </w:tr>
      <w:tr>
        <w:trPr>
          <w:cantSplit/>
        </w:trPr>
        <w:tc>
          <w:tcPr>
            <w:tcW w:type="dxa" w:w="30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pPr>
              <w:keepNext/>
              <w:jc w:val="left"/>
            </w:pPr>
            <w:r>
              <w:rPr>
                <w:b w:val="false"/>
                <w:bCs w:val="false"/>
                <w:color w:val="000000"/>
                <w:sz w:val="20"/>
                <w:szCs w:val="20"/>
              </w:rPr>
              <w:t xml:space="preserve">(3,1,3)</w:t>
            </w:r>
          </w:p>
        </w:tc>
        <w:tc>
          <w:tcPr>
            <w:tcW w:type="dxa" w:w="22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pPr>
              <w:keepNext/>
              <w:jc w:val="center"/>
            </w:pPr>
            <w:r>
              <w:rPr>
                <w:b w:val="false"/>
                <w:bCs w:val="false"/>
                <w:color w:val="000000"/>
                <w:sz w:val="20"/>
                <w:szCs w:val="20"/>
              </w:rPr>
              <w:t xml:space="preserve">255.82</w:t>
            </w:r>
          </w:p>
        </w:tc>
        <w:tc>
          <w:tcPr>
            <w:tcW w:type="dxa" w:w="22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pPr>
              <w:keepNext/>
              <w:jc w:val="center"/>
            </w:pPr>
            <w:r>
              <w:rPr>
                <w:b w:val="false"/>
                <w:bCs w:val="false"/>
                <w:color w:val="000000"/>
                <w:sz w:val="20"/>
                <w:szCs w:val="20"/>
              </w:rPr>
              <w:t xml:space="preserve">2.928</w:t>
            </w:r>
          </w:p>
        </w:tc>
        <w:tc>
          <w:tcPr>
            <w:tcW w:type="dxa" w:w="2346"/>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pPr>
              <w:keepNext/>
              <w:jc w:val="center"/>
            </w:pPr>
            <w:r>
              <w:rPr>
                <w:b w:val="false"/>
                <w:bCs w:val="false"/>
                <w:color w:val="000000"/>
                <w:sz w:val="20"/>
                <w:szCs w:val="20"/>
              </w:rPr>
              <w:t xml:space="preserve">3.374</w:t>
            </w:r>
          </w:p>
        </w:tc>
      </w:tr>
      <w:tr>
        <w:trPr>
          <w:cantSplit/>
        </w:trPr>
        <w:tc>
          <w:tcPr>
            <w:tcW w:type="dxa" w:w="3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jc w:val="left"/>
            </w:pPr>
            <w:r>
              <w:rPr>
                <w:b w:val="false"/>
                <w:bCs w:val="false"/>
                <w:color w:val="000000"/>
                <w:sz w:val="20"/>
                <w:szCs w:val="20"/>
              </w:rPr>
              <w:t xml:space="preserve">(2,1,2)</w:t>
            </w:r>
          </w:p>
        </w:tc>
        <w:tc>
          <w:tcPr>
            <w:tcW w:type="dxa" w:w="2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jc w:val="center"/>
            </w:pPr>
            <w:r>
              <w:rPr>
                <w:b w:val="false"/>
                <w:bCs w:val="false"/>
                <w:color w:val="000000"/>
                <w:sz w:val="20"/>
                <w:szCs w:val="20"/>
              </w:rPr>
              <w:t xml:space="preserve">255.06</w:t>
            </w:r>
          </w:p>
        </w:tc>
        <w:tc>
          <w:tcPr>
            <w:tcW w:type="dxa" w:w="2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jc w:val="center"/>
            </w:pPr>
            <w:r>
              <w:rPr>
                <w:b w:val="false"/>
                <w:bCs w:val="false"/>
                <w:color w:val="000000"/>
                <w:sz w:val="20"/>
                <w:szCs w:val="20"/>
              </w:rPr>
              <w:t xml:space="preserve">3.100</w:t>
            </w:r>
          </w:p>
        </w:tc>
        <w:tc>
          <w:tcPr>
            <w:tcW w:type="dxa" w:w="234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jc w:val="center"/>
            </w:pPr>
            <w:r>
              <w:rPr>
                <w:b w:val="false"/>
                <w:bCs w:val="false"/>
                <w:color w:val="000000"/>
                <w:sz w:val="20"/>
                <w:szCs w:val="20"/>
              </w:rPr>
              <w:t xml:space="preserve">3.628</w:t>
            </w:r>
          </w:p>
        </w:tc>
      </w:tr>
      <w:tr>
        <w:trPr>
          <w:cantSplit/>
        </w:trPr>
        <w:tc>
          <w:tcPr>
            <w:tcW w:type="dxa" w:w="30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keepNext/>
              <w:jc w:val="left"/>
            </w:pPr>
            <w:r>
              <w:rPr>
                <w:b w:val="false"/>
                <w:bCs w:val="false"/>
                <w:color w:val="000000"/>
                <w:sz w:val="20"/>
                <w:szCs w:val="20"/>
              </w:rPr>
              <w:t xml:space="preserve">(3,1,2)</w:t>
            </w:r>
          </w:p>
        </w:tc>
        <w:tc>
          <w:tcPr>
            <w:tcW w:type="dxa" w:w="22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keepNext/>
              <w:jc w:val="center"/>
            </w:pPr>
            <w:r>
              <w:rPr>
                <w:b w:val="false"/>
                <w:bCs w:val="false"/>
                <w:color w:val="000000"/>
                <w:sz w:val="20"/>
                <w:szCs w:val="20"/>
              </w:rPr>
              <w:t xml:space="preserve">256.43</w:t>
            </w:r>
          </w:p>
        </w:tc>
        <w:tc>
          <w:tcPr>
            <w:tcW w:type="dxa" w:w="22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keepNext/>
              <w:jc w:val="center"/>
            </w:pPr>
            <w:r>
              <w:rPr>
                <w:b w:val="false"/>
                <w:bCs w:val="false"/>
                <w:color w:val="000000"/>
                <w:sz w:val="20"/>
                <w:szCs w:val="20"/>
              </w:rPr>
              <w:t xml:space="preserve">3.449</w:t>
            </w:r>
          </w:p>
        </w:tc>
        <w:tc>
          <w:tcPr>
            <w:tcW w:type="dxa" w:w="234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keepNext/>
              <w:jc w:val="center"/>
            </w:pPr>
            <w:r>
              <w:rPr>
                <w:b w:val="false"/>
                <w:bCs w:val="false"/>
                <w:color w:val="000000"/>
                <w:sz w:val="20"/>
                <w:szCs w:val="20"/>
              </w:rPr>
              <w:t xml:space="preserve">3.825</w:t>
            </w:r>
          </w:p>
        </w:tc>
      </w:tr>
      <w:tr>
        <w:trPr>
          <w:cantSplit/>
        </w:trPr>
        <w:tc>
          <w:tcPr>
            <w:tcW w:type="dxa" w:w="3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jc w:val="left"/>
            </w:pPr>
            <w:r>
              <w:rPr>
                <w:b w:val="false"/>
                <w:bCs w:val="false"/>
                <w:color w:val="000000"/>
                <w:sz w:val="20"/>
                <w:szCs w:val="20"/>
              </w:rPr>
              <w:t xml:space="preserve">(3,1,0)</w:t>
            </w:r>
          </w:p>
        </w:tc>
        <w:tc>
          <w:tcPr>
            <w:tcW w:type="dxa" w:w="2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jc w:val="center"/>
            </w:pPr>
            <w:r>
              <w:rPr>
                <w:b w:val="false"/>
                <w:bCs w:val="false"/>
                <w:color w:val="000000"/>
                <w:sz w:val="20"/>
                <w:szCs w:val="20"/>
              </w:rPr>
              <w:t xml:space="preserve">262.37</w:t>
            </w:r>
          </w:p>
        </w:tc>
        <w:tc>
          <w:tcPr>
            <w:tcW w:type="dxa" w:w="2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jc w:val="center"/>
            </w:pPr>
            <w:r>
              <w:rPr>
                <w:b w:val="false"/>
                <w:bCs w:val="false"/>
                <w:color w:val="000000"/>
                <w:sz w:val="20"/>
                <w:szCs w:val="20"/>
              </w:rPr>
              <w:t xml:space="preserve">4.541</w:t>
            </w:r>
          </w:p>
        </w:tc>
        <w:tc>
          <w:tcPr>
            <w:tcW w:type="dxa" w:w="234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jc w:val="center"/>
            </w:pPr>
            <w:r>
              <w:rPr>
                <w:b w:val="false"/>
                <w:bCs w:val="false"/>
                <w:color w:val="000000"/>
                <w:sz w:val="20"/>
                <w:szCs w:val="20"/>
              </w:rPr>
              <w:t xml:space="preserve">5.397</w:t>
            </w:r>
          </w:p>
        </w:tc>
      </w:tr>
      <w:tr>
        <w:trPr>
          <w:cantSplit/>
        </w:trPr>
        <w:tc>
          <w:tcPr>
            <w:tcW w:type="dxa" w:w="30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keepNext w:val="false"/>
              <w:jc w:val="left"/>
            </w:pPr>
            <w:r>
              <w:rPr>
                <w:b w:val="false"/>
                <w:bCs w:val="false"/>
                <w:color w:val="000000"/>
                <w:sz w:val="20"/>
                <w:szCs w:val="20"/>
              </w:rPr>
              <w:t xml:space="preserve">(2,1,0)</w:t>
            </w:r>
          </w:p>
        </w:tc>
        <w:tc>
          <w:tcPr>
            <w:tcW w:type="dxa" w:w="22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keepNext w:val="false"/>
              <w:jc w:val="center"/>
            </w:pPr>
            <w:r>
              <w:rPr>
                <w:b w:val="false"/>
                <w:bCs w:val="false"/>
                <w:color w:val="000000"/>
                <w:sz w:val="20"/>
                <w:szCs w:val="20"/>
              </w:rPr>
              <w:t xml:space="preserve">264.40</w:t>
            </w:r>
          </w:p>
        </w:tc>
        <w:tc>
          <w:tcPr>
            <w:tcW w:type="dxa" w:w="22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keepNext w:val="false"/>
              <w:jc w:val="center"/>
            </w:pPr>
            <w:r>
              <w:rPr>
                <w:b w:val="false"/>
                <w:bCs w:val="false"/>
                <w:color w:val="000000"/>
                <w:sz w:val="20"/>
                <w:szCs w:val="20"/>
              </w:rPr>
              <w:t xml:space="preserve">4.591</w:t>
            </w:r>
          </w:p>
        </w:tc>
        <w:tc>
          <w:tcPr>
            <w:tcW w:type="dxa" w:w="234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keepNext w:val="false"/>
              <w:jc w:val="center"/>
            </w:pPr>
            <w:r>
              <w:rPr>
                <w:b w:val="false"/>
                <w:bCs w:val="false"/>
                <w:color w:val="000000"/>
                <w:sz w:val="20"/>
                <w:szCs w:val="20"/>
              </w:rPr>
              <w:t xml:space="preserve">4.718</w:t>
            </w:r>
          </w:p>
        </w:tc>
      </w:tr>
    </w:tbl>
    <w:p>
      <w:pPr>
        <w:spacing w:after="80"/>
      </w:pPr>
    </w:p>
    <w:p>
      <w:pPr>
        <w:spacing w:after="120" w:line="300"/>
      </w:pPr>
      <w:r>
        <w:t xml:space="preserve">The model with the lowest RMSE is </w:t>
      </w:r>
      <w:r>
        <w:rPr>
          <w:b/>
          <w:bCs/>
        </w:rPr>
        <w:t xml:space="preserve">ARIMA(3,1,3)</w:t>
      </w:r>
      <w:r>
        <w:t xml:space="preserve">, with RMSE 2.928 and MAPE 3.37%. (Note: ARIMA(2,1,2) has a slightly lower AIC, so it is a simpler model that is almost as good. The notebook chose the model by RMSE on the test data.)</w:t>
      </w:r>
    </w:p>
    <w:p>
      <w:pPr>
        <w:pStyle w:val="Heading2"/>
      </w:pPr>
      <w:r>
        <w:t xml:space="preserve">Step 22: Diagnostic check, residual analysis (Cells 32 and 33)</w:t>
      </w:r>
    </w:p>
    <w:p>
      <w:pPr>
        <w:spacing w:after="120" w:line="300"/>
      </w:pPr>
      <w:r>
        <w:t xml:space="preserve">Residuals are the leftover errors, the difference between the real value and what the model fitted. If the model has captured all the useful patterns, the residuals should look like </w:t>
      </w:r>
      <w:r>
        <w:rPr>
          <w:b/>
          <w:bCs/>
        </w:rPr>
        <w:t xml:space="preserve">pure random noise</w:t>
      </w:r>
      <w:r>
        <w:t xml:space="preserve">: no pattern, centred around zero, and with no relationship between one residual and the next.</w:t>
      </w:r>
    </w:p>
    <w:p>
      <w:pPr>
        <w:keepNext/>
        <w:spacing w:after="60" w:before="120"/>
        <w:jc w:val="center"/>
      </w:pPr>
      <w:r>
        <w:drawing>
          <wp:inline distT="0" distB="0" distL="0" distR="0">
            <wp:extent cx="5715000" cy="2324100"/>
            <wp:effectExtent t="0" r="0" b="0" l="0"/>
            <wp:docPr id="1" name="Figure 7: ARIMA residuals over time" descr="Figure 7: ARIMA residuals over time" title="Figure 7: ARIMA residuals over ti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2324100"/>
                    </a:xfrm>
                    <a:prstGeom prst="rect">
                      <a:avLst/>
                    </a:prstGeom>
                  </pic:spPr>
                </pic:pic>
              </a:graphicData>
            </a:graphic>
          </wp:inline>
        </w:drawing>
      </w:r>
    </w:p>
    <w:p>
      <w:pPr>
        <w:spacing w:after="200"/>
        <w:jc w:val="center"/>
      </w:pPr>
      <w:r>
        <w:rPr>
          <w:i/>
          <w:iCs/>
          <w:color w:val="595959"/>
          <w:sz w:val="19"/>
          <w:szCs w:val="19"/>
        </w:rPr>
        <w:t xml:space="preserve">Figure 7: ARIMA residuals over time</w:t>
      </w:r>
    </w:p>
    <w:p>
      <w:pPr>
        <w:spacing w:after="120" w:line="300"/>
      </w:pPr>
      <w:r>
        <w:t xml:space="preserve">In Figure 7 the residuals move randomly around zero for almost the whole period. The one tall spike at the very start (January 2020) is not a real error. It happens because the model has no earlier month to compare with at the beginning, so it can be ignored.</w:t>
      </w:r>
    </w:p>
    <w:p>
      <w:pPr>
        <w:keepNext/>
        <w:spacing w:after="60" w:before="120"/>
        <w:jc w:val="center"/>
      </w:pPr>
      <w:r>
        <w:drawing>
          <wp:inline distT="0" distB="0" distL="0" distR="0">
            <wp:extent cx="3619500" cy="2762250"/>
            <wp:effectExtent t="0" r="0" b="0" l="0"/>
            <wp:docPr id="1" name="Figure 8: ACF of the ARIMA residuals" descr="Figure 8: ACF of the ARIMA residuals" title="Figure 8: ACF of the ARIMA residua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619500" cy="2762250"/>
                    </a:xfrm>
                    <a:prstGeom prst="rect">
                      <a:avLst/>
                    </a:prstGeom>
                  </pic:spPr>
                </pic:pic>
              </a:graphicData>
            </a:graphic>
          </wp:inline>
        </w:drawing>
      </w:r>
    </w:p>
    <w:p>
      <w:pPr>
        <w:spacing w:after="200"/>
        <w:jc w:val="center"/>
      </w:pPr>
      <w:r>
        <w:rPr>
          <w:i/>
          <w:iCs/>
          <w:color w:val="595959"/>
          <w:sz w:val="19"/>
          <w:szCs w:val="19"/>
        </w:rPr>
        <w:t xml:space="preserve">Figure 8: ACF of the ARIMA residuals</w:t>
      </w:r>
    </w:p>
    <w:p>
      <w:pPr>
        <w:spacing w:after="120" w:line="300"/>
      </w:pPr>
      <w:r>
        <w:t xml:space="preserve">In Figure 8, apart from the first bar (which is always 1), all the bars are inside the blue zone. This means the residuals are not related to each other, so the model has picked up the patterns it could, and the diagnostic check is </w:t>
      </w:r>
      <w:r>
        <w:rPr>
          <w:b/>
          <w:bCs/>
        </w:rPr>
        <w:t xml:space="preserve">passed</w:t>
      </w:r>
      <w:r>
        <w:t xml:space="preserv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single" w:color="BFBFBF" w:sz="4"/>
              <w:left w:val="single" w:color="1F4E79" w:sz="24"/>
              <w:bottom w:val="single" w:color="BFBFBF" w:sz="4"/>
              <w:right w:val="single" w:color="BFBFBF" w:sz="4"/>
            </w:tcBorders>
            <w:shd w:fill="E2EFDA" w:color="auto" w:val="clear"/>
            <w:tcMar>
              <w:top w:type="dxa" w:w="100"/>
              <w:left w:type="dxa" w:w="180"/>
              <w:bottom w:type="dxa" w:w="100"/>
              <w:right w:type="dxa" w:w="180"/>
            </w:tcMar>
          </w:tcPr>
          <w:p>
            <w:pPr>
              <w:spacing w:after="60"/>
            </w:pPr>
            <w:r>
              <w:rPr>
                <w:b/>
                <w:bCs/>
                <w:color w:val="1F4E79"/>
              </w:rPr>
              <w:t xml:space="preserve">Answer to the Task 4 question: How does ARIMA compare with exponential smoothing?</w:t>
            </w:r>
          </w:p>
          <w:p>
            <w:pPr>
              <w:spacing w:after="60" w:line="290"/>
            </w:pPr>
            <w:r>
              <w:t xml:space="preserve">ARIMA(3,1,3) (RMSE 2.93, MAPE 3.37%) is </w:t>
            </w:r>
            <w:r>
              <w:rPr>
                <w:b/>
                <w:bCs/>
              </w:rPr>
              <w:t xml:space="preserve">better than SES and Double smoothing</w:t>
            </w:r>
            <w:r>
              <w:t xml:space="preserve"> (RMSE about 4.1 and 4.6), because it handles the trend through differencing and learns from past errors.</w:t>
            </w:r>
          </w:p>
          <w:p>
            <w:pPr>
              <w:spacing w:after="60" w:line="290"/>
            </w:pPr>
            <w:r>
              <w:t xml:space="preserve">But it is </w:t>
            </w:r>
            <w:r>
              <w:rPr>
                <w:b/>
                <w:bCs/>
              </w:rPr>
              <w:t xml:space="preserve">not better than Triple smoothing / Holt-Winters</w:t>
            </w:r>
            <w:r>
              <w:t xml:space="preserve"> (RMSE 1.97, MAPE 2.22%). A plain ARIMA has no seasonal part, so it cannot copy the yearly pattern. That is why we move on to SARIMA.</w:t>
            </w:r>
          </w:p>
        </w:tc>
      </w:tr>
    </w:tbl>
    <w:p>
      <w:pPr>
        <w:pStyle w:val="Heading1"/>
        <w:pageBreakBefore/>
      </w:pPr>
      <w:r>
        <w:t xml:space="preserve">8. Task 5: Seasonal ARIMA (SARIMA)</w:t>
      </w:r>
    </w:p>
    <w:p>
      <w:pPr>
        <w:pStyle w:val="Heading2"/>
      </w:pPr>
      <w:r>
        <w:t xml:space="preserve">Step 23: Look for seasonal patterns (Cell 34)</w:t>
      </w:r>
    </w:p>
    <w:p>
      <w:pPr>
        <w:spacing w:after="120" w:line="300"/>
      </w:pPr>
      <w:r>
        <w:t xml:space="preserve">Before adding seasonality to the model, we first check that seasonality really exists. The notebook draws a </w:t>
      </w:r>
      <w:r>
        <w:rPr>
          <w:b/>
          <w:bCs/>
        </w:rPr>
        <w:t xml:space="preserve">box plot</w:t>
      </w:r>
      <w:r>
        <w:t xml:space="preserve"> for each month (1 = January and 12 = December). Each box shows the range of sales for that month across the 5 years, and the line in the middle of the box is the median.</w:t>
      </w:r>
    </w:p>
    <w:p>
      <w:pPr>
        <w:keepNext/>
        <w:spacing w:after="60" w:before="120"/>
        <w:jc w:val="center"/>
      </w:pPr>
      <w:r>
        <w:drawing>
          <wp:inline distT="0" distB="0" distL="0" distR="0">
            <wp:extent cx="5715000" cy="2705100"/>
            <wp:effectExtent t="0" r="0" b="0" l="0"/>
            <wp:docPr id="1" name="Figure 9: Box plot of sales by calendar month" descr="Figure 9: Box plot of sales by calendar month" title="Figure 9: Box plot of sales by calendar mon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2705100"/>
                    </a:xfrm>
                    <a:prstGeom prst="rect">
                      <a:avLst/>
                    </a:prstGeom>
                  </pic:spPr>
                </pic:pic>
              </a:graphicData>
            </a:graphic>
          </wp:inline>
        </w:drawing>
      </w:r>
    </w:p>
    <w:p>
      <w:pPr>
        <w:spacing w:after="200"/>
        <w:jc w:val="center"/>
      </w:pPr>
      <w:r>
        <w:rPr>
          <w:i/>
          <w:iCs/>
          <w:color w:val="595959"/>
          <w:sz w:val="19"/>
          <w:szCs w:val="19"/>
        </w:rPr>
        <w:t xml:space="preserve">Figure 9: Box plot of sales by calendar month</w:t>
      </w:r>
    </w:p>
    <w:p>
      <w:pPr>
        <w:spacing w:after="120" w:line="300"/>
      </w:pPr>
      <w:r>
        <w:t xml:space="preserve">In Figure 9 we can see that:</w:t>
      </w:r>
    </w:p>
    <w:p>
      <w:pPr>
        <w:pStyle w:val="ListParagraph"/>
        <w:numPr>
          <w:ilvl w:val="0"/>
          <w:numId w:val="2"/>
        </w:numPr>
        <w:spacing w:after="60" w:line="290"/>
      </w:pPr>
      <w:r>
        <w:rPr>
          <w:b/>
          <w:bCs/>
        </w:rPr>
        <w:t xml:space="preserve">December (12)</w:t>
      </w:r>
      <w:r>
        <w:t xml:space="preserve"> has the highest sales, and November, and also April to June, are also high.</w:t>
      </w:r>
    </w:p>
    <w:p>
      <w:pPr>
        <w:pStyle w:val="ListParagraph"/>
        <w:numPr>
          <w:ilvl w:val="0"/>
          <w:numId w:val="2"/>
        </w:numPr>
        <w:spacing w:after="60" w:line="290"/>
      </w:pPr>
      <w:r>
        <w:rPr>
          <w:b/>
          <w:bCs/>
        </w:rPr>
        <w:t xml:space="preserve">August, September and October (8, 9, 10)</w:t>
      </w:r>
      <w:r>
        <w:t xml:space="preserve"> have the lowest sales. September is the weakest month, and it even has one very low point (a dot below the box) which is an outlier from 2020.</w:t>
      </w:r>
    </w:p>
    <w:p>
      <w:pPr>
        <w:spacing w:after="120" w:line="300"/>
      </w:pPr>
      <w:r>
        <w:t xml:space="preserve">So sales do follow a yearly pattern, which is what the case study expected (higher sales in November-December).</w:t>
      </w:r>
    </w:p>
    <w:p>
      <w:pPr>
        <w:pStyle w:val="Heading2"/>
      </w:pPr>
      <w:r>
        <w:t xml:space="preserve">Step 24: Decompose the series (Cell 35)</w:t>
      </w:r>
    </w:p>
    <w:p>
      <w:pPr>
        <w:spacing w:after="120" w:line="300"/>
      </w:pPr>
      <w:r>
        <w:t xml:space="preserve">Decomposition splits the series into its building blocks. The notebook uses the additive model with period = 12, which means: </w:t>
      </w:r>
      <w:r>
        <w:rPr>
          <w:b/>
          <w:bCs/>
        </w:rPr>
        <w:t xml:space="preserve">Sales = Trend + Seasonal + Residual</w:t>
      </w:r>
      <w:r>
        <w:t xml:space="preserve">.</w:t>
      </w:r>
    </w:p>
    <w:p>
      <w:pPr>
        <w:keepNext/>
        <w:spacing w:after="60" w:before="120"/>
        <w:jc w:val="center"/>
      </w:pPr>
      <w:r>
        <w:drawing>
          <wp:inline distT="0" distB="0" distL="0" distR="0">
            <wp:extent cx="5715000" cy="4057650"/>
            <wp:effectExtent t="0" r="0" b="0" l="0"/>
            <wp:docPr id="1" name="Figure 10: Time series decomposition (trend, seasonal and residual)" descr="Figure 10: Time series decomposition (trend, seasonal and residual)" title="Figure 10: Time series decomposition (trend, seasonal and residu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4057650"/>
                    </a:xfrm>
                    <a:prstGeom prst="rect">
                      <a:avLst/>
                    </a:prstGeom>
                  </pic:spPr>
                </pic:pic>
              </a:graphicData>
            </a:graphic>
          </wp:inline>
        </w:drawing>
      </w:r>
    </w:p>
    <w:p>
      <w:pPr>
        <w:spacing w:after="200"/>
        <w:jc w:val="center"/>
      </w:pPr>
      <w:r>
        <w:rPr>
          <w:i/>
          <w:iCs/>
          <w:color w:val="595959"/>
          <w:sz w:val="19"/>
          <w:szCs w:val="19"/>
        </w:rPr>
        <w:t xml:space="preserve">Figure 10: Time series decomposition (trend, seasonal and residual)</w:t>
      </w:r>
    </w:p>
    <w:p>
      <w:pPr>
        <w:spacing w:after="120" w:line="300"/>
      </w:pPr>
      <w:r>
        <w:t xml:space="preserve">The four panels in Figure 10 from top to bottom:</w:t>
      </w:r>
    </w:p>
    <w:p>
      <w:pPr>
        <w:pStyle w:val="ListParagraph"/>
        <w:numPr>
          <w:ilvl w:val="0"/>
          <w:numId w:val="2"/>
        </w:numPr>
        <w:spacing w:after="60" w:line="290"/>
      </w:pPr>
      <w:r>
        <w:rPr>
          <w:b/>
          <w:bCs/>
        </w:rPr>
        <w:t xml:space="preserve">Sales:</w:t>
      </w:r>
      <w:r>
        <w:t xml:space="preserve"> the original data.</w:t>
      </w:r>
    </w:p>
    <w:p>
      <w:pPr>
        <w:pStyle w:val="ListParagraph"/>
        <w:numPr>
          <w:ilvl w:val="0"/>
          <w:numId w:val="2"/>
        </w:numPr>
        <w:spacing w:after="60" w:line="290"/>
      </w:pPr>
      <w:r>
        <w:rPr>
          <w:b/>
          <w:bCs/>
        </w:rPr>
        <w:t xml:space="preserve">Trend:</w:t>
      </w:r>
      <w:r>
        <w:t xml:space="preserve"> a smooth line that rises steadily from about 53 to about 66 lakhs, showing steady growth.</w:t>
      </w:r>
    </w:p>
    <w:p>
      <w:pPr>
        <w:pStyle w:val="ListParagraph"/>
        <w:numPr>
          <w:ilvl w:val="0"/>
          <w:numId w:val="2"/>
        </w:numPr>
        <w:spacing w:after="60" w:line="290"/>
      </w:pPr>
      <w:r>
        <w:rPr>
          <w:b/>
          <w:bCs/>
        </w:rPr>
        <w:t xml:space="preserve">Seasonal:</w:t>
      </w:r>
      <w:r>
        <w:t xml:space="preserve"> a wave that repeats exactly every 12 months. It goes up to about +4.5 (peak months) and down to about -7 (weakest months, around August-September).</w:t>
      </w:r>
    </w:p>
    <w:p>
      <w:pPr>
        <w:pStyle w:val="ListParagraph"/>
        <w:numPr>
          <w:ilvl w:val="0"/>
          <w:numId w:val="2"/>
        </w:numPr>
        <w:spacing w:after="60" w:line="290"/>
      </w:pPr>
      <w:r>
        <w:rPr>
          <w:b/>
          <w:bCs/>
        </w:rPr>
        <w:t xml:space="preserve">Residual:</w:t>
      </w:r>
      <w:r>
        <w:t xml:space="preserve"> small leftover dots scattered randomly around zero, which is the noise. There is no clear pattern left, so trend plus seasonality explains most of the data.</w:t>
      </w:r>
    </w:p>
    <w:p>
      <w:pPr>
        <w:pStyle w:val="Heading2"/>
      </w:pPr>
      <w:r>
        <w:t xml:space="preserve">Step 25: Understand and tune SARIMA (Cell 36)</w:t>
      </w:r>
    </w:p>
    <w:p>
      <w:pPr>
        <w:spacing w:after="120" w:line="300"/>
      </w:pPr>
      <w:r>
        <w:t xml:space="preserve">SARIMA = ARIMA + a seasonal part. It is written as </w:t>
      </w:r>
      <w:r>
        <w:rPr>
          <w:b/>
          <w:bCs/>
        </w:rPr>
        <w:t xml:space="preserve">SARIMA(p,d,q)(P,D,Q)[s]</w:t>
      </w:r>
      <w:r>
        <w:t xml:space="preserve">. The first bracket is the normal ARIMA part. The second bracket (capital letters) is the same idea applied to the seasonal cycle, and </w:t>
      </w:r>
      <w:r>
        <w:rPr>
          <w:b/>
          <w:bCs/>
        </w:rPr>
        <w:t xml:space="preserve">s = 12</w:t>
      </w:r>
      <w:r>
        <w:t xml:space="preserve"> tells the model that the pattern repeats every 12 months.</w:t>
      </w:r>
    </w:p>
    <w:p>
      <w:pPr>
        <w:spacing w:after="120" w:line="300"/>
      </w:pPr>
      <w:r>
        <w:t xml:space="preserve">The notebook tunes the model with a grid search, which means trying all the combinations of the settings and keeping the best: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000"/>
        <w:gridCol w:w="6746"/>
      </w:tblGrid>
      <w:tr>
        <w:trPr>
          <w:cantSplit/>
          <w:tblHeader/>
        </w:trPr>
        <w:tc>
          <w:tcPr>
            <w:tcW w:type="dxa" w:w="30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keepNext/>
              <w:jc w:val="left"/>
            </w:pPr>
            <w:r>
              <w:rPr>
                <w:b/>
                <w:bCs/>
                <w:color w:val="FFFFFF"/>
                <w:sz w:val="20"/>
                <w:szCs w:val="20"/>
              </w:rPr>
              <w:t xml:space="preserve">Setting</w:t>
            </w:r>
          </w:p>
        </w:tc>
        <w:tc>
          <w:tcPr>
            <w:tcW w:type="dxa" w:w="674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keepNext/>
              <w:jc w:val="center"/>
            </w:pPr>
            <w:r>
              <w:rPr>
                <w:b/>
                <w:bCs/>
                <w:color w:val="FFFFFF"/>
                <w:sz w:val="20"/>
                <w:szCs w:val="20"/>
              </w:rPr>
              <w:t xml:space="preserve">Values tried</w:t>
            </w:r>
          </w:p>
        </w:tc>
      </w:tr>
      <w:tr>
        <w:trPr>
          <w:cantSplit/>
        </w:trPr>
        <w:tc>
          <w:tcPr>
            <w:tcW w:type="dxa" w:w="30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keepNext/>
              <w:jc w:val="left"/>
            </w:pPr>
            <w:r>
              <w:rPr>
                <w:b w:val="false"/>
                <w:bCs w:val="false"/>
                <w:color w:val="000000"/>
                <w:sz w:val="20"/>
                <w:szCs w:val="20"/>
              </w:rPr>
              <w:t xml:space="preserve">p</w:t>
            </w:r>
          </w:p>
        </w:tc>
        <w:tc>
          <w:tcPr>
            <w:tcW w:type="dxa" w:w="674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keepNext/>
              <w:jc w:val="center"/>
            </w:pPr>
            <w:r>
              <w:rPr>
                <w:b w:val="false"/>
                <w:bCs w:val="false"/>
                <w:color w:val="000000"/>
                <w:sz w:val="20"/>
                <w:szCs w:val="20"/>
              </w:rPr>
              <w:t xml:space="preserve">0, 1, 2</w:t>
            </w:r>
          </w:p>
        </w:tc>
      </w:tr>
      <w:tr>
        <w:trPr>
          <w:cantSplit/>
        </w:trPr>
        <w:tc>
          <w:tcPr>
            <w:tcW w:type="dxa" w:w="3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jc w:val="left"/>
            </w:pPr>
            <w:r>
              <w:rPr>
                <w:b w:val="false"/>
                <w:bCs w:val="false"/>
                <w:color w:val="000000"/>
                <w:sz w:val="20"/>
                <w:szCs w:val="20"/>
              </w:rPr>
              <w:t xml:space="preserve">d</w:t>
            </w:r>
          </w:p>
        </w:tc>
        <w:tc>
          <w:tcPr>
            <w:tcW w:type="dxa" w:w="674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jc w:val="center"/>
            </w:pPr>
            <w:r>
              <w:rPr>
                <w:b w:val="false"/>
                <w:bCs w:val="false"/>
                <w:color w:val="000000"/>
                <w:sz w:val="20"/>
                <w:szCs w:val="20"/>
              </w:rPr>
              <w:t xml:space="preserve">0, 1</w:t>
            </w:r>
          </w:p>
        </w:tc>
      </w:tr>
      <w:tr>
        <w:trPr>
          <w:cantSplit/>
        </w:trPr>
        <w:tc>
          <w:tcPr>
            <w:tcW w:type="dxa" w:w="30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keepNext/>
              <w:jc w:val="left"/>
            </w:pPr>
            <w:r>
              <w:rPr>
                <w:b w:val="false"/>
                <w:bCs w:val="false"/>
                <w:color w:val="000000"/>
                <w:sz w:val="20"/>
                <w:szCs w:val="20"/>
              </w:rPr>
              <w:t xml:space="preserve">q</w:t>
            </w:r>
          </w:p>
        </w:tc>
        <w:tc>
          <w:tcPr>
            <w:tcW w:type="dxa" w:w="674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keepNext/>
              <w:jc w:val="center"/>
            </w:pPr>
            <w:r>
              <w:rPr>
                <w:b w:val="false"/>
                <w:bCs w:val="false"/>
                <w:color w:val="000000"/>
                <w:sz w:val="20"/>
                <w:szCs w:val="20"/>
              </w:rPr>
              <w:t xml:space="preserve">0, 1, 2</w:t>
            </w:r>
          </w:p>
        </w:tc>
      </w:tr>
      <w:tr>
        <w:trPr>
          <w:cantSplit/>
        </w:trPr>
        <w:tc>
          <w:tcPr>
            <w:tcW w:type="dxa" w:w="3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jc w:val="left"/>
            </w:pPr>
            <w:r>
              <w:rPr>
                <w:b w:val="false"/>
                <w:bCs w:val="false"/>
                <w:color w:val="000000"/>
                <w:sz w:val="20"/>
                <w:szCs w:val="20"/>
              </w:rPr>
              <w:t xml:space="preserve">P</w:t>
            </w:r>
          </w:p>
        </w:tc>
        <w:tc>
          <w:tcPr>
            <w:tcW w:type="dxa" w:w="674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jc w:val="center"/>
            </w:pPr>
            <w:r>
              <w:rPr>
                <w:b w:val="false"/>
                <w:bCs w:val="false"/>
                <w:color w:val="000000"/>
                <w:sz w:val="20"/>
                <w:szCs w:val="20"/>
              </w:rPr>
              <w:t xml:space="preserve">0, 1</w:t>
            </w:r>
          </w:p>
        </w:tc>
      </w:tr>
      <w:tr>
        <w:trPr>
          <w:cantSplit/>
        </w:trPr>
        <w:tc>
          <w:tcPr>
            <w:tcW w:type="dxa" w:w="30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keepNext/>
              <w:jc w:val="left"/>
            </w:pPr>
            <w:r>
              <w:rPr>
                <w:b w:val="false"/>
                <w:bCs w:val="false"/>
                <w:color w:val="000000"/>
                <w:sz w:val="20"/>
                <w:szCs w:val="20"/>
              </w:rPr>
              <w:t xml:space="preserve">D</w:t>
            </w:r>
          </w:p>
        </w:tc>
        <w:tc>
          <w:tcPr>
            <w:tcW w:type="dxa" w:w="674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keepNext/>
              <w:jc w:val="center"/>
            </w:pPr>
            <w:r>
              <w:rPr>
                <w:b w:val="false"/>
                <w:bCs w:val="false"/>
                <w:color w:val="000000"/>
                <w:sz w:val="20"/>
                <w:szCs w:val="20"/>
              </w:rPr>
              <w:t xml:space="preserve">0, 1</w:t>
            </w:r>
          </w:p>
        </w:tc>
      </w:tr>
      <w:tr>
        <w:trPr>
          <w:cantSplit/>
        </w:trPr>
        <w:tc>
          <w:tcPr>
            <w:tcW w:type="dxa" w:w="3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val="false"/>
              <w:jc w:val="left"/>
            </w:pPr>
            <w:r>
              <w:rPr>
                <w:b w:val="false"/>
                <w:bCs w:val="false"/>
                <w:color w:val="000000"/>
                <w:sz w:val="20"/>
                <w:szCs w:val="20"/>
              </w:rPr>
              <w:t xml:space="preserve">Q</w:t>
            </w:r>
          </w:p>
        </w:tc>
        <w:tc>
          <w:tcPr>
            <w:tcW w:type="dxa" w:w="674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val="false"/>
              <w:jc w:val="center"/>
            </w:pPr>
            <w:r>
              <w:rPr>
                <w:b w:val="false"/>
                <w:bCs w:val="false"/>
                <w:color w:val="000000"/>
                <w:sz w:val="20"/>
                <w:szCs w:val="20"/>
              </w:rPr>
              <w:t xml:space="preserve">0, 1</w:t>
            </w:r>
          </w:p>
        </w:tc>
      </w:tr>
    </w:tbl>
    <w:p>
      <w:pPr>
        <w:spacing w:after="80"/>
      </w:pPr>
    </w:p>
    <w:p>
      <w:pPr>
        <w:spacing w:after="120" w:line="300"/>
      </w:pPr>
      <w:r>
        <w:t xml:space="preserve">This gives 3 x 2 x 3 x 2 x 2 x 2 = </w:t>
      </w:r>
      <w:r>
        <w:rPr>
          <w:b/>
          <w:bCs/>
        </w:rPr>
        <w:t xml:space="preserve">144 models</w:t>
      </w:r>
      <w:r>
        <w:t xml:space="preserve">. Each is fitted on the training data, then used to forecast 12 months and scored. The top 5 are: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700"/>
        <w:gridCol w:w="700"/>
        <w:gridCol w:w="700"/>
        <w:gridCol w:w="700"/>
        <w:gridCol w:w="700"/>
        <w:gridCol w:w="700"/>
        <w:gridCol w:w="1500"/>
        <w:gridCol w:w="1800"/>
        <w:gridCol w:w="2246"/>
      </w:tblGrid>
      <w:tr>
        <w:trPr>
          <w:cantSplit/>
          <w:tblHeader/>
        </w:trPr>
        <w:tc>
          <w:tcPr>
            <w:tcW w:type="dxa" w:w="7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keepNext/>
              <w:jc w:val="left"/>
            </w:pPr>
            <w:r>
              <w:rPr>
                <w:b/>
                <w:bCs/>
                <w:color w:val="FFFFFF"/>
                <w:sz w:val="20"/>
                <w:szCs w:val="20"/>
              </w:rPr>
              <w:t xml:space="preserve">p</w:t>
            </w:r>
          </w:p>
        </w:tc>
        <w:tc>
          <w:tcPr>
            <w:tcW w:type="dxa" w:w="7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keepNext/>
              <w:jc w:val="center"/>
            </w:pPr>
            <w:r>
              <w:rPr>
                <w:b/>
                <w:bCs/>
                <w:color w:val="FFFFFF"/>
                <w:sz w:val="20"/>
                <w:szCs w:val="20"/>
              </w:rPr>
              <w:t xml:space="preserve">d</w:t>
            </w:r>
          </w:p>
        </w:tc>
        <w:tc>
          <w:tcPr>
            <w:tcW w:type="dxa" w:w="7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keepNext/>
              <w:jc w:val="center"/>
            </w:pPr>
            <w:r>
              <w:rPr>
                <w:b/>
                <w:bCs/>
                <w:color w:val="FFFFFF"/>
                <w:sz w:val="20"/>
                <w:szCs w:val="20"/>
              </w:rPr>
              <w:t xml:space="preserve">q</w:t>
            </w:r>
          </w:p>
        </w:tc>
        <w:tc>
          <w:tcPr>
            <w:tcW w:type="dxa" w:w="7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keepNext/>
              <w:jc w:val="center"/>
            </w:pPr>
            <w:r>
              <w:rPr>
                <w:b/>
                <w:bCs/>
                <w:color w:val="FFFFFF"/>
                <w:sz w:val="20"/>
                <w:szCs w:val="20"/>
              </w:rPr>
              <w:t xml:space="preserve">P</w:t>
            </w:r>
          </w:p>
        </w:tc>
        <w:tc>
          <w:tcPr>
            <w:tcW w:type="dxa" w:w="7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keepNext/>
              <w:jc w:val="center"/>
            </w:pPr>
            <w:r>
              <w:rPr>
                <w:b/>
                <w:bCs/>
                <w:color w:val="FFFFFF"/>
                <w:sz w:val="20"/>
                <w:szCs w:val="20"/>
              </w:rPr>
              <w:t xml:space="preserve">D</w:t>
            </w:r>
          </w:p>
        </w:tc>
        <w:tc>
          <w:tcPr>
            <w:tcW w:type="dxa" w:w="7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keepNext/>
              <w:jc w:val="center"/>
            </w:pPr>
            <w:r>
              <w:rPr>
                <w:b/>
                <w:bCs/>
                <w:color w:val="FFFFFF"/>
                <w:sz w:val="20"/>
                <w:szCs w:val="20"/>
              </w:rPr>
              <w:t xml:space="preserve">Q</w:t>
            </w:r>
          </w:p>
        </w:tc>
        <w:tc>
          <w:tcPr>
            <w:tcW w:type="dxa" w:w="15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keepNext/>
              <w:jc w:val="center"/>
            </w:pPr>
            <w:r>
              <w:rPr>
                <w:b/>
                <w:bCs/>
                <w:color w:val="FFFFFF"/>
                <w:sz w:val="20"/>
                <w:szCs w:val="20"/>
              </w:rPr>
              <w:t xml:space="preserve">AIC</w:t>
            </w:r>
          </w:p>
        </w:tc>
        <w:tc>
          <w:tcPr>
            <w:tcW w:type="dxa" w:w="18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keepNext/>
              <w:jc w:val="center"/>
            </w:pPr>
            <w:r>
              <w:rPr>
                <w:b/>
                <w:bCs/>
                <w:color w:val="FFFFFF"/>
                <w:sz w:val="20"/>
                <w:szCs w:val="20"/>
              </w:rPr>
              <w:t xml:space="preserve">RMSE</w:t>
            </w:r>
          </w:p>
        </w:tc>
        <w:tc>
          <w:tcPr>
            <w:tcW w:type="dxa" w:w="224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keepNext/>
              <w:jc w:val="center"/>
            </w:pPr>
            <w:r>
              <w:rPr>
                <w:b/>
                <w:bCs/>
                <w:color w:val="FFFFFF"/>
                <w:sz w:val="20"/>
                <w:szCs w:val="20"/>
              </w:rPr>
              <w:t xml:space="preserve">MAPE (%)</w:t>
            </w:r>
          </w:p>
        </w:tc>
      </w:tr>
      <w:tr>
        <w:trPr>
          <w:cantSplit/>
        </w:trPr>
        <w:tc>
          <w:tcPr>
            <w:tcW w:type="dxa" w:w="7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pPr>
              <w:keepNext/>
              <w:jc w:val="left"/>
            </w:pPr>
            <w:r>
              <w:rPr>
                <w:b w:val="false"/>
                <w:bCs w:val="false"/>
                <w:color w:val="000000"/>
                <w:sz w:val="20"/>
                <w:szCs w:val="20"/>
              </w:rPr>
              <w:t xml:space="preserve">2</w:t>
            </w:r>
          </w:p>
        </w:tc>
        <w:tc>
          <w:tcPr>
            <w:tcW w:type="dxa" w:w="7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pPr>
              <w:keepNext/>
              <w:jc w:val="center"/>
            </w:pPr>
            <w:r>
              <w:rPr>
                <w:b w:val="false"/>
                <w:bCs w:val="false"/>
                <w:color w:val="000000"/>
                <w:sz w:val="20"/>
                <w:szCs w:val="20"/>
              </w:rPr>
              <w:t xml:space="preserve">1</w:t>
            </w:r>
          </w:p>
        </w:tc>
        <w:tc>
          <w:tcPr>
            <w:tcW w:type="dxa" w:w="7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pPr>
              <w:keepNext/>
              <w:jc w:val="center"/>
            </w:pPr>
            <w:r>
              <w:rPr>
                <w:b w:val="false"/>
                <w:bCs w:val="false"/>
                <w:color w:val="000000"/>
                <w:sz w:val="20"/>
                <w:szCs w:val="20"/>
              </w:rPr>
              <w:t xml:space="preserve">0</w:t>
            </w:r>
          </w:p>
        </w:tc>
        <w:tc>
          <w:tcPr>
            <w:tcW w:type="dxa" w:w="7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pPr>
              <w:keepNext/>
              <w:jc w:val="center"/>
            </w:pPr>
            <w:r>
              <w:rPr>
                <w:b w:val="false"/>
                <w:bCs w:val="false"/>
                <w:color w:val="000000"/>
                <w:sz w:val="20"/>
                <w:szCs w:val="20"/>
              </w:rPr>
              <w:t xml:space="preserve">1</w:t>
            </w:r>
          </w:p>
        </w:tc>
        <w:tc>
          <w:tcPr>
            <w:tcW w:type="dxa" w:w="7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pPr>
              <w:keepNext/>
              <w:jc w:val="center"/>
            </w:pPr>
            <w:r>
              <w:rPr>
                <w:b w:val="false"/>
                <w:bCs w:val="false"/>
                <w:color w:val="000000"/>
                <w:sz w:val="20"/>
                <w:szCs w:val="20"/>
              </w:rPr>
              <w:t xml:space="preserve">0</w:t>
            </w:r>
          </w:p>
        </w:tc>
        <w:tc>
          <w:tcPr>
            <w:tcW w:type="dxa" w:w="7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pPr>
              <w:keepNext/>
              <w:jc w:val="center"/>
            </w:pPr>
            <w:r>
              <w:rPr>
                <w:b w:val="false"/>
                <w:bCs w:val="false"/>
                <w:color w:val="000000"/>
                <w:sz w:val="20"/>
                <w:szCs w:val="20"/>
              </w:rPr>
              <w:t xml:space="preserve">0</w:t>
            </w:r>
          </w:p>
        </w:tc>
        <w:tc>
          <w:tcPr>
            <w:tcW w:type="dxa" w:w="15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pPr>
              <w:keepNext/>
              <w:jc w:val="center"/>
            </w:pPr>
            <w:r>
              <w:rPr>
                <w:b w:val="false"/>
                <w:bCs w:val="false"/>
                <w:color w:val="000000"/>
                <w:sz w:val="20"/>
                <w:szCs w:val="20"/>
              </w:rPr>
              <w:t xml:space="preserve">178.67</w:t>
            </w:r>
          </w:p>
        </w:tc>
        <w:tc>
          <w:tcPr>
            <w:tcW w:type="dxa" w:w="18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pPr>
              <w:keepNext/>
              <w:jc w:val="center"/>
            </w:pPr>
            <w:r>
              <w:rPr>
                <w:b w:val="false"/>
                <w:bCs w:val="false"/>
                <w:color w:val="000000"/>
                <w:sz w:val="20"/>
                <w:szCs w:val="20"/>
              </w:rPr>
              <w:t xml:space="preserve">1.338</w:t>
            </w:r>
          </w:p>
        </w:tc>
        <w:tc>
          <w:tcPr>
            <w:tcW w:type="dxa" w:w="2246"/>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pPr>
              <w:keepNext/>
              <w:jc w:val="center"/>
            </w:pPr>
            <w:r>
              <w:rPr>
                <w:b w:val="false"/>
                <w:bCs w:val="false"/>
                <w:color w:val="000000"/>
                <w:sz w:val="20"/>
                <w:szCs w:val="20"/>
              </w:rPr>
              <w:t xml:space="preserve">1.394</w:t>
            </w:r>
          </w:p>
        </w:tc>
      </w:tr>
      <w:tr>
        <w:trPr>
          <w:cantSplit/>
        </w:trPr>
        <w:tc>
          <w:tcPr>
            <w:tcW w:type="dxa" w:w="7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jc w:val="left"/>
            </w:pPr>
            <w:r>
              <w:rPr>
                <w:b w:val="false"/>
                <w:bCs w:val="false"/>
                <w:color w:val="000000"/>
                <w:sz w:val="20"/>
                <w:szCs w:val="20"/>
              </w:rPr>
              <w:t xml:space="preserve">2</w:t>
            </w:r>
          </w:p>
        </w:tc>
        <w:tc>
          <w:tcPr>
            <w:tcW w:type="dxa" w:w="7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jc w:val="center"/>
            </w:pPr>
            <w:r>
              <w:rPr>
                <w:b w:val="false"/>
                <w:bCs w:val="false"/>
                <w:color w:val="000000"/>
                <w:sz w:val="20"/>
                <w:szCs w:val="20"/>
              </w:rPr>
              <w:t xml:space="preserve">0</w:t>
            </w:r>
          </w:p>
        </w:tc>
        <w:tc>
          <w:tcPr>
            <w:tcW w:type="dxa" w:w="7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jc w:val="center"/>
            </w:pPr>
            <w:r>
              <w:rPr>
                <w:b w:val="false"/>
                <w:bCs w:val="false"/>
                <w:color w:val="000000"/>
                <w:sz w:val="20"/>
                <w:szCs w:val="20"/>
              </w:rPr>
              <w:t xml:space="preserve">1</w:t>
            </w:r>
          </w:p>
        </w:tc>
        <w:tc>
          <w:tcPr>
            <w:tcW w:type="dxa" w:w="7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jc w:val="center"/>
            </w:pPr>
            <w:r>
              <w:rPr>
                <w:b w:val="false"/>
                <w:bCs w:val="false"/>
                <w:color w:val="000000"/>
                <w:sz w:val="20"/>
                <w:szCs w:val="20"/>
              </w:rPr>
              <w:t xml:space="preserve">1</w:t>
            </w:r>
          </w:p>
        </w:tc>
        <w:tc>
          <w:tcPr>
            <w:tcW w:type="dxa" w:w="7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jc w:val="center"/>
            </w:pPr>
            <w:r>
              <w:rPr>
                <w:b w:val="false"/>
                <w:bCs w:val="false"/>
                <w:color w:val="000000"/>
                <w:sz w:val="20"/>
                <w:szCs w:val="20"/>
              </w:rPr>
              <w:t xml:space="preserve">0</w:t>
            </w:r>
          </w:p>
        </w:tc>
        <w:tc>
          <w:tcPr>
            <w:tcW w:type="dxa" w:w="7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jc w:val="center"/>
            </w:pPr>
            <w:r>
              <w:rPr>
                <w:b w:val="false"/>
                <w:bCs w:val="false"/>
                <w:color w:val="000000"/>
                <w:sz w:val="20"/>
                <w:szCs w:val="20"/>
              </w:rPr>
              <w:t xml:space="preserve">0</w:t>
            </w:r>
          </w:p>
        </w:tc>
        <w:tc>
          <w:tcPr>
            <w:tcW w:type="dxa" w:w="1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jc w:val="center"/>
            </w:pPr>
            <w:r>
              <w:rPr>
                <w:b w:val="false"/>
                <w:bCs w:val="false"/>
                <w:color w:val="000000"/>
                <w:sz w:val="20"/>
                <w:szCs w:val="20"/>
              </w:rPr>
              <w:t xml:space="preserve">178.82</w:t>
            </w:r>
          </w:p>
        </w:tc>
        <w:tc>
          <w:tcPr>
            <w:tcW w:type="dxa" w:w="1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jc w:val="center"/>
            </w:pPr>
            <w:r>
              <w:rPr>
                <w:b w:val="false"/>
                <w:bCs w:val="false"/>
                <w:color w:val="000000"/>
                <w:sz w:val="20"/>
                <w:szCs w:val="20"/>
              </w:rPr>
              <w:t xml:space="preserve">1.378</w:t>
            </w:r>
          </w:p>
        </w:tc>
        <w:tc>
          <w:tcPr>
            <w:tcW w:type="dxa" w:w="224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jc w:val="center"/>
            </w:pPr>
            <w:r>
              <w:rPr>
                <w:b w:val="false"/>
                <w:bCs w:val="false"/>
                <w:color w:val="000000"/>
                <w:sz w:val="20"/>
                <w:szCs w:val="20"/>
              </w:rPr>
              <w:t xml:space="preserve">1.523</w:t>
            </w:r>
          </w:p>
        </w:tc>
      </w:tr>
      <w:tr>
        <w:trPr>
          <w:cantSplit/>
        </w:trPr>
        <w:tc>
          <w:tcPr>
            <w:tcW w:type="dxa" w:w="7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keepNext/>
              <w:jc w:val="left"/>
            </w:pPr>
            <w:r>
              <w:rPr>
                <w:b w:val="false"/>
                <w:bCs w:val="false"/>
                <w:color w:val="000000"/>
                <w:sz w:val="20"/>
                <w:szCs w:val="20"/>
              </w:rPr>
              <w:t xml:space="preserve">2</w:t>
            </w:r>
          </w:p>
        </w:tc>
        <w:tc>
          <w:tcPr>
            <w:tcW w:type="dxa" w:w="7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keepNext/>
              <w:jc w:val="center"/>
            </w:pPr>
            <w:r>
              <w:rPr>
                <w:b w:val="false"/>
                <w:bCs w:val="false"/>
                <w:color w:val="000000"/>
                <w:sz w:val="20"/>
                <w:szCs w:val="20"/>
              </w:rPr>
              <w:t xml:space="preserve">0</w:t>
            </w:r>
          </w:p>
        </w:tc>
        <w:tc>
          <w:tcPr>
            <w:tcW w:type="dxa" w:w="7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keepNext/>
              <w:jc w:val="center"/>
            </w:pPr>
            <w:r>
              <w:rPr>
                <w:b w:val="false"/>
                <w:bCs w:val="false"/>
                <w:color w:val="000000"/>
                <w:sz w:val="20"/>
                <w:szCs w:val="20"/>
              </w:rPr>
              <w:t xml:space="preserve">2</w:t>
            </w:r>
          </w:p>
        </w:tc>
        <w:tc>
          <w:tcPr>
            <w:tcW w:type="dxa" w:w="7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keepNext/>
              <w:jc w:val="center"/>
            </w:pPr>
            <w:r>
              <w:rPr>
                <w:b w:val="false"/>
                <w:bCs w:val="false"/>
                <w:color w:val="000000"/>
                <w:sz w:val="20"/>
                <w:szCs w:val="20"/>
              </w:rPr>
              <w:t xml:space="preserve">0</w:t>
            </w:r>
          </w:p>
        </w:tc>
        <w:tc>
          <w:tcPr>
            <w:tcW w:type="dxa" w:w="7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keepNext/>
              <w:jc w:val="center"/>
            </w:pPr>
            <w:r>
              <w:rPr>
                <w:b w:val="false"/>
                <w:bCs w:val="false"/>
                <w:color w:val="000000"/>
                <w:sz w:val="20"/>
                <w:szCs w:val="20"/>
              </w:rPr>
              <w:t xml:space="preserve">1</w:t>
            </w:r>
          </w:p>
        </w:tc>
        <w:tc>
          <w:tcPr>
            <w:tcW w:type="dxa" w:w="7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keepNext/>
              <w:jc w:val="center"/>
            </w:pPr>
            <w:r>
              <w:rPr>
                <w:b w:val="false"/>
                <w:bCs w:val="false"/>
                <w:color w:val="000000"/>
                <w:sz w:val="20"/>
                <w:szCs w:val="20"/>
              </w:rPr>
              <w:t xml:space="preserve">1</w:t>
            </w:r>
          </w:p>
        </w:tc>
        <w:tc>
          <w:tcPr>
            <w:tcW w:type="dxa" w:w="15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keepNext/>
              <w:jc w:val="center"/>
            </w:pPr>
            <w:r>
              <w:rPr>
                <w:b w:val="false"/>
                <w:bCs w:val="false"/>
                <w:color w:val="000000"/>
                <w:sz w:val="20"/>
                <w:szCs w:val="20"/>
              </w:rPr>
              <w:t xml:space="preserve">103.33</w:t>
            </w:r>
          </w:p>
        </w:tc>
        <w:tc>
          <w:tcPr>
            <w:tcW w:type="dxa" w:w="18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keepNext/>
              <w:jc w:val="center"/>
            </w:pPr>
            <w:r>
              <w:rPr>
                <w:b w:val="false"/>
                <w:bCs w:val="false"/>
                <w:color w:val="000000"/>
                <w:sz w:val="20"/>
                <w:szCs w:val="20"/>
              </w:rPr>
              <w:t xml:space="preserve">1.425</w:t>
            </w:r>
          </w:p>
        </w:tc>
        <w:tc>
          <w:tcPr>
            <w:tcW w:type="dxa" w:w="224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keepNext/>
              <w:jc w:val="center"/>
            </w:pPr>
            <w:r>
              <w:rPr>
                <w:b w:val="false"/>
                <w:bCs w:val="false"/>
                <w:color w:val="000000"/>
                <w:sz w:val="20"/>
                <w:szCs w:val="20"/>
              </w:rPr>
              <w:t xml:space="preserve">1.770</w:t>
            </w:r>
          </w:p>
        </w:tc>
      </w:tr>
      <w:tr>
        <w:trPr>
          <w:cantSplit/>
        </w:trPr>
        <w:tc>
          <w:tcPr>
            <w:tcW w:type="dxa" w:w="7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jc w:val="left"/>
            </w:pPr>
            <w:r>
              <w:rPr>
                <w:b w:val="false"/>
                <w:bCs w:val="false"/>
                <w:color w:val="000000"/>
                <w:sz w:val="20"/>
                <w:szCs w:val="20"/>
              </w:rPr>
              <w:t xml:space="preserve">1</w:t>
            </w:r>
          </w:p>
        </w:tc>
        <w:tc>
          <w:tcPr>
            <w:tcW w:type="dxa" w:w="7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jc w:val="center"/>
            </w:pPr>
            <w:r>
              <w:rPr>
                <w:b w:val="false"/>
                <w:bCs w:val="false"/>
                <w:color w:val="000000"/>
                <w:sz w:val="20"/>
                <w:szCs w:val="20"/>
              </w:rPr>
              <w:t xml:space="preserve">0</w:t>
            </w:r>
          </w:p>
        </w:tc>
        <w:tc>
          <w:tcPr>
            <w:tcW w:type="dxa" w:w="7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jc w:val="center"/>
            </w:pPr>
            <w:r>
              <w:rPr>
                <w:b w:val="false"/>
                <w:bCs w:val="false"/>
                <w:color w:val="000000"/>
                <w:sz w:val="20"/>
                <w:szCs w:val="20"/>
              </w:rPr>
              <w:t xml:space="preserve">2</w:t>
            </w:r>
          </w:p>
        </w:tc>
        <w:tc>
          <w:tcPr>
            <w:tcW w:type="dxa" w:w="7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jc w:val="center"/>
            </w:pPr>
            <w:r>
              <w:rPr>
                <w:b w:val="false"/>
                <w:bCs w:val="false"/>
                <w:color w:val="000000"/>
                <w:sz w:val="20"/>
                <w:szCs w:val="20"/>
              </w:rPr>
              <w:t xml:space="preserve">0</w:t>
            </w:r>
          </w:p>
        </w:tc>
        <w:tc>
          <w:tcPr>
            <w:tcW w:type="dxa" w:w="7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jc w:val="center"/>
            </w:pPr>
            <w:r>
              <w:rPr>
                <w:b w:val="false"/>
                <w:bCs w:val="false"/>
                <w:color w:val="000000"/>
                <w:sz w:val="20"/>
                <w:szCs w:val="20"/>
              </w:rPr>
              <w:t xml:space="preserve">1</w:t>
            </w:r>
          </w:p>
        </w:tc>
        <w:tc>
          <w:tcPr>
            <w:tcW w:type="dxa" w:w="7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jc w:val="center"/>
            </w:pPr>
            <w:r>
              <w:rPr>
                <w:b w:val="false"/>
                <w:bCs w:val="false"/>
                <w:color w:val="000000"/>
                <w:sz w:val="20"/>
                <w:szCs w:val="20"/>
              </w:rPr>
              <w:t xml:space="preserve">1</w:t>
            </w:r>
          </w:p>
        </w:tc>
        <w:tc>
          <w:tcPr>
            <w:tcW w:type="dxa" w:w="1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jc w:val="center"/>
            </w:pPr>
            <w:r>
              <w:rPr>
                <w:b w:val="false"/>
                <w:bCs w:val="false"/>
                <w:color w:val="000000"/>
                <w:sz w:val="20"/>
                <w:szCs w:val="20"/>
              </w:rPr>
              <w:t xml:space="preserve">101.57</w:t>
            </w:r>
          </w:p>
        </w:tc>
        <w:tc>
          <w:tcPr>
            <w:tcW w:type="dxa" w:w="1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jc w:val="center"/>
            </w:pPr>
            <w:r>
              <w:rPr>
                <w:b w:val="false"/>
                <w:bCs w:val="false"/>
                <w:color w:val="000000"/>
                <w:sz w:val="20"/>
                <w:szCs w:val="20"/>
              </w:rPr>
              <w:t xml:space="preserve">1.438</w:t>
            </w:r>
          </w:p>
        </w:tc>
        <w:tc>
          <w:tcPr>
            <w:tcW w:type="dxa" w:w="224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jc w:val="center"/>
            </w:pPr>
            <w:r>
              <w:rPr>
                <w:b w:val="false"/>
                <w:bCs w:val="false"/>
                <w:color w:val="000000"/>
                <w:sz w:val="20"/>
                <w:szCs w:val="20"/>
              </w:rPr>
              <w:t xml:space="preserve">1.805</w:t>
            </w:r>
          </w:p>
        </w:tc>
      </w:tr>
      <w:tr>
        <w:trPr>
          <w:cantSplit/>
        </w:trPr>
        <w:tc>
          <w:tcPr>
            <w:tcW w:type="dxa" w:w="7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keepNext w:val="false"/>
              <w:jc w:val="left"/>
            </w:pPr>
            <w:r>
              <w:rPr>
                <w:b w:val="false"/>
                <w:bCs w:val="false"/>
                <w:color w:val="000000"/>
                <w:sz w:val="20"/>
                <w:szCs w:val="20"/>
              </w:rPr>
              <w:t xml:space="preserve">2</w:t>
            </w:r>
          </w:p>
        </w:tc>
        <w:tc>
          <w:tcPr>
            <w:tcW w:type="dxa" w:w="7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keepNext w:val="false"/>
              <w:jc w:val="center"/>
            </w:pPr>
            <w:r>
              <w:rPr>
                <w:b w:val="false"/>
                <w:bCs w:val="false"/>
                <w:color w:val="000000"/>
                <w:sz w:val="20"/>
                <w:szCs w:val="20"/>
              </w:rPr>
              <w:t xml:space="preserve">0</w:t>
            </w:r>
          </w:p>
        </w:tc>
        <w:tc>
          <w:tcPr>
            <w:tcW w:type="dxa" w:w="7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keepNext w:val="false"/>
              <w:jc w:val="center"/>
            </w:pPr>
            <w:r>
              <w:rPr>
                <w:b w:val="false"/>
                <w:bCs w:val="false"/>
                <w:color w:val="000000"/>
                <w:sz w:val="20"/>
                <w:szCs w:val="20"/>
              </w:rPr>
              <w:t xml:space="preserve">1</w:t>
            </w:r>
          </w:p>
        </w:tc>
        <w:tc>
          <w:tcPr>
            <w:tcW w:type="dxa" w:w="7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keepNext w:val="false"/>
              <w:jc w:val="center"/>
            </w:pPr>
            <w:r>
              <w:rPr>
                <w:b w:val="false"/>
                <w:bCs w:val="false"/>
                <w:color w:val="000000"/>
                <w:sz w:val="20"/>
                <w:szCs w:val="20"/>
              </w:rPr>
              <w:t xml:space="preserve">1</w:t>
            </w:r>
          </w:p>
        </w:tc>
        <w:tc>
          <w:tcPr>
            <w:tcW w:type="dxa" w:w="7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keepNext w:val="false"/>
              <w:jc w:val="center"/>
            </w:pPr>
            <w:r>
              <w:rPr>
                <w:b w:val="false"/>
                <w:bCs w:val="false"/>
                <w:color w:val="000000"/>
                <w:sz w:val="20"/>
                <w:szCs w:val="20"/>
              </w:rPr>
              <w:t xml:space="preserve">1</w:t>
            </w:r>
          </w:p>
        </w:tc>
        <w:tc>
          <w:tcPr>
            <w:tcW w:type="dxa" w:w="7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keepNext w:val="false"/>
              <w:jc w:val="center"/>
            </w:pPr>
            <w:r>
              <w:rPr>
                <w:b w:val="false"/>
                <w:bCs w:val="false"/>
                <w:color w:val="000000"/>
                <w:sz w:val="20"/>
                <w:szCs w:val="20"/>
              </w:rPr>
              <w:t xml:space="preserve">1</w:t>
            </w:r>
          </w:p>
        </w:tc>
        <w:tc>
          <w:tcPr>
            <w:tcW w:type="dxa" w:w="15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keepNext w:val="false"/>
              <w:jc w:val="center"/>
            </w:pPr>
            <w:r>
              <w:rPr>
                <w:b w:val="false"/>
                <w:bCs w:val="false"/>
                <w:color w:val="000000"/>
                <w:sz w:val="20"/>
                <w:szCs w:val="20"/>
              </w:rPr>
              <w:t xml:space="preserve">107.80</w:t>
            </w:r>
          </w:p>
        </w:tc>
        <w:tc>
          <w:tcPr>
            <w:tcW w:type="dxa" w:w="18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keepNext w:val="false"/>
              <w:jc w:val="center"/>
            </w:pPr>
            <w:r>
              <w:rPr>
                <w:b w:val="false"/>
                <w:bCs w:val="false"/>
                <w:color w:val="000000"/>
                <w:sz w:val="20"/>
                <w:szCs w:val="20"/>
              </w:rPr>
              <w:t xml:space="preserve">1.452</w:t>
            </w:r>
          </w:p>
        </w:tc>
        <w:tc>
          <w:tcPr>
            <w:tcW w:type="dxa" w:w="224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keepNext w:val="false"/>
              <w:jc w:val="center"/>
            </w:pPr>
            <w:r>
              <w:rPr>
                <w:b w:val="false"/>
                <w:bCs w:val="false"/>
                <w:color w:val="000000"/>
                <w:sz w:val="20"/>
                <w:szCs w:val="20"/>
              </w:rPr>
              <w:t xml:space="preserve">1.750</w:t>
            </w:r>
          </w:p>
        </w:tc>
      </w:tr>
    </w:tbl>
    <w:p>
      <w:pPr>
        <w:spacing w:after="80"/>
      </w:pPr>
    </w:p>
    <w:p>
      <w:pPr>
        <w:pStyle w:val="Heading2"/>
      </w:pPr>
      <w:r>
        <w:t xml:space="preserve">Step 26: Validate the best SARIMA model (Cell 37 and 38)</w:t>
      </w:r>
    </w:p>
    <w:p>
      <w:pPr>
        <w:spacing w:after="120" w:line="300"/>
      </w:pPr>
      <w:r>
        <w:t xml:space="preserve">The best model is </w:t>
      </w:r>
      <w:r>
        <w:rPr>
          <w:b/>
          <w:bCs/>
        </w:rPr>
        <w:t xml:space="preserve">SARIMA(2,1,0)(1,0,0)[12]</w:t>
      </w:r>
      <w:r>
        <w:t xml:space="preserve">. Its errors on the unseen 2024 data are </w:t>
      </w:r>
      <w:r>
        <w:rPr>
          <w:b/>
          <w:bCs/>
        </w:rPr>
        <w:t xml:space="preserve">RMSE 1.338, MAPE 1.39%</w:t>
      </w:r>
      <w:r>
        <w:t xml:space="preserve">. This is the lowest error so far, which means on average its forecast is wrong by only about 1.4%.</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single" w:color="BFBFBF" w:sz="4"/>
              <w:left w:val="single" w:color="1F4E79" w:sz="24"/>
              <w:bottom w:val="single" w:color="BFBFBF" w:sz="4"/>
              <w:right w:val="single" w:color="BFBFBF" w:sz="4"/>
            </w:tcBorders>
            <w:shd w:fill="E2EFDA" w:color="auto" w:val="clear"/>
            <w:tcMar>
              <w:top w:type="dxa" w:w="100"/>
              <w:left w:type="dxa" w:w="180"/>
              <w:bottom w:type="dxa" w:w="100"/>
              <w:right w:type="dxa" w:w="180"/>
            </w:tcMar>
          </w:tcPr>
          <w:p>
            <w:pPr>
              <w:spacing w:after="60"/>
            </w:pPr>
            <w:r>
              <w:rPr>
                <w:b/>
                <w:bCs/>
                <w:color w:val="1F4E79"/>
              </w:rPr>
              <w:t xml:space="preserve">Why SARIMA works better</w:t>
            </w:r>
          </w:p>
          <w:p>
            <w:pPr>
              <w:spacing w:after="60" w:line="290"/>
            </w:pPr>
            <w:r>
              <w:t xml:space="preserve">ARIMA(3,1,3) had an RMSE of 2.93. SARIMA cut this to 1.34, a </w:t>
            </w:r>
            <w:r>
              <w:rPr>
                <w:b/>
                <w:bCs/>
              </w:rPr>
              <w:t xml:space="preserve">more than 50% reduction in error</w:t>
            </w:r>
            <w:r>
              <w:t xml:space="preserve">, because SARIMA adds the seasonal pattern that ARIMA was missing.</w:t>
            </w:r>
          </w:p>
        </w:tc>
      </w:tr>
    </w:tbl>
    <w:p>
      <w:pPr>
        <w:pStyle w:val="Heading1"/>
        <w:pageBreakBefore/>
      </w:pPr>
      <w:r>
        <w:t xml:space="preserve">9. Task 6: Holt-Winters Seasonal Method</w:t>
      </w:r>
    </w:p>
    <w:p>
      <w:pPr>
        <w:pStyle w:val="Heading2"/>
      </w:pPr>
      <w:r>
        <w:t xml:space="preserve">Step 27: Additive and multiplicative versions (Cells 39 and 40)</w:t>
      </w:r>
    </w:p>
    <w:p>
      <w:pPr>
        <w:spacing w:after="120" w:line="300"/>
      </w:pPr>
      <w:r>
        <w:t xml:space="preserve">Holt-Winters is the same triple exponential smoothing from Task 2. There are two ways to add seasonality: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3900"/>
        <w:gridCol w:w="3946"/>
      </w:tblGrid>
      <w:tr>
        <w:trPr>
          <w:cantSplit/>
          <w:tblHeader/>
        </w:trPr>
        <w:tc>
          <w:tcPr>
            <w:tcW w:type="dxa" w:w="19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keepNext/>
              <w:jc w:val="left"/>
            </w:pPr>
            <w:r>
              <w:rPr>
                <w:b/>
                <w:bCs/>
                <w:color w:val="FFFFFF"/>
                <w:sz w:val="20"/>
                <w:szCs w:val="20"/>
              </w:rPr>
              <w:t xml:space="preserve">Version</w:t>
            </w:r>
          </w:p>
        </w:tc>
        <w:tc>
          <w:tcPr>
            <w:tcW w:type="dxa" w:w="39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keepNext/>
              <w:jc w:val="center"/>
            </w:pPr>
            <w:r>
              <w:rPr>
                <w:b/>
                <w:bCs/>
                <w:color w:val="FFFFFF"/>
                <w:sz w:val="20"/>
                <w:szCs w:val="20"/>
              </w:rPr>
              <w:t xml:space="preserve">How the season works</w:t>
            </w:r>
          </w:p>
        </w:tc>
        <w:tc>
          <w:tcPr>
            <w:tcW w:type="dxa" w:w="394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keepNext/>
              <w:jc w:val="center"/>
            </w:pPr>
            <w:r>
              <w:rPr>
                <w:b/>
                <w:bCs/>
                <w:color w:val="FFFFFF"/>
                <w:sz w:val="20"/>
                <w:szCs w:val="20"/>
              </w:rPr>
              <w:t xml:space="preserve">Best when</w:t>
            </w:r>
          </w:p>
        </w:tc>
      </w:tr>
      <w:tr>
        <w:trPr>
          <w:cantSplit/>
        </w:trPr>
        <w:tc>
          <w:tcPr>
            <w:tcW w:type="dxa" w:w="19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keepNext/>
              <w:jc w:val="left"/>
            </w:pPr>
            <w:r>
              <w:rPr>
                <w:b w:val="false"/>
                <w:bCs w:val="false"/>
                <w:color w:val="000000"/>
                <w:sz w:val="20"/>
                <w:szCs w:val="20"/>
              </w:rPr>
              <w:t xml:space="preserve">Additive</w:t>
            </w:r>
          </w:p>
        </w:tc>
        <w:tc>
          <w:tcPr>
            <w:tcW w:type="dxa" w:w="39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keepNext/>
              <w:jc w:val="center"/>
            </w:pPr>
            <w:r>
              <w:rPr>
                <w:b w:val="false"/>
                <w:bCs w:val="false"/>
                <w:color w:val="000000"/>
                <w:sz w:val="20"/>
                <w:szCs w:val="20"/>
              </w:rPr>
              <w:t xml:space="preserve">The seasonal effect is a fixed amount added (e.g. +5 lakhs in December)</w:t>
            </w:r>
          </w:p>
        </w:tc>
        <w:tc>
          <w:tcPr>
            <w:tcW w:type="dxa" w:w="394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keepNext/>
              <w:jc w:val="center"/>
            </w:pPr>
            <w:r>
              <w:rPr>
                <w:b w:val="false"/>
                <w:bCs w:val="false"/>
                <w:color w:val="000000"/>
                <w:sz w:val="20"/>
                <w:szCs w:val="20"/>
              </w:rPr>
              <w:t xml:space="preserve">The size of the seasonal swings stays the same as sales grow</w:t>
            </w:r>
          </w:p>
        </w:tc>
      </w:tr>
      <w:tr>
        <w:trPr>
          <w:cantSplit/>
        </w:trPr>
        <w:tc>
          <w:tcPr>
            <w:tcW w:type="dxa" w:w="1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val="false"/>
              <w:jc w:val="left"/>
            </w:pPr>
            <w:r>
              <w:rPr>
                <w:b w:val="false"/>
                <w:bCs w:val="false"/>
                <w:color w:val="000000"/>
                <w:sz w:val="20"/>
                <w:szCs w:val="20"/>
              </w:rPr>
              <w:t xml:space="preserve">Multiplicative</w:t>
            </w:r>
          </w:p>
        </w:tc>
        <w:tc>
          <w:tcPr>
            <w:tcW w:type="dxa" w:w="3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val="false"/>
              <w:jc w:val="center"/>
            </w:pPr>
            <w:r>
              <w:rPr>
                <w:b w:val="false"/>
                <w:bCs w:val="false"/>
                <w:color w:val="000000"/>
                <w:sz w:val="20"/>
                <w:szCs w:val="20"/>
              </w:rPr>
              <w:t xml:space="preserve">The seasonal effect is a percentage (e.g. +8% in December)</w:t>
            </w:r>
          </w:p>
        </w:tc>
        <w:tc>
          <w:tcPr>
            <w:tcW w:type="dxa" w:w="394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val="false"/>
              <w:jc w:val="center"/>
            </w:pPr>
            <w:r>
              <w:rPr>
                <w:b w:val="false"/>
                <w:bCs w:val="false"/>
                <w:color w:val="000000"/>
                <w:sz w:val="20"/>
                <w:szCs w:val="20"/>
              </w:rPr>
              <w:t xml:space="preserve">The seasonal swings get bigger as sales grow</w:t>
            </w:r>
          </w:p>
        </w:tc>
      </w:tr>
    </w:tbl>
    <w:p>
      <w:pPr>
        <w:spacing w:after="80"/>
      </w:pPr>
    </w:p>
    <w:p>
      <w:pPr>
        <w:spacing w:after="120" w:line="300"/>
      </w:pPr>
      <w:r>
        <w:t xml:space="preserve">Both are fitted on the training data with a trend and a 12-month season, and forecast the 12 test months.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800"/>
        <w:gridCol w:w="1900"/>
        <w:gridCol w:w="1900"/>
        <w:gridCol w:w="2146"/>
      </w:tblGrid>
      <w:tr>
        <w:trPr>
          <w:cantSplit/>
          <w:tblHeader/>
        </w:trPr>
        <w:tc>
          <w:tcPr>
            <w:tcW w:type="dxa" w:w="38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keepNext/>
              <w:jc w:val="left"/>
            </w:pPr>
            <w:r>
              <w:rPr>
                <w:b/>
                <w:bCs/>
                <w:color w:val="FFFFFF"/>
                <w:sz w:val="20"/>
                <w:szCs w:val="20"/>
              </w:rPr>
              <w:t xml:space="preserve">Method</w:t>
            </w:r>
          </w:p>
        </w:tc>
        <w:tc>
          <w:tcPr>
            <w:tcW w:type="dxa" w:w="19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keepNext/>
              <w:jc w:val="center"/>
            </w:pPr>
            <w:r>
              <w:rPr>
                <w:b/>
                <w:bCs/>
                <w:color w:val="FFFFFF"/>
                <w:sz w:val="20"/>
                <w:szCs w:val="20"/>
              </w:rPr>
              <w:t xml:space="preserve">MAE</w:t>
            </w:r>
          </w:p>
        </w:tc>
        <w:tc>
          <w:tcPr>
            <w:tcW w:type="dxa" w:w="19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keepNext/>
              <w:jc w:val="center"/>
            </w:pPr>
            <w:r>
              <w:rPr>
                <w:b/>
                <w:bCs/>
                <w:color w:val="FFFFFF"/>
                <w:sz w:val="20"/>
                <w:szCs w:val="20"/>
              </w:rPr>
              <w:t xml:space="preserve">RMSE</w:t>
            </w:r>
          </w:p>
        </w:tc>
        <w:tc>
          <w:tcPr>
            <w:tcW w:type="dxa" w:w="214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keepNext/>
              <w:jc w:val="center"/>
            </w:pPr>
            <w:r>
              <w:rPr>
                <w:b/>
                <w:bCs/>
                <w:color w:val="FFFFFF"/>
                <w:sz w:val="20"/>
                <w:szCs w:val="20"/>
              </w:rPr>
              <w:t xml:space="preserve">MAPE (%)</w:t>
            </w:r>
          </w:p>
        </w:tc>
      </w:tr>
      <w:tr>
        <w:trPr>
          <w:cantSplit/>
        </w:trPr>
        <w:tc>
          <w:tcPr>
            <w:tcW w:type="dxa" w:w="38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pPr>
              <w:keepNext/>
              <w:jc w:val="left"/>
            </w:pPr>
            <w:r>
              <w:rPr>
                <w:b w:val="false"/>
                <w:bCs w:val="false"/>
                <w:color w:val="000000"/>
                <w:sz w:val="20"/>
                <w:szCs w:val="20"/>
              </w:rPr>
              <w:t xml:space="preserve">Holt-Winters Additive</w:t>
            </w:r>
          </w:p>
        </w:tc>
        <w:tc>
          <w:tcPr>
            <w:tcW w:type="dxa" w:w="19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pPr>
              <w:keepNext/>
              <w:jc w:val="center"/>
            </w:pPr>
            <w:r>
              <w:rPr>
                <w:b w:val="false"/>
                <w:bCs w:val="false"/>
                <w:color w:val="000000"/>
                <w:sz w:val="20"/>
                <w:szCs w:val="20"/>
              </w:rPr>
              <w:t xml:space="preserve">1.644</w:t>
            </w:r>
          </w:p>
        </w:tc>
        <w:tc>
          <w:tcPr>
            <w:tcW w:type="dxa" w:w="19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pPr>
              <w:keepNext/>
              <w:jc w:val="center"/>
            </w:pPr>
            <w:r>
              <w:rPr>
                <w:b w:val="false"/>
                <w:bCs w:val="false"/>
                <w:color w:val="000000"/>
                <w:sz w:val="20"/>
                <w:szCs w:val="20"/>
              </w:rPr>
              <w:t xml:space="preserve">1.968</w:t>
            </w:r>
          </w:p>
        </w:tc>
        <w:tc>
          <w:tcPr>
            <w:tcW w:type="dxa" w:w="2146"/>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pPr>
              <w:keepNext/>
              <w:jc w:val="center"/>
            </w:pPr>
            <w:r>
              <w:rPr>
                <w:b w:val="false"/>
                <w:bCs w:val="false"/>
                <w:color w:val="000000"/>
                <w:sz w:val="20"/>
                <w:szCs w:val="20"/>
              </w:rPr>
              <w:t xml:space="preserve">2.224</w:t>
            </w:r>
          </w:p>
        </w:tc>
      </w:tr>
      <w:tr>
        <w:trPr>
          <w:cantSplit/>
        </w:trPr>
        <w:tc>
          <w:tcPr>
            <w:tcW w:type="dxa" w:w="3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val="false"/>
              <w:jc w:val="left"/>
            </w:pPr>
            <w:r>
              <w:rPr>
                <w:b w:val="false"/>
                <w:bCs w:val="false"/>
                <w:color w:val="000000"/>
                <w:sz w:val="20"/>
                <w:szCs w:val="20"/>
              </w:rPr>
              <w:t xml:space="preserve">Holt-Winters Multiplicative</w:t>
            </w:r>
          </w:p>
        </w:tc>
        <w:tc>
          <w:tcPr>
            <w:tcW w:type="dxa" w:w="1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val="false"/>
              <w:jc w:val="center"/>
            </w:pPr>
            <w:r>
              <w:rPr>
                <w:b w:val="false"/>
                <w:bCs w:val="false"/>
                <w:color w:val="000000"/>
                <w:sz w:val="20"/>
                <w:szCs w:val="20"/>
              </w:rPr>
              <w:t xml:space="preserve">1.738</w:t>
            </w:r>
          </w:p>
        </w:tc>
        <w:tc>
          <w:tcPr>
            <w:tcW w:type="dxa" w:w="1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val="false"/>
              <w:jc w:val="center"/>
            </w:pPr>
            <w:r>
              <w:rPr>
                <w:b w:val="false"/>
                <w:bCs w:val="false"/>
                <w:color w:val="000000"/>
                <w:sz w:val="20"/>
                <w:szCs w:val="20"/>
              </w:rPr>
              <w:t xml:space="preserve">1.970</w:t>
            </w:r>
          </w:p>
        </w:tc>
        <w:tc>
          <w:tcPr>
            <w:tcW w:type="dxa" w:w="214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val="false"/>
              <w:jc w:val="center"/>
            </w:pPr>
            <w:r>
              <w:rPr>
                <w:b w:val="false"/>
                <w:bCs w:val="false"/>
                <w:color w:val="000000"/>
                <w:sz w:val="20"/>
                <w:szCs w:val="20"/>
              </w:rPr>
              <w:t xml:space="preserve">2.383</w:t>
            </w:r>
          </w:p>
        </w:tc>
      </w:tr>
    </w:tbl>
    <w:p>
      <w:pPr>
        <w:spacing w:after="80"/>
      </w:pPr>
    </w:p>
    <w:p>
      <w:pPr>
        <w:spacing w:after="120" w:line="300"/>
      </w:pPr>
      <w:r>
        <w:t xml:space="preserve">The two are almost the same, and the additive one is slightly better. This tells us the seasonal swings in FreshMart's data are roughly a fixed size, and do not grow much with sales. (The additive Holt-Winters is the same model as the triple exponential smoothing in Task 2, which is why the numbers are the same.)</w:t>
      </w:r>
    </w:p>
    <w:p>
      <w:pPr>
        <w:pStyle w:val="Heading1"/>
        <w:pageBreakBefore/>
      </w:pPr>
      <w:r>
        <w:t xml:space="preserve">10. Comparing All the Models</w:t>
      </w:r>
    </w:p>
    <w:p>
      <w:pPr>
        <w:pStyle w:val="Heading2"/>
      </w:pPr>
      <w:r>
        <w:t xml:space="preserve">Step 28: Final comparison table (Cell 41)</w:t>
      </w:r>
    </w:p>
    <w:p>
      <w:pPr>
        <w:spacing w:after="120" w:line="300"/>
      </w:pPr>
      <w:r>
        <w:t xml:space="preserve">The notebook collects the MAE, RMSE and MAPE of every model into one table and sorts it from best to worst by RMSE. This is the main deliverable asked by the professor.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00"/>
        <w:gridCol w:w="3900"/>
        <w:gridCol w:w="1500"/>
        <w:gridCol w:w="1500"/>
        <w:gridCol w:w="1946"/>
      </w:tblGrid>
      <w:tr>
        <w:trPr>
          <w:cantSplit/>
          <w:tblHeader/>
        </w:trPr>
        <w:tc>
          <w:tcPr>
            <w:tcW w:type="dxa" w:w="9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keepNext/>
              <w:jc w:val="left"/>
            </w:pPr>
            <w:r>
              <w:rPr>
                <w:b/>
                <w:bCs/>
                <w:color w:val="FFFFFF"/>
                <w:sz w:val="20"/>
                <w:szCs w:val="20"/>
              </w:rPr>
              <w:t xml:space="preserve">Rank</w:t>
            </w:r>
          </w:p>
        </w:tc>
        <w:tc>
          <w:tcPr>
            <w:tcW w:type="dxa" w:w="39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keepNext/>
              <w:jc w:val="center"/>
            </w:pPr>
            <w:r>
              <w:rPr>
                <w:b/>
                <w:bCs/>
                <w:color w:val="FFFFFF"/>
                <w:sz w:val="20"/>
                <w:szCs w:val="20"/>
              </w:rPr>
              <w:t xml:space="preserve">Model</w:t>
            </w:r>
          </w:p>
        </w:tc>
        <w:tc>
          <w:tcPr>
            <w:tcW w:type="dxa" w:w="15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keepNext/>
              <w:jc w:val="center"/>
            </w:pPr>
            <w:r>
              <w:rPr>
                <w:b/>
                <w:bCs/>
                <w:color w:val="FFFFFF"/>
                <w:sz w:val="20"/>
                <w:szCs w:val="20"/>
              </w:rPr>
              <w:t xml:space="preserve">MAE</w:t>
            </w:r>
          </w:p>
        </w:tc>
        <w:tc>
          <w:tcPr>
            <w:tcW w:type="dxa" w:w="15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keepNext/>
              <w:jc w:val="center"/>
            </w:pPr>
            <w:r>
              <w:rPr>
                <w:b/>
                <w:bCs/>
                <w:color w:val="FFFFFF"/>
                <w:sz w:val="20"/>
                <w:szCs w:val="20"/>
              </w:rPr>
              <w:t xml:space="preserve">RMSE</w:t>
            </w:r>
          </w:p>
        </w:tc>
        <w:tc>
          <w:tcPr>
            <w:tcW w:type="dxa" w:w="194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keepNext/>
              <w:jc w:val="center"/>
            </w:pPr>
            <w:r>
              <w:rPr>
                <w:b/>
                <w:bCs/>
                <w:color w:val="FFFFFF"/>
                <w:sz w:val="20"/>
                <w:szCs w:val="20"/>
              </w:rPr>
              <w:t xml:space="preserve">MAPE (%)</w:t>
            </w:r>
          </w:p>
        </w:tc>
      </w:tr>
      <w:tr>
        <w:trPr>
          <w:cantSplit/>
        </w:trPr>
        <w:tc>
          <w:tcPr>
            <w:tcW w:type="dxa" w:w="9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pPr>
              <w:keepNext/>
              <w:jc w:val="left"/>
            </w:pPr>
            <w:r>
              <w:rPr>
                <w:b w:val="false"/>
                <w:bCs w:val="false"/>
                <w:color w:val="000000"/>
                <w:sz w:val="20"/>
                <w:szCs w:val="20"/>
              </w:rPr>
              <w:t xml:space="preserve">1</w:t>
            </w:r>
          </w:p>
        </w:tc>
        <w:tc>
          <w:tcPr>
            <w:tcW w:type="dxa" w:w="39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pPr>
              <w:keepNext/>
              <w:jc w:val="center"/>
            </w:pPr>
            <w:r>
              <w:rPr>
                <w:b w:val="false"/>
                <w:bCs w:val="false"/>
                <w:color w:val="000000"/>
                <w:sz w:val="20"/>
                <w:szCs w:val="20"/>
              </w:rPr>
              <w:t xml:space="preserve">SARIMA(2,1,0)(1,0,0)[12]</w:t>
            </w:r>
          </w:p>
        </w:tc>
        <w:tc>
          <w:tcPr>
            <w:tcW w:type="dxa" w:w="15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pPr>
              <w:keepNext/>
              <w:jc w:val="center"/>
            </w:pPr>
            <w:r>
              <w:rPr>
                <w:b w:val="false"/>
                <w:bCs w:val="false"/>
                <w:color w:val="000000"/>
                <w:sz w:val="20"/>
                <w:szCs w:val="20"/>
              </w:rPr>
              <w:t xml:space="preserve">1.012</w:t>
            </w:r>
          </w:p>
        </w:tc>
        <w:tc>
          <w:tcPr>
            <w:tcW w:type="dxa" w:w="15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pPr>
              <w:keepNext/>
              <w:jc w:val="center"/>
            </w:pPr>
            <w:r>
              <w:rPr>
                <w:b w:val="false"/>
                <w:bCs w:val="false"/>
                <w:color w:val="000000"/>
                <w:sz w:val="20"/>
                <w:szCs w:val="20"/>
              </w:rPr>
              <w:t xml:space="preserve">1.338</w:t>
            </w:r>
          </w:p>
        </w:tc>
        <w:tc>
          <w:tcPr>
            <w:tcW w:type="dxa" w:w="1946"/>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pPr>
              <w:keepNext/>
              <w:jc w:val="center"/>
            </w:pPr>
            <w:r>
              <w:rPr>
                <w:b w:val="false"/>
                <w:bCs w:val="false"/>
                <w:color w:val="000000"/>
                <w:sz w:val="20"/>
                <w:szCs w:val="20"/>
              </w:rPr>
              <w:t xml:space="preserve">1.394</w:t>
            </w:r>
          </w:p>
        </w:tc>
      </w:tr>
      <w:tr>
        <w:trPr>
          <w:cantSplit/>
        </w:trPr>
        <w:tc>
          <w:tcPr>
            <w:tcW w:type="dxa" w:w="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jc w:val="left"/>
            </w:pPr>
            <w:r>
              <w:rPr>
                <w:b w:val="false"/>
                <w:bCs w:val="false"/>
                <w:color w:val="000000"/>
                <w:sz w:val="20"/>
                <w:szCs w:val="20"/>
              </w:rPr>
              <w:t xml:space="preserve">2</w:t>
            </w:r>
          </w:p>
        </w:tc>
        <w:tc>
          <w:tcPr>
            <w:tcW w:type="dxa" w:w="3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jc w:val="center"/>
            </w:pPr>
            <w:r>
              <w:rPr>
                <w:b w:val="false"/>
                <w:bCs w:val="false"/>
                <w:color w:val="000000"/>
                <w:sz w:val="20"/>
                <w:szCs w:val="20"/>
              </w:rPr>
              <w:t xml:space="preserve">Triple Exp. / Holt-Winters</w:t>
            </w:r>
          </w:p>
        </w:tc>
        <w:tc>
          <w:tcPr>
            <w:tcW w:type="dxa" w:w="1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jc w:val="center"/>
            </w:pPr>
            <w:r>
              <w:rPr>
                <w:b w:val="false"/>
                <w:bCs w:val="false"/>
                <w:color w:val="000000"/>
                <w:sz w:val="20"/>
                <w:szCs w:val="20"/>
              </w:rPr>
              <w:t xml:space="preserve">1.644</w:t>
            </w:r>
          </w:p>
        </w:tc>
        <w:tc>
          <w:tcPr>
            <w:tcW w:type="dxa" w:w="1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jc w:val="center"/>
            </w:pPr>
            <w:r>
              <w:rPr>
                <w:b w:val="false"/>
                <w:bCs w:val="false"/>
                <w:color w:val="000000"/>
                <w:sz w:val="20"/>
                <w:szCs w:val="20"/>
              </w:rPr>
              <w:t xml:space="preserve">1.968</w:t>
            </w:r>
          </w:p>
        </w:tc>
        <w:tc>
          <w:tcPr>
            <w:tcW w:type="dxa" w:w="194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jc w:val="center"/>
            </w:pPr>
            <w:r>
              <w:rPr>
                <w:b w:val="false"/>
                <w:bCs w:val="false"/>
                <w:color w:val="000000"/>
                <w:sz w:val="20"/>
                <w:szCs w:val="20"/>
              </w:rPr>
              <w:t xml:space="preserve">2.224</w:t>
            </w:r>
          </w:p>
        </w:tc>
      </w:tr>
      <w:tr>
        <w:trPr>
          <w:cantSplit/>
        </w:trPr>
        <w:tc>
          <w:tcPr>
            <w:tcW w:type="dxa" w:w="9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keepNext/>
              <w:jc w:val="left"/>
            </w:pPr>
            <w:r>
              <w:rPr>
                <w:b w:val="false"/>
                <w:bCs w:val="false"/>
                <w:color w:val="000000"/>
                <w:sz w:val="20"/>
                <w:szCs w:val="20"/>
              </w:rPr>
              <w:t xml:space="preserve">3</w:t>
            </w:r>
          </w:p>
        </w:tc>
        <w:tc>
          <w:tcPr>
            <w:tcW w:type="dxa" w:w="39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keepNext/>
              <w:jc w:val="center"/>
            </w:pPr>
            <w:r>
              <w:rPr>
                <w:b w:val="false"/>
                <w:bCs w:val="false"/>
                <w:color w:val="000000"/>
                <w:sz w:val="20"/>
                <w:szCs w:val="20"/>
              </w:rPr>
              <w:t xml:space="preserve">Holt-Winters Additive</w:t>
            </w:r>
          </w:p>
        </w:tc>
        <w:tc>
          <w:tcPr>
            <w:tcW w:type="dxa" w:w="15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keepNext/>
              <w:jc w:val="center"/>
            </w:pPr>
            <w:r>
              <w:rPr>
                <w:b w:val="false"/>
                <w:bCs w:val="false"/>
                <w:color w:val="000000"/>
                <w:sz w:val="20"/>
                <w:szCs w:val="20"/>
              </w:rPr>
              <w:t xml:space="preserve">1.644</w:t>
            </w:r>
          </w:p>
        </w:tc>
        <w:tc>
          <w:tcPr>
            <w:tcW w:type="dxa" w:w="15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keepNext/>
              <w:jc w:val="center"/>
            </w:pPr>
            <w:r>
              <w:rPr>
                <w:b w:val="false"/>
                <w:bCs w:val="false"/>
                <w:color w:val="000000"/>
                <w:sz w:val="20"/>
                <w:szCs w:val="20"/>
              </w:rPr>
              <w:t xml:space="preserve">1.968</w:t>
            </w:r>
          </w:p>
        </w:tc>
        <w:tc>
          <w:tcPr>
            <w:tcW w:type="dxa" w:w="194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keepNext/>
              <w:jc w:val="center"/>
            </w:pPr>
            <w:r>
              <w:rPr>
                <w:b w:val="false"/>
                <w:bCs w:val="false"/>
                <w:color w:val="000000"/>
                <w:sz w:val="20"/>
                <w:szCs w:val="20"/>
              </w:rPr>
              <w:t xml:space="preserve">2.224</w:t>
            </w:r>
          </w:p>
        </w:tc>
      </w:tr>
      <w:tr>
        <w:trPr>
          <w:cantSplit/>
        </w:trPr>
        <w:tc>
          <w:tcPr>
            <w:tcW w:type="dxa" w:w="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jc w:val="left"/>
            </w:pPr>
            <w:r>
              <w:rPr>
                <w:b w:val="false"/>
                <w:bCs w:val="false"/>
                <w:color w:val="000000"/>
                <w:sz w:val="20"/>
                <w:szCs w:val="20"/>
              </w:rPr>
              <w:t xml:space="preserve">4</w:t>
            </w:r>
          </w:p>
        </w:tc>
        <w:tc>
          <w:tcPr>
            <w:tcW w:type="dxa" w:w="3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jc w:val="center"/>
            </w:pPr>
            <w:r>
              <w:rPr>
                <w:b w:val="false"/>
                <w:bCs w:val="false"/>
                <w:color w:val="000000"/>
                <w:sz w:val="20"/>
                <w:szCs w:val="20"/>
              </w:rPr>
              <w:t xml:space="preserve">Holt-Winters Multiplicative</w:t>
            </w:r>
          </w:p>
        </w:tc>
        <w:tc>
          <w:tcPr>
            <w:tcW w:type="dxa" w:w="1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jc w:val="center"/>
            </w:pPr>
            <w:r>
              <w:rPr>
                <w:b w:val="false"/>
                <w:bCs w:val="false"/>
                <w:color w:val="000000"/>
                <w:sz w:val="20"/>
                <w:szCs w:val="20"/>
              </w:rPr>
              <w:t xml:space="preserve">1.738</w:t>
            </w:r>
          </w:p>
        </w:tc>
        <w:tc>
          <w:tcPr>
            <w:tcW w:type="dxa" w:w="1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jc w:val="center"/>
            </w:pPr>
            <w:r>
              <w:rPr>
                <w:b w:val="false"/>
                <w:bCs w:val="false"/>
                <w:color w:val="000000"/>
                <w:sz w:val="20"/>
                <w:szCs w:val="20"/>
              </w:rPr>
              <w:t xml:space="preserve">1.970</w:t>
            </w:r>
          </w:p>
        </w:tc>
        <w:tc>
          <w:tcPr>
            <w:tcW w:type="dxa" w:w="194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jc w:val="center"/>
            </w:pPr>
            <w:r>
              <w:rPr>
                <w:b w:val="false"/>
                <w:bCs w:val="false"/>
                <w:color w:val="000000"/>
                <w:sz w:val="20"/>
                <w:szCs w:val="20"/>
              </w:rPr>
              <w:t xml:space="preserve">2.383</w:t>
            </w:r>
          </w:p>
        </w:tc>
      </w:tr>
      <w:tr>
        <w:trPr>
          <w:cantSplit/>
        </w:trPr>
        <w:tc>
          <w:tcPr>
            <w:tcW w:type="dxa" w:w="9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keepNext/>
              <w:jc w:val="left"/>
            </w:pPr>
            <w:r>
              <w:rPr>
                <w:b w:val="false"/>
                <w:bCs w:val="false"/>
                <w:color w:val="000000"/>
                <w:sz w:val="20"/>
                <w:szCs w:val="20"/>
              </w:rPr>
              <w:t xml:space="preserve">5</w:t>
            </w:r>
          </w:p>
        </w:tc>
        <w:tc>
          <w:tcPr>
            <w:tcW w:type="dxa" w:w="39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keepNext/>
              <w:jc w:val="center"/>
            </w:pPr>
            <w:r>
              <w:rPr>
                <w:b w:val="false"/>
                <w:bCs w:val="false"/>
                <w:color w:val="000000"/>
                <w:sz w:val="20"/>
                <w:szCs w:val="20"/>
              </w:rPr>
              <w:t xml:space="preserve">ARIMA(3,1,3)</w:t>
            </w:r>
          </w:p>
        </w:tc>
        <w:tc>
          <w:tcPr>
            <w:tcW w:type="dxa" w:w="15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keepNext/>
              <w:jc w:val="center"/>
            </w:pPr>
            <w:r>
              <w:rPr>
                <w:b w:val="false"/>
                <w:bCs w:val="false"/>
                <w:color w:val="000000"/>
                <w:sz w:val="20"/>
                <w:szCs w:val="20"/>
              </w:rPr>
              <w:t xml:space="preserve">2.434</w:t>
            </w:r>
          </w:p>
        </w:tc>
        <w:tc>
          <w:tcPr>
            <w:tcW w:type="dxa" w:w="15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keepNext/>
              <w:jc w:val="center"/>
            </w:pPr>
            <w:r>
              <w:rPr>
                <w:b w:val="false"/>
                <w:bCs w:val="false"/>
                <w:color w:val="000000"/>
                <w:sz w:val="20"/>
                <w:szCs w:val="20"/>
              </w:rPr>
              <w:t xml:space="preserve">2.928</w:t>
            </w:r>
          </w:p>
        </w:tc>
        <w:tc>
          <w:tcPr>
            <w:tcW w:type="dxa" w:w="194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keepNext/>
              <w:jc w:val="center"/>
            </w:pPr>
            <w:r>
              <w:rPr>
                <w:b w:val="false"/>
                <w:bCs w:val="false"/>
                <w:color w:val="000000"/>
                <w:sz w:val="20"/>
                <w:szCs w:val="20"/>
              </w:rPr>
              <w:t xml:space="preserve">3.374</w:t>
            </w:r>
          </w:p>
        </w:tc>
      </w:tr>
      <w:tr>
        <w:trPr>
          <w:cantSplit/>
        </w:trPr>
        <w:tc>
          <w:tcPr>
            <w:tcW w:type="dxa" w:w="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jc w:val="left"/>
            </w:pPr>
            <w:r>
              <w:rPr>
                <w:b w:val="false"/>
                <w:bCs w:val="false"/>
                <w:color w:val="000000"/>
                <w:sz w:val="20"/>
                <w:szCs w:val="20"/>
              </w:rPr>
              <w:t xml:space="preserve">6</w:t>
            </w:r>
          </w:p>
        </w:tc>
        <w:tc>
          <w:tcPr>
            <w:tcW w:type="dxa" w:w="3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jc w:val="center"/>
            </w:pPr>
            <w:r>
              <w:rPr>
                <w:b w:val="false"/>
                <w:bCs w:val="false"/>
                <w:color w:val="000000"/>
                <w:sz w:val="20"/>
                <w:szCs w:val="20"/>
              </w:rPr>
              <w:t xml:space="preserve">SES</w:t>
            </w:r>
          </w:p>
        </w:tc>
        <w:tc>
          <w:tcPr>
            <w:tcW w:type="dxa" w:w="1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jc w:val="center"/>
            </w:pPr>
            <w:r>
              <w:rPr>
                <w:b w:val="false"/>
                <w:bCs w:val="false"/>
                <w:color w:val="000000"/>
                <w:sz w:val="20"/>
                <w:szCs w:val="20"/>
              </w:rPr>
              <w:t xml:space="preserve">3.318</w:t>
            </w:r>
          </w:p>
        </w:tc>
        <w:tc>
          <w:tcPr>
            <w:tcW w:type="dxa" w:w="1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jc w:val="center"/>
            </w:pPr>
            <w:r>
              <w:rPr>
                <w:b w:val="false"/>
                <w:bCs w:val="false"/>
                <w:color w:val="000000"/>
                <w:sz w:val="20"/>
                <w:szCs w:val="20"/>
              </w:rPr>
              <w:t xml:space="preserve">4.101</w:t>
            </w:r>
          </w:p>
        </w:tc>
        <w:tc>
          <w:tcPr>
            <w:tcW w:type="dxa" w:w="194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jc w:val="center"/>
            </w:pPr>
            <w:r>
              <w:rPr>
                <w:b w:val="false"/>
                <w:bCs w:val="false"/>
                <w:color w:val="000000"/>
                <w:sz w:val="20"/>
                <w:szCs w:val="20"/>
              </w:rPr>
              <w:t xml:space="preserve">4.651</w:t>
            </w:r>
          </w:p>
        </w:tc>
      </w:tr>
      <w:tr>
        <w:trPr>
          <w:cantSplit/>
        </w:trPr>
        <w:tc>
          <w:tcPr>
            <w:tcW w:type="dxa" w:w="9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keepNext/>
              <w:jc w:val="left"/>
            </w:pPr>
            <w:r>
              <w:rPr>
                <w:b w:val="false"/>
                <w:bCs w:val="false"/>
                <w:color w:val="000000"/>
                <w:sz w:val="20"/>
                <w:szCs w:val="20"/>
              </w:rPr>
              <w:t xml:space="preserve">7</w:t>
            </w:r>
          </w:p>
        </w:tc>
        <w:tc>
          <w:tcPr>
            <w:tcW w:type="dxa" w:w="39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keepNext/>
              <w:jc w:val="center"/>
            </w:pPr>
            <w:r>
              <w:rPr>
                <w:b w:val="false"/>
                <w:bCs w:val="false"/>
                <w:color w:val="000000"/>
                <w:sz w:val="20"/>
                <w:szCs w:val="20"/>
              </w:rPr>
              <w:t xml:space="preserve">Double Exponential</w:t>
            </w:r>
          </w:p>
        </w:tc>
        <w:tc>
          <w:tcPr>
            <w:tcW w:type="dxa" w:w="15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keepNext/>
              <w:jc w:val="center"/>
            </w:pPr>
            <w:r>
              <w:rPr>
                <w:b w:val="false"/>
                <w:bCs w:val="false"/>
                <w:color w:val="000000"/>
                <w:sz w:val="20"/>
                <w:szCs w:val="20"/>
              </w:rPr>
              <w:t xml:space="preserve">4.011</w:t>
            </w:r>
          </w:p>
        </w:tc>
        <w:tc>
          <w:tcPr>
            <w:tcW w:type="dxa" w:w="15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keepNext/>
              <w:jc w:val="center"/>
            </w:pPr>
            <w:r>
              <w:rPr>
                <w:b w:val="false"/>
                <w:bCs w:val="false"/>
                <w:color w:val="000000"/>
                <w:sz w:val="20"/>
                <w:szCs w:val="20"/>
              </w:rPr>
              <w:t xml:space="preserve">4.605</w:t>
            </w:r>
          </w:p>
        </w:tc>
        <w:tc>
          <w:tcPr>
            <w:tcW w:type="dxa" w:w="194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keepNext/>
              <w:jc w:val="center"/>
            </w:pPr>
            <w:r>
              <w:rPr>
                <w:b w:val="false"/>
                <w:bCs w:val="false"/>
                <w:color w:val="000000"/>
                <w:sz w:val="20"/>
                <w:szCs w:val="20"/>
              </w:rPr>
              <w:t xml:space="preserve">5.572</w:t>
            </w:r>
          </w:p>
        </w:tc>
      </w:tr>
      <w:tr>
        <w:trPr>
          <w:cantSplit/>
        </w:trPr>
        <w:tc>
          <w:tcPr>
            <w:tcW w:type="dxa" w:w="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jc w:val="left"/>
            </w:pPr>
            <w:r>
              <w:rPr>
                <w:b w:val="false"/>
                <w:bCs w:val="false"/>
                <w:color w:val="000000"/>
                <w:sz w:val="20"/>
                <w:szCs w:val="20"/>
              </w:rPr>
              <w:t xml:space="preserve">8</w:t>
            </w:r>
          </w:p>
        </w:tc>
        <w:tc>
          <w:tcPr>
            <w:tcW w:type="dxa" w:w="3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jc w:val="center"/>
            </w:pPr>
            <w:r>
              <w:rPr>
                <w:b w:val="false"/>
                <w:bCs w:val="false"/>
                <w:color w:val="000000"/>
                <w:sz w:val="20"/>
                <w:szCs w:val="20"/>
              </w:rPr>
              <w:t xml:space="preserve">AR(1)</w:t>
            </w:r>
          </w:p>
        </w:tc>
        <w:tc>
          <w:tcPr>
            <w:tcW w:type="dxa" w:w="1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jc w:val="center"/>
            </w:pPr>
            <w:r>
              <w:rPr>
                <w:b w:val="false"/>
                <w:bCs w:val="false"/>
                <w:color w:val="000000"/>
                <w:sz w:val="20"/>
                <w:szCs w:val="20"/>
              </w:rPr>
              <w:t xml:space="preserve">5.134</w:t>
            </w:r>
          </w:p>
        </w:tc>
        <w:tc>
          <w:tcPr>
            <w:tcW w:type="dxa" w:w="1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jc w:val="center"/>
            </w:pPr>
            <w:r>
              <w:rPr>
                <w:b w:val="false"/>
                <w:bCs w:val="false"/>
                <w:color w:val="000000"/>
                <w:sz w:val="20"/>
                <w:szCs w:val="20"/>
              </w:rPr>
              <w:t xml:space="preserve">6.417</w:t>
            </w:r>
          </w:p>
        </w:tc>
        <w:tc>
          <w:tcPr>
            <w:tcW w:type="dxa" w:w="194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jc w:val="center"/>
            </w:pPr>
            <w:r>
              <w:rPr>
                <w:b w:val="false"/>
                <w:bCs w:val="false"/>
                <w:color w:val="000000"/>
                <w:sz w:val="20"/>
                <w:szCs w:val="20"/>
              </w:rPr>
              <w:t xml:space="preserve">6.862</w:t>
            </w:r>
          </w:p>
        </w:tc>
      </w:tr>
      <w:tr>
        <w:trPr>
          <w:cantSplit/>
        </w:trPr>
        <w:tc>
          <w:tcPr>
            <w:tcW w:type="dxa" w:w="9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keepNext/>
              <w:jc w:val="left"/>
            </w:pPr>
            <w:r>
              <w:rPr>
                <w:b w:val="false"/>
                <w:bCs w:val="false"/>
                <w:color w:val="000000"/>
                <w:sz w:val="20"/>
                <w:szCs w:val="20"/>
              </w:rPr>
              <w:t xml:space="preserve">9</w:t>
            </w:r>
          </w:p>
        </w:tc>
        <w:tc>
          <w:tcPr>
            <w:tcW w:type="dxa" w:w="39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keepNext/>
              <w:jc w:val="center"/>
            </w:pPr>
            <w:r>
              <w:rPr>
                <w:b w:val="false"/>
                <w:bCs w:val="false"/>
                <w:color w:val="000000"/>
                <w:sz w:val="20"/>
                <w:szCs w:val="20"/>
              </w:rPr>
              <w:t xml:space="preserve">AR(3)</w:t>
            </w:r>
          </w:p>
        </w:tc>
        <w:tc>
          <w:tcPr>
            <w:tcW w:type="dxa" w:w="15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keepNext/>
              <w:jc w:val="center"/>
            </w:pPr>
            <w:r>
              <w:rPr>
                <w:b w:val="false"/>
                <w:bCs w:val="false"/>
                <w:color w:val="000000"/>
                <w:sz w:val="20"/>
                <w:szCs w:val="20"/>
              </w:rPr>
              <w:t xml:space="preserve">7.053</w:t>
            </w:r>
          </w:p>
        </w:tc>
        <w:tc>
          <w:tcPr>
            <w:tcW w:type="dxa" w:w="15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keepNext/>
              <w:jc w:val="center"/>
            </w:pPr>
            <w:r>
              <w:rPr>
                <w:b w:val="false"/>
                <w:bCs w:val="false"/>
                <w:color w:val="000000"/>
                <w:sz w:val="20"/>
                <w:szCs w:val="20"/>
              </w:rPr>
              <w:t xml:space="preserve">8.587</w:t>
            </w:r>
          </w:p>
        </w:tc>
        <w:tc>
          <w:tcPr>
            <w:tcW w:type="dxa" w:w="194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keepNext/>
              <w:jc w:val="center"/>
            </w:pPr>
            <w:r>
              <w:rPr>
                <w:b w:val="false"/>
                <w:bCs w:val="false"/>
                <w:color w:val="000000"/>
                <w:sz w:val="20"/>
                <w:szCs w:val="20"/>
              </w:rPr>
              <w:t xml:space="preserve">9.453</w:t>
            </w:r>
          </w:p>
        </w:tc>
      </w:tr>
      <w:tr>
        <w:trPr>
          <w:cantSplit/>
        </w:trPr>
        <w:tc>
          <w:tcPr>
            <w:tcW w:type="dxa" w:w="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val="false"/>
              <w:jc w:val="left"/>
            </w:pPr>
            <w:r>
              <w:rPr>
                <w:b w:val="false"/>
                <w:bCs w:val="false"/>
                <w:color w:val="000000"/>
                <w:sz w:val="20"/>
                <w:szCs w:val="20"/>
              </w:rPr>
              <w:t xml:space="preserve">10</w:t>
            </w:r>
          </w:p>
        </w:tc>
        <w:tc>
          <w:tcPr>
            <w:tcW w:type="dxa" w:w="3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val="false"/>
              <w:jc w:val="center"/>
            </w:pPr>
            <w:r>
              <w:rPr>
                <w:b w:val="false"/>
                <w:bCs w:val="false"/>
                <w:color w:val="000000"/>
                <w:sz w:val="20"/>
                <w:szCs w:val="20"/>
              </w:rPr>
              <w:t xml:space="preserve">AR(2)</w:t>
            </w:r>
          </w:p>
        </w:tc>
        <w:tc>
          <w:tcPr>
            <w:tcW w:type="dxa" w:w="1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val="false"/>
              <w:jc w:val="center"/>
            </w:pPr>
            <w:r>
              <w:rPr>
                <w:b w:val="false"/>
                <w:bCs w:val="false"/>
                <w:color w:val="000000"/>
                <w:sz w:val="20"/>
                <w:szCs w:val="20"/>
              </w:rPr>
              <w:t xml:space="preserve">7.257</w:t>
            </w:r>
          </w:p>
        </w:tc>
        <w:tc>
          <w:tcPr>
            <w:tcW w:type="dxa" w:w="1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val="false"/>
              <w:jc w:val="center"/>
            </w:pPr>
            <w:r>
              <w:rPr>
                <w:b w:val="false"/>
                <w:bCs w:val="false"/>
                <w:color w:val="000000"/>
                <w:sz w:val="20"/>
                <w:szCs w:val="20"/>
              </w:rPr>
              <w:t xml:space="preserve">8.787</w:t>
            </w:r>
          </w:p>
        </w:tc>
        <w:tc>
          <w:tcPr>
            <w:tcW w:type="dxa" w:w="194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val="false"/>
              <w:jc w:val="center"/>
            </w:pPr>
            <w:r>
              <w:rPr>
                <w:b w:val="false"/>
                <w:bCs w:val="false"/>
                <w:color w:val="000000"/>
                <w:sz w:val="20"/>
                <w:szCs w:val="20"/>
              </w:rPr>
              <w:t xml:space="preserve">9.738</w:t>
            </w:r>
          </w:p>
        </w:tc>
      </w:tr>
    </w:tbl>
    <w:p>
      <w:pPr>
        <w:spacing w:after="80"/>
      </w:pPr>
    </w:p>
    <w:p>
      <w:pPr>
        <w:spacing w:after="120" w:line="300"/>
      </w:pPr>
      <w:r>
        <w:rPr>
          <w:b/>
          <w:bCs/>
        </w:rPr>
        <w:t xml:space="preserve">Reading the table:</w:t>
      </w:r>
      <w:r>
        <w:t xml:space="preserve"> the seasonal models (SARIMA and Holt-Winters) take the top spots, the models without seasonality (ARIMA, SES, Double) are in the middle, and the plain AR models are at the bottom. The lesson is that for data with a strong yearly pattern, </w:t>
      </w:r>
      <w:r>
        <w:rPr>
          <w:b/>
          <w:bCs/>
        </w:rPr>
        <w:t xml:space="preserve">the model must understand seasonality</w:t>
      </w:r>
      <w:r>
        <w:t xml:space="preserve">.</w:t>
      </w:r>
    </w:p>
    <w:p>
      <w:pPr>
        <w:pStyle w:val="Heading2"/>
      </w:pPr>
      <w:r>
        <w:t xml:space="preserve">Step 29: Plot actual vs forecast (Cell 42)</w:t>
      </w:r>
    </w:p>
    <w:p>
      <w:pPr>
        <w:keepNext/>
        <w:spacing w:after="60" w:before="120"/>
        <w:jc w:val="center"/>
      </w:pPr>
      <w:r>
        <w:drawing>
          <wp:inline distT="0" distB="0" distL="0" distR="0">
            <wp:extent cx="5715000" cy="3028950"/>
            <wp:effectExtent t="0" r="0" b="0" l="0"/>
            <wp:docPr id="1" name="Figure 11: Actual 2024 sales vs ARIMA, SARIMA and Holt-Winters forecasts" descr="Figure 11: Actual 2024 sales vs ARIMA, SARIMA and Holt-Winters forecasts" title="Figure 11: Actual 2024 sales vs ARIMA, SARIMA and Holt-Winters forecas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3028950"/>
                    </a:xfrm>
                    <a:prstGeom prst="rect">
                      <a:avLst/>
                    </a:prstGeom>
                  </pic:spPr>
                </pic:pic>
              </a:graphicData>
            </a:graphic>
          </wp:inline>
        </w:drawing>
      </w:r>
    </w:p>
    <w:p>
      <w:pPr>
        <w:spacing w:after="200"/>
        <w:jc w:val="center"/>
      </w:pPr>
      <w:r>
        <w:rPr>
          <w:i/>
          <w:iCs/>
          <w:color w:val="595959"/>
          <w:sz w:val="19"/>
          <w:szCs w:val="19"/>
        </w:rPr>
        <w:t xml:space="preserve">Figure 11: Actual 2024 sales vs ARIMA, SARIMA and Holt-Winters forecasts</w:t>
      </w:r>
    </w:p>
    <w:p>
      <w:pPr>
        <w:spacing w:after="120" w:line="300"/>
      </w:pPr>
      <w:r>
        <w:t xml:space="preserve">In Figure 11 the thick blue line is the actual sales. The </w:t>
      </w:r>
      <w:r>
        <w:rPr>
          <w:b/>
          <w:bCs/>
        </w:rPr>
        <w:t xml:space="preserve">SARIMA (green)</w:t>
      </w:r>
      <w:r>
        <w:t xml:space="preserve"> line sits very close to it for most months, and especially in the big rise at the end of the year. The Holt-Winters lines are also close. The </w:t>
      </w:r>
      <w:r>
        <w:rPr>
          <w:b/>
          <w:bCs/>
        </w:rPr>
        <w:t xml:space="preserve">ARIMA (orange)</w:t>
      </w:r>
      <w:r>
        <w:t xml:space="preserve"> line is the furthest away in several months, for example it misses the low point in September, because it has no seasonal knowledge.</w:t>
      </w:r>
    </w:p>
    <w:p>
      <w:pPr>
        <w:pStyle w:val="Heading1"/>
        <w:pageBreakBefore/>
      </w:pPr>
      <w:r>
        <w:t xml:space="preserve">11. Forecasting the Next 12 Months (2025)</w:t>
      </w:r>
    </w:p>
    <w:p>
      <w:pPr>
        <w:pStyle w:val="Heading2"/>
      </w:pPr>
      <w:r>
        <w:t xml:space="preserve">Step 30: Create future dates (Cell 43)</w:t>
      </w:r>
    </w:p>
    <w:p>
      <w:pPr>
        <w:spacing w:after="120" w:line="300"/>
      </w:pPr>
      <w:r>
        <w:t xml:space="preserve">Now that we know which models work, we forecast the real future. The notebook first makes a list of the next 12 month dates, from </w:t>
      </w:r>
      <w:r>
        <w:rPr>
          <w:b/>
          <w:bCs/>
        </w:rPr>
        <w:t xml:space="preserve">January 2025 to December 2025</w:t>
      </w:r>
      <w:r>
        <w:t xml:space="preserve">.</w:t>
      </w:r>
    </w:p>
    <w:p>
      <w:pPr>
        <w:pStyle w:val="Heading2"/>
      </w:pPr>
      <w:r>
        <w:t xml:space="preserve">Step 31: Refit on the full data and forecast (Cells 44 to 47)</w:t>
      </w:r>
    </w:p>
    <w:p>
      <w:pPr>
        <w:spacing w:after="120" w:line="300"/>
      </w:pPr>
      <w:r>
        <w:t xml:space="preserve">This time the models are re-trained on </w:t>
      </w:r>
      <w:r>
        <w:rPr>
          <w:b/>
          <w:bCs/>
        </w:rPr>
        <w:t xml:space="preserve">all 60 months</w:t>
      </w:r>
      <w:r>
        <w:t xml:space="preserve"> (not just 48), since for the real forecast we want the model to learn from every bit of available history. ARIMA, SARIMA, Holt-Winters Additive and Holt-Winters Multiplicative are each used to forecast 2025 with the settings found earlier.</w:t>
      </w:r>
    </w:p>
    <w:p>
      <w:pPr>
        <w:pStyle w:val="Heading2"/>
      </w:pPr>
      <w:r>
        <w:t xml:space="preserve">Step 32: The forecast table (Cell 48)</w:t>
      </w:r>
    </w:p>
    <w:p>
      <w:pPr>
        <w:spacing w:after="120" w:line="300"/>
      </w:pPr>
      <w:r>
        <w:t xml:space="preserve">The results are collected in one table (values in INR lakhs):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1800"/>
        <w:gridCol w:w="1800"/>
        <w:gridCol w:w="2000"/>
        <w:gridCol w:w="2246"/>
      </w:tblGrid>
      <w:tr>
        <w:trPr>
          <w:cantSplit/>
          <w:tblHeader/>
        </w:trPr>
        <w:tc>
          <w:tcPr>
            <w:tcW w:type="dxa" w:w="19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keepNext/>
              <w:jc w:val="left"/>
            </w:pPr>
            <w:r>
              <w:rPr>
                <w:b/>
                <w:bCs/>
                <w:color w:val="FFFFFF"/>
                <w:sz w:val="20"/>
                <w:szCs w:val="20"/>
              </w:rPr>
              <w:t xml:space="preserve">Month</w:t>
            </w:r>
          </w:p>
        </w:tc>
        <w:tc>
          <w:tcPr>
            <w:tcW w:type="dxa" w:w="18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keepNext/>
              <w:jc w:val="center"/>
            </w:pPr>
            <w:r>
              <w:rPr>
                <w:b/>
                <w:bCs/>
                <w:color w:val="FFFFFF"/>
                <w:sz w:val="20"/>
                <w:szCs w:val="20"/>
              </w:rPr>
              <w:t xml:space="preserve">ARIMA</w:t>
            </w:r>
          </w:p>
        </w:tc>
        <w:tc>
          <w:tcPr>
            <w:tcW w:type="dxa" w:w="18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keepNext/>
              <w:jc w:val="center"/>
            </w:pPr>
            <w:r>
              <w:rPr>
                <w:b/>
                <w:bCs/>
                <w:color w:val="FFFFFF"/>
                <w:sz w:val="20"/>
                <w:szCs w:val="20"/>
              </w:rPr>
              <w:t xml:space="preserve">SARIMA</w:t>
            </w:r>
          </w:p>
        </w:tc>
        <w:tc>
          <w:tcPr>
            <w:tcW w:type="dxa" w:w="20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keepNext/>
              <w:jc w:val="center"/>
            </w:pPr>
            <w:r>
              <w:rPr>
                <w:b/>
                <w:bCs/>
                <w:color w:val="FFFFFF"/>
                <w:sz w:val="20"/>
                <w:szCs w:val="20"/>
              </w:rPr>
              <w:t xml:space="preserve">HW Additive</w:t>
            </w:r>
          </w:p>
        </w:tc>
        <w:tc>
          <w:tcPr>
            <w:tcW w:type="dxa" w:w="224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keepNext/>
              <w:jc w:val="center"/>
            </w:pPr>
            <w:r>
              <w:rPr>
                <w:b/>
                <w:bCs/>
                <w:color w:val="FFFFFF"/>
                <w:sz w:val="20"/>
                <w:szCs w:val="20"/>
              </w:rPr>
              <w:t xml:space="preserve">HW Multiplicative</w:t>
            </w:r>
          </w:p>
        </w:tc>
      </w:tr>
      <w:tr>
        <w:trPr>
          <w:cantSplit/>
        </w:trPr>
        <w:tc>
          <w:tcPr>
            <w:tcW w:type="dxa" w:w="19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keepNext/>
              <w:jc w:val="left"/>
            </w:pPr>
            <w:r>
              <w:rPr>
                <w:b w:val="false"/>
                <w:bCs w:val="false"/>
                <w:color w:val="000000"/>
                <w:sz w:val="20"/>
                <w:szCs w:val="20"/>
              </w:rPr>
              <w:t xml:space="preserve">Jan 2025</w:t>
            </w:r>
          </w:p>
        </w:tc>
        <w:tc>
          <w:tcPr>
            <w:tcW w:type="dxa" w:w="18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keepNext/>
              <w:jc w:val="center"/>
            </w:pPr>
            <w:r>
              <w:rPr>
                <w:b w:val="false"/>
                <w:bCs w:val="false"/>
                <w:color w:val="000000"/>
                <w:sz w:val="20"/>
                <w:szCs w:val="20"/>
              </w:rPr>
              <w:t xml:space="preserve">79.48</w:t>
            </w:r>
          </w:p>
        </w:tc>
        <w:tc>
          <w:tcPr>
            <w:tcW w:type="dxa" w:w="18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keepNext/>
              <w:jc w:val="center"/>
            </w:pPr>
            <w:r>
              <w:rPr>
                <w:b w:val="false"/>
                <w:bCs w:val="false"/>
                <w:color w:val="000000"/>
                <w:sz w:val="20"/>
                <w:szCs w:val="20"/>
              </w:rPr>
              <w:t xml:space="preserve">79.79</w:t>
            </w:r>
          </w:p>
        </w:tc>
        <w:tc>
          <w:tcPr>
            <w:tcW w:type="dxa" w:w="20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keepNext/>
              <w:jc w:val="center"/>
            </w:pPr>
            <w:r>
              <w:rPr>
                <w:b w:val="false"/>
                <w:bCs w:val="false"/>
                <w:color w:val="000000"/>
                <w:sz w:val="20"/>
                <w:szCs w:val="20"/>
              </w:rPr>
              <w:t xml:space="preserve">80.30</w:t>
            </w:r>
          </w:p>
        </w:tc>
        <w:tc>
          <w:tcPr>
            <w:tcW w:type="dxa" w:w="224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keepNext/>
              <w:jc w:val="center"/>
            </w:pPr>
            <w:r>
              <w:rPr>
                <w:b w:val="false"/>
                <w:bCs w:val="false"/>
                <w:color w:val="000000"/>
                <w:sz w:val="20"/>
                <w:szCs w:val="20"/>
              </w:rPr>
              <w:t xml:space="preserve">81.79</w:t>
            </w:r>
          </w:p>
        </w:tc>
      </w:tr>
      <w:tr>
        <w:trPr>
          <w:cantSplit/>
        </w:trPr>
        <w:tc>
          <w:tcPr>
            <w:tcW w:type="dxa" w:w="1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jc w:val="left"/>
            </w:pPr>
            <w:r>
              <w:rPr>
                <w:b w:val="false"/>
                <w:bCs w:val="false"/>
                <w:color w:val="000000"/>
                <w:sz w:val="20"/>
                <w:szCs w:val="20"/>
              </w:rPr>
              <w:t xml:space="preserve">Feb 2025</w:t>
            </w:r>
          </w:p>
        </w:tc>
        <w:tc>
          <w:tcPr>
            <w:tcW w:type="dxa" w:w="1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jc w:val="center"/>
            </w:pPr>
            <w:r>
              <w:rPr>
                <w:b w:val="false"/>
                <w:bCs w:val="false"/>
                <w:color w:val="000000"/>
                <w:sz w:val="20"/>
                <w:szCs w:val="20"/>
              </w:rPr>
              <w:t xml:space="preserve">76.21</w:t>
            </w:r>
          </w:p>
        </w:tc>
        <w:tc>
          <w:tcPr>
            <w:tcW w:type="dxa" w:w="1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jc w:val="center"/>
            </w:pPr>
            <w:r>
              <w:rPr>
                <w:b w:val="false"/>
                <w:bCs w:val="false"/>
                <w:color w:val="000000"/>
                <w:sz w:val="20"/>
                <w:szCs w:val="20"/>
              </w:rPr>
              <w:t xml:space="preserve">75.87</w:t>
            </w:r>
          </w:p>
        </w:tc>
        <w:tc>
          <w:tcPr>
            <w:tcW w:type="dxa" w:w="2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jc w:val="center"/>
            </w:pPr>
            <w:r>
              <w:rPr>
                <w:b w:val="false"/>
                <w:bCs w:val="false"/>
                <w:color w:val="000000"/>
                <w:sz w:val="20"/>
                <w:szCs w:val="20"/>
              </w:rPr>
              <w:t xml:space="preserve">77.08</w:t>
            </w:r>
          </w:p>
        </w:tc>
        <w:tc>
          <w:tcPr>
            <w:tcW w:type="dxa" w:w="224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jc w:val="center"/>
            </w:pPr>
            <w:r>
              <w:rPr>
                <w:b w:val="false"/>
                <w:bCs w:val="false"/>
                <w:color w:val="000000"/>
                <w:sz w:val="20"/>
                <w:szCs w:val="20"/>
              </w:rPr>
              <w:t xml:space="preserve">77.48</w:t>
            </w:r>
          </w:p>
        </w:tc>
      </w:tr>
      <w:tr>
        <w:trPr>
          <w:cantSplit/>
        </w:trPr>
        <w:tc>
          <w:tcPr>
            <w:tcW w:type="dxa" w:w="19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keepNext/>
              <w:jc w:val="left"/>
            </w:pPr>
            <w:r>
              <w:rPr>
                <w:b w:val="false"/>
                <w:bCs w:val="false"/>
                <w:color w:val="000000"/>
                <w:sz w:val="20"/>
                <w:szCs w:val="20"/>
              </w:rPr>
              <w:t xml:space="preserve">Mar 2025</w:t>
            </w:r>
          </w:p>
        </w:tc>
        <w:tc>
          <w:tcPr>
            <w:tcW w:type="dxa" w:w="18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keepNext/>
              <w:jc w:val="center"/>
            </w:pPr>
            <w:r>
              <w:rPr>
                <w:b w:val="false"/>
                <w:bCs w:val="false"/>
                <w:color w:val="000000"/>
                <w:sz w:val="20"/>
                <w:szCs w:val="20"/>
              </w:rPr>
              <w:t xml:space="preserve">73.28</w:t>
            </w:r>
          </w:p>
        </w:tc>
        <w:tc>
          <w:tcPr>
            <w:tcW w:type="dxa" w:w="18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keepNext/>
              <w:jc w:val="center"/>
            </w:pPr>
            <w:r>
              <w:rPr>
                <w:b w:val="false"/>
                <w:bCs w:val="false"/>
                <w:color w:val="000000"/>
                <w:sz w:val="20"/>
                <w:szCs w:val="20"/>
              </w:rPr>
              <w:t xml:space="preserve">78.97</w:t>
            </w:r>
          </w:p>
        </w:tc>
        <w:tc>
          <w:tcPr>
            <w:tcW w:type="dxa" w:w="20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keepNext/>
              <w:jc w:val="center"/>
            </w:pPr>
            <w:r>
              <w:rPr>
                <w:b w:val="false"/>
                <w:bCs w:val="false"/>
                <w:color w:val="000000"/>
                <w:sz w:val="20"/>
                <w:szCs w:val="20"/>
              </w:rPr>
              <w:t xml:space="preserve">77.72</w:t>
            </w:r>
          </w:p>
        </w:tc>
        <w:tc>
          <w:tcPr>
            <w:tcW w:type="dxa" w:w="224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keepNext/>
              <w:jc w:val="center"/>
            </w:pPr>
            <w:r>
              <w:rPr>
                <w:b w:val="false"/>
                <w:bCs w:val="false"/>
                <w:color w:val="000000"/>
                <w:sz w:val="20"/>
                <w:szCs w:val="20"/>
              </w:rPr>
              <w:t xml:space="preserve">78.35</w:t>
            </w:r>
          </w:p>
        </w:tc>
      </w:tr>
      <w:tr>
        <w:trPr>
          <w:cantSplit/>
        </w:trPr>
        <w:tc>
          <w:tcPr>
            <w:tcW w:type="dxa" w:w="1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jc w:val="left"/>
            </w:pPr>
            <w:r>
              <w:rPr>
                <w:b w:val="false"/>
                <w:bCs w:val="false"/>
                <w:color w:val="000000"/>
                <w:sz w:val="20"/>
                <w:szCs w:val="20"/>
              </w:rPr>
              <w:t xml:space="preserve">Apr 2025</w:t>
            </w:r>
          </w:p>
        </w:tc>
        <w:tc>
          <w:tcPr>
            <w:tcW w:type="dxa" w:w="1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jc w:val="center"/>
            </w:pPr>
            <w:r>
              <w:rPr>
                <w:b w:val="false"/>
                <w:bCs w:val="false"/>
                <w:color w:val="000000"/>
                <w:sz w:val="20"/>
                <w:szCs w:val="20"/>
              </w:rPr>
              <w:t xml:space="preserve">73.68</w:t>
            </w:r>
          </w:p>
        </w:tc>
        <w:tc>
          <w:tcPr>
            <w:tcW w:type="dxa" w:w="1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jc w:val="center"/>
            </w:pPr>
            <w:r>
              <w:rPr>
                <w:b w:val="false"/>
                <w:bCs w:val="false"/>
                <w:color w:val="000000"/>
                <w:sz w:val="20"/>
                <w:szCs w:val="20"/>
              </w:rPr>
              <w:t xml:space="preserve">78.78</w:t>
            </w:r>
          </w:p>
        </w:tc>
        <w:tc>
          <w:tcPr>
            <w:tcW w:type="dxa" w:w="2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jc w:val="center"/>
            </w:pPr>
            <w:r>
              <w:rPr>
                <w:b w:val="false"/>
                <w:bCs w:val="false"/>
                <w:color w:val="000000"/>
                <w:sz w:val="20"/>
                <w:szCs w:val="20"/>
              </w:rPr>
              <w:t xml:space="preserve">80.81</w:t>
            </w:r>
          </w:p>
        </w:tc>
        <w:tc>
          <w:tcPr>
            <w:tcW w:type="dxa" w:w="224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jc w:val="center"/>
            </w:pPr>
            <w:r>
              <w:rPr>
                <w:b w:val="false"/>
                <w:bCs w:val="false"/>
                <w:color w:val="000000"/>
                <w:sz w:val="20"/>
                <w:szCs w:val="20"/>
              </w:rPr>
              <w:t xml:space="preserve">82.02</w:t>
            </w:r>
          </w:p>
        </w:tc>
      </w:tr>
      <w:tr>
        <w:trPr>
          <w:cantSplit/>
        </w:trPr>
        <w:tc>
          <w:tcPr>
            <w:tcW w:type="dxa" w:w="19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keepNext/>
              <w:jc w:val="left"/>
            </w:pPr>
            <w:r>
              <w:rPr>
                <w:b w:val="false"/>
                <w:bCs w:val="false"/>
                <w:color w:val="000000"/>
                <w:sz w:val="20"/>
                <w:szCs w:val="20"/>
              </w:rPr>
              <w:t xml:space="preserve">May 2025</w:t>
            </w:r>
          </w:p>
        </w:tc>
        <w:tc>
          <w:tcPr>
            <w:tcW w:type="dxa" w:w="18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keepNext/>
              <w:jc w:val="center"/>
            </w:pPr>
            <w:r>
              <w:rPr>
                <w:b w:val="false"/>
                <w:bCs w:val="false"/>
                <w:color w:val="000000"/>
                <w:sz w:val="20"/>
                <w:szCs w:val="20"/>
              </w:rPr>
              <w:t xml:space="preserve">76.93</w:t>
            </w:r>
          </w:p>
        </w:tc>
        <w:tc>
          <w:tcPr>
            <w:tcW w:type="dxa" w:w="18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keepNext/>
              <w:jc w:val="center"/>
            </w:pPr>
            <w:r>
              <w:rPr>
                <w:b w:val="false"/>
                <w:bCs w:val="false"/>
                <w:color w:val="000000"/>
                <w:sz w:val="20"/>
                <w:szCs w:val="20"/>
              </w:rPr>
              <w:t xml:space="preserve">79.74</w:t>
            </w:r>
          </w:p>
        </w:tc>
        <w:tc>
          <w:tcPr>
            <w:tcW w:type="dxa" w:w="20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keepNext/>
              <w:jc w:val="center"/>
            </w:pPr>
            <w:r>
              <w:rPr>
                <w:b w:val="false"/>
                <w:bCs w:val="false"/>
                <w:color w:val="000000"/>
                <w:sz w:val="20"/>
                <w:szCs w:val="20"/>
              </w:rPr>
              <w:t xml:space="preserve">81.30</w:t>
            </w:r>
          </w:p>
        </w:tc>
        <w:tc>
          <w:tcPr>
            <w:tcW w:type="dxa" w:w="224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keepNext/>
              <w:jc w:val="center"/>
            </w:pPr>
            <w:r>
              <w:rPr>
                <w:b w:val="false"/>
                <w:bCs w:val="false"/>
                <w:color w:val="000000"/>
                <w:sz w:val="20"/>
                <w:szCs w:val="20"/>
              </w:rPr>
              <w:t xml:space="preserve">82.69</w:t>
            </w:r>
          </w:p>
        </w:tc>
      </w:tr>
      <w:tr>
        <w:trPr>
          <w:cantSplit/>
        </w:trPr>
        <w:tc>
          <w:tcPr>
            <w:tcW w:type="dxa" w:w="1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jc w:val="left"/>
            </w:pPr>
            <w:r>
              <w:rPr>
                <w:b w:val="false"/>
                <w:bCs w:val="false"/>
                <w:color w:val="000000"/>
                <w:sz w:val="20"/>
                <w:szCs w:val="20"/>
              </w:rPr>
              <w:t xml:space="preserve">Jun 2025</w:t>
            </w:r>
          </w:p>
        </w:tc>
        <w:tc>
          <w:tcPr>
            <w:tcW w:type="dxa" w:w="1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jc w:val="center"/>
            </w:pPr>
            <w:r>
              <w:rPr>
                <w:b w:val="false"/>
                <w:bCs w:val="false"/>
                <w:color w:val="000000"/>
                <w:sz w:val="20"/>
                <w:szCs w:val="20"/>
              </w:rPr>
              <w:t xml:space="preserve">79.86</w:t>
            </w:r>
          </w:p>
        </w:tc>
        <w:tc>
          <w:tcPr>
            <w:tcW w:type="dxa" w:w="1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jc w:val="center"/>
            </w:pPr>
            <w:r>
              <w:rPr>
                <w:b w:val="false"/>
                <w:bCs w:val="false"/>
                <w:color w:val="000000"/>
                <w:sz w:val="20"/>
                <w:szCs w:val="20"/>
              </w:rPr>
              <w:t xml:space="preserve">81.44</w:t>
            </w:r>
          </w:p>
        </w:tc>
        <w:tc>
          <w:tcPr>
            <w:tcW w:type="dxa" w:w="2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jc w:val="center"/>
            </w:pPr>
            <w:r>
              <w:rPr>
                <w:b w:val="false"/>
                <w:bCs w:val="false"/>
                <w:color w:val="000000"/>
                <w:sz w:val="20"/>
                <w:szCs w:val="20"/>
              </w:rPr>
              <w:t xml:space="preserve">81.74</w:t>
            </w:r>
          </w:p>
        </w:tc>
        <w:tc>
          <w:tcPr>
            <w:tcW w:type="dxa" w:w="224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jc w:val="center"/>
            </w:pPr>
            <w:r>
              <w:rPr>
                <w:b w:val="false"/>
                <w:bCs w:val="false"/>
                <w:color w:val="000000"/>
                <w:sz w:val="20"/>
                <w:szCs w:val="20"/>
              </w:rPr>
              <w:t xml:space="preserve">83.15</w:t>
            </w:r>
          </w:p>
        </w:tc>
      </w:tr>
      <w:tr>
        <w:trPr>
          <w:cantSplit/>
        </w:trPr>
        <w:tc>
          <w:tcPr>
            <w:tcW w:type="dxa" w:w="19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keepNext/>
              <w:jc w:val="left"/>
            </w:pPr>
            <w:r>
              <w:rPr>
                <w:b w:val="false"/>
                <w:bCs w:val="false"/>
                <w:color w:val="000000"/>
                <w:sz w:val="20"/>
                <w:szCs w:val="20"/>
              </w:rPr>
              <w:t xml:space="preserve">Jul 2025</w:t>
            </w:r>
          </w:p>
        </w:tc>
        <w:tc>
          <w:tcPr>
            <w:tcW w:type="dxa" w:w="18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keepNext/>
              <w:jc w:val="center"/>
            </w:pPr>
            <w:r>
              <w:rPr>
                <w:b w:val="false"/>
                <w:bCs w:val="false"/>
                <w:color w:val="000000"/>
                <w:sz w:val="20"/>
                <w:szCs w:val="20"/>
              </w:rPr>
              <w:t xml:space="preserve">79.53</w:t>
            </w:r>
          </w:p>
        </w:tc>
        <w:tc>
          <w:tcPr>
            <w:tcW w:type="dxa" w:w="18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keepNext/>
              <w:jc w:val="center"/>
            </w:pPr>
            <w:r>
              <w:rPr>
                <w:b w:val="false"/>
                <w:bCs w:val="false"/>
                <w:color w:val="000000"/>
                <w:sz w:val="20"/>
                <w:szCs w:val="20"/>
              </w:rPr>
              <w:t xml:space="preserve">79.05</w:t>
            </w:r>
          </w:p>
        </w:tc>
        <w:tc>
          <w:tcPr>
            <w:tcW w:type="dxa" w:w="20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keepNext/>
              <w:jc w:val="center"/>
            </w:pPr>
            <w:r>
              <w:rPr>
                <w:b w:val="false"/>
                <w:bCs w:val="false"/>
                <w:color w:val="000000"/>
                <w:sz w:val="20"/>
                <w:szCs w:val="20"/>
              </w:rPr>
              <w:t xml:space="preserve">78.40</w:t>
            </w:r>
          </w:p>
        </w:tc>
        <w:tc>
          <w:tcPr>
            <w:tcW w:type="dxa" w:w="224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keepNext/>
              <w:jc w:val="center"/>
            </w:pPr>
            <w:r>
              <w:rPr>
                <w:b w:val="false"/>
                <w:bCs w:val="false"/>
                <w:color w:val="000000"/>
                <w:sz w:val="20"/>
                <w:szCs w:val="20"/>
              </w:rPr>
              <w:t xml:space="preserve">78.80</w:t>
            </w:r>
          </w:p>
        </w:tc>
      </w:tr>
      <w:tr>
        <w:trPr>
          <w:cantSplit/>
        </w:trPr>
        <w:tc>
          <w:tcPr>
            <w:tcW w:type="dxa" w:w="1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jc w:val="left"/>
            </w:pPr>
            <w:r>
              <w:rPr>
                <w:b w:val="false"/>
                <w:bCs w:val="false"/>
                <w:color w:val="000000"/>
                <w:sz w:val="20"/>
                <w:szCs w:val="20"/>
              </w:rPr>
              <w:t xml:space="preserve">Aug 2025</w:t>
            </w:r>
          </w:p>
        </w:tc>
        <w:tc>
          <w:tcPr>
            <w:tcW w:type="dxa" w:w="1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jc w:val="center"/>
            </w:pPr>
            <w:r>
              <w:rPr>
                <w:b w:val="false"/>
                <w:bCs w:val="false"/>
                <w:color w:val="000000"/>
                <w:sz w:val="20"/>
                <w:szCs w:val="20"/>
              </w:rPr>
              <w:t xml:space="preserve">76.31</w:t>
            </w:r>
          </w:p>
        </w:tc>
        <w:tc>
          <w:tcPr>
            <w:tcW w:type="dxa" w:w="1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jc w:val="center"/>
            </w:pPr>
            <w:r>
              <w:rPr>
                <w:b w:val="false"/>
                <w:bCs w:val="false"/>
                <w:color w:val="000000"/>
                <w:sz w:val="20"/>
                <w:szCs w:val="20"/>
              </w:rPr>
              <w:t xml:space="preserve">75.10</w:t>
            </w:r>
          </w:p>
        </w:tc>
        <w:tc>
          <w:tcPr>
            <w:tcW w:type="dxa" w:w="2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jc w:val="center"/>
            </w:pPr>
            <w:r>
              <w:rPr>
                <w:b w:val="false"/>
                <w:bCs w:val="false"/>
                <w:color w:val="000000"/>
                <w:sz w:val="20"/>
                <w:szCs w:val="20"/>
              </w:rPr>
              <w:t xml:space="preserve">74.40</w:t>
            </w:r>
          </w:p>
        </w:tc>
        <w:tc>
          <w:tcPr>
            <w:tcW w:type="dxa" w:w="224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jc w:val="center"/>
            </w:pPr>
            <w:r>
              <w:rPr>
                <w:b w:val="false"/>
                <w:bCs w:val="false"/>
                <w:color w:val="000000"/>
                <w:sz w:val="20"/>
                <w:szCs w:val="20"/>
              </w:rPr>
              <w:t xml:space="preserve">73.71</w:t>
            </w:r>
          </w:p>
        </w:tc>
      </w:tr>
      <w:tr>
        <w:trPr>
          <w:cantSplit/>
        </w:trPr>
        <w:tc>
          <w:tcPr>
            <w:tcW w:type="dxa" w:w="19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keepNext/>
              <w:jc w:val="left"/>
            </w:pPr>
            <w:r>
              <w:rPr>
                <w:b w:val="false"/>
                <w:bCs w:val="false"/>
                <w:color w:val="000000"/>
                <w:sz w:val="20"/>
                <w:szCs w:val="20"/>
              </w:rPr>
              <w:t xml:space="preserve">Sep 2025</w:t>
            </w:r>
          </w:p>
        </w:tc>
        <w:tc>
          <w:tcPr>
            <w:tcW w:type="dxa" w:w="18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keepNext/>
              <w:jc w:val="center"/>
            </w:pPr>
            <w:r>
              <w:rPr>
                <w:b w:val="false"/>
                <w:bCs w:val="false"/>
                <w:color w:val="000000"/>
                <w:sz w:val="20"/>
                <w:szCs w:val="20"/>
              </w:rPr>
              <w:t xml:space="preserve">73.37</w:t>
            </w:r>
          </w:p>
        </w:tc>
        <w:tc>
          <w:tcPr>
            <w:tcW w:type="dxa" w:w="18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keepNext/>
              <w:jc w:val="center"/>
            </w:pPr>
            <w:r>
              <w:rPr>
                <w:b w:val="false"/>
                <w:bCs w:val="false"/>
                <w:color w:val="000000"/>
                <w:sz w:val="20"/>
                <w:szCs w:val="20"/>
              </w:rPr>
              <w:t xml:space="preserve">70.52</w:t>
            </w:r>
          </w:p>
        </w:tc>
        <w:tc>
          <w:tcPr>
            <w:tcW w:type="dxa" w:w="20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keepNext/>
              <w:jc w:val="center"/>
            </w:pPr>
            <w:r>
              <w:rPr>
                <w:b w:val="false"/>
                <w:bCs w:val="false"/>
                <w:color w:val="000000"/>
                <w:sz w:val="20"/>
                <w:szCs w:val="20"/>
              </w:rPr>
              <w:t xml:space="preserve">71.45</w:t>
            </w:r>
          </w:p>
        </w:tc>
        <w:tc>
          <w:tcPr>
            <w:tcW w:type="dxa" w:w="224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keepNext/>
              <w:jc w:val="center"/>
            </w:pPr>
            <w:r>
              <w:rPr>
                <w:b w:val="false"/>
                <w:bCs w:val="false"/>
                <w:color w:val="000000"/>
                <w:sz w:val="20"/>
                <w:szCs w:val="20"/>
              </w:rPr>
              <w:t xml:space="preserve">69.58</w:t>
            </w:r>
          </w:p>
        </w:tc>
      </w:tr>
      <w:tr>
        <w:trPr>
          <w:cantSplit/>
        </w:trPr>
        <w:tc>
          <w:tcPr>
            <w:tcW w:type="dxa" w:w="1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jc w:val="left"/>
            </w:pPr>
            <w:r>
              <w:rPr>
                <w:b w:val="false"/>
                <w:bCs w:val="false"/>
                <w:color w:val="000000"/>
                <w:sz w:val="20"/>
                <w:szCs w:val="20"/>
              </w:rPr>
              <w:t xml:space="preserve">Oct 2025</w:t>
            </w:r>
          </w:p>
        </w:tc>
        <w:tc>
          <w:tcPr>
            <w:tcW w:type="dxa" w:w="1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jc w:val="center"/>
            </w:pPr>
            <w:r>
              <w:rPr>
                <w:b w:val="false"/>
                <w:bCs w:val="false"/>
                <w:color w:val="000000"/>
                <w:sz w:val="20"/>
                <w:szCs w:val="20"/>
              </w:rPr>
              <w:t xml:space="preserve">73.64</w:t>
            </w:r>
          </w:p>
        </w:tc>
        <w:tc>
          <w:tcPr>
            <w:tcW w:type="dxa" w:w="1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jc w:val="center"/>
            </w:pPr>
            <w:r>
              <w:rPr>
                <w:b w:val="false"/>
                <w:bCs w:val="false"/>
                <w:color w:val="000000"/>
                <w:sz w:val="20"/>
                <w:szCs w:val="20"/>
              </w:rPr>
              <w:t xml:space="preserve">73.67</w:t>
            </w:r>
          </w:p>
        </w:tc>
        <w:tc>
          <w:tcPr>
            <w:tcW w:type="dxa" w:w="2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jc w:val="center"/>
            </w:pPr>
            <w:r>
              <w:rPr>
                <w:b w:val="false"/>
                <w:bCs w:val="false"/>
                <w:color w:val="000000"/>
                <w:sz w:val="20"/>
                <w:szCs w:val="20"/>
              </w:rPr>
              <w:t xml:space="preserve">73.93</w:t>
            </w:r>
          </w:p>
        </w:tc>
        <w:tc>
          <w:tcPr>
            <w:tcW w:type="dxa" w:w="224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jc w:val="center"/>
            </w:pPr>
            <w:r>
              <w:rPr>
                <w:b w:val="false"/>
                <w:bCs w:val="false"/>
                <w:color w:val="000000"/>
                <w:sz w:val="20"/>
                <w:szCs w:val="20"/>
              </w:rPr>
              <w:t xml:space="preserve">72.70</w:t>
            </w:r>
          </w:p>
        </w:tc>
      </w:tr>
      <w:tr>
        <w:trPr>
          <w:cantSplit/>
        </w:trPr>
        <w:tc>
          <w:tcPr>
            <w:tcW w:type="dxa" w:w="19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keepNext/>
              <w:jc w:val="left"/>
            </w:pPr>
            <w:r>
              <w:rPr>
                <w:b w:val="false"/>
                <w:bCs w:val="false"/>
                <w:color w:val="000000"/>
                <w:sz w:val="20"/>
                <w:szCs w:val="20"/>
              </w:rPr>
              <w:t xml:space="preserve">Nov 2025</w:t>
            </w:r>
          </w:p>
        </w:tc>
        <w:tc>
          <w:tcPr>
            <w:tcW w:type="dxa" w:w="18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keepNext/>
              <w:jc w:val="center"/>
            </w:pPr>
            <w:r>
              <w:rPr>
                <w:b w:val="false"/>
                <w:bCs w:val="false"/>
                <w:color w:val="000000"/>
                <w:sz w:val="20"/>
                <w:szCs w:val="20"/>
              </w:rPr>
              <w:t xml:space="preserve">76.83</w:t>
            </w:r>
          </w:p>
        </w:tc>
        <w:tc>
          <w:tcPr>
            <w:tcW w:type="dxa" w:w="18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keepNext/>
              <w:jc w:val="center"/>
            </w:pPr>
            <w:r>
              <w:rPr>
                <w:b w:val="false"/>
                <w:bCs w:val="false"/>
                <w:color w:val="000000"/>
                <w:sz w:val="20"/>
                <w:szCs w:val="20"/>
              </w:rPr>
              <w:t xml:space="preserve">79.33</w:t>
            </w:r>
          </w:p>
        </w:tc>
        <w:tc>
          <w:tcPr>
            <w:tcW w:type="dxa" w:w="20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keepNext/>
              <w:jc w:val="center"/>
            </w:pPr>
            <w:r>
              <w:rPr>
                <w:b w:val="false"/>
                <w:bCs w:val="false"/>
                <w:color w:val="000000"/>
                <w:sz w:val="20"/>
                <w:szCs w:val="20"/>
              </w:rPr>
              <w:t xml:space="preserve">80.07</w:t>
            </w:r>
          </w:p>
        </w:tc>
        <w:tc>
          <w:tcPr>
            <w:tcW w:type="dxa" w:w="224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keepNext/>
              <w:jc w:val="center"/>
            </w:pPr>
            <w:r>
              <w:rPr>
                <w:b w:val="false"/>
                <w:bCs w:val="false"/>
                <w:color w:val="000000"/>
                <w:sz w:val="20"/>
                <w:szCs w:val="20"/>
              </w:rPr>
              <w:t xml:space="preserve">80.44</w:t>
            </w:r>
          </w:p>
        </w:tc>
      </w:tr>
      <w:tr>
        <w:trPr>
          <w:cantSplit/>
        </w:trPr>
        <w:tc>
          <w:tcPr>
            <w:tcW w:type="dxa" w:w="1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val="false"/>
              <w:jc w:val="left"/>
            </w:pPr>
            <w:r>
              <w:rPr>
                <w:b w:val="false"/>
                <w:bCs w:val="false"/>
                <w:color w:val="000000"/>
                <w:sz w:val="20"/>
                <w:szCs w:val="20"/>
              </w:rPr>
              <w:t xml:space="preserve">Dec 2025</w:t>
            </w:r>
          </w:p>
        </w:tc>
        <w:tc>
          <w:tcPr>
            <w:tcW w:type="dxa" w:w="1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val="false"/>
              <w:jc w:val="center"/>
            </w:pPr>
            <w:r>
              <w:rPr>
                <w:b w:val="false"/>
                <w:bCs w:val="false"/>
                <w:color w:val="000000"/>
                <w:sz w:val="20"/>
                <w:szCs w:val="20"/>
              </w:rPr>
              <w:t xml:space="preserve">79.78</w:t>
            </w:r>
          </w:p>
        </w:tc>
        <w:tc>
          <w:tcPr>
            <w:tcW w:type="dxa" w:w="1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val="false"/>
              <w:jc w:val="center"/>
            </w:pPr>
            <w:r>
              <w:rPr>
                <w:b w:val="false"/>
                <w:bCs w:val="false"/>
                <w:color w:val="000000"/>
                <w:sz w:val="20"/>
                <w:szCs w:val="20"/>
              </w:rPr>
              <w:t xml:space="preserve">84.26</w:t>
            </w:r>
          </w:p>
        </w:tc>
        <w:tc>
          <w:tcPr>
            <w:tcW w:type="dxa" w:w="2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val="false"/>
              <w:jc w:val="center"/>
            </w:pPr>
            <w:r>
              <w:rPr>
                <w:b w:val="false"/>
                <w:bCs w:val="false"/>
                <w:color w:val="000000"/>
                <w:sz w:val="20"/>
                <w:szCs w:val="20"/>
              </w:rPr>
              <w:t xml:space="preserve">84.00</w:t>
            </w:r>
          </w:p>
        </w:tc>
        <w:tc>
          <w:tcPr>
            <w:tcW w:type="dxa" w:w="224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val="false"/>
              <w:jc w:val="center"/>
            </w:pPr>
            <w:r>
              <w:rPr>
                <w:b w:val="false"/>
                <w:bCs w:val="false"/>
                <w:color w:val="000000"/>
                <w:sz w:val="20"/>
                <w:szCs w:val="20"/>
              </w:rPr>
              <w:t xml:space="preserve">85.46</w:t>
            </w:r>
          </w:p>
        </w:tc>
      </w:tr>
    </w:tbl>
    <w:p>
      <w:pPr>
        <w:spacing w:after="80"/>
      </w:pPr>
    </w:p>
    <w:p>
      <w:pPr>
        <w:pStyle w:val="Heading2"/>
      </w:pPr>
      <w:r>
        <w:t xml:space="preserve">Step 33: Plot the future forecast (Cell 49)</w:t>
      </w:r>
    </w:p>
    <w:p>
      <w:pPr>
        <w:keepNext/>
        <w:spacing w:after="60" w:before="120"/>
        <w:jc w:val="center"/>
      </w:pPr>
      <w:r>
        <w:drawing>
          <wp:inline distT="0" distB="0" distL="0" distR="0">
            <wp:extent cx="5715000" cy="3057525"/>
            <wp:effectExtent t="0" r="0" b="0" l="0"/>
            <wp:docPr id="1" name="Figure 12: Historical sales and the 12-month forecast for 2025" descr="Figure 12: Historical sales and the 12-month forecast for 2025" title="Figure 12: Historical sales and the 12-month forecast for 2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3057525"/>
                    </a:xfrm>
                    <a:prstGeom prst="rect">
                      <a:avLst/>
                    </a:prstGeom>
                  </pic:spPr>
                </pic:pic>
              </a:graphicData>
            </a:graphic>
          </wp:inline>
        </w:drawing>
      </w:r>
    </w:p>
    <w:p>
      <w:pPr>
        <w:spacing w:after="200"/>
        <w:jc w:val="center"/>
      </w:pPr>
      <w:r>
        <w:rPr>
          <w:i/>
          <w:iCs/>
          <w:color w:val="595959"/>
          <w:sz w:val="19"/>
          <w:szCs w:val="19"/>
        </w:rPr>
        <w:t xml:space="preserve">Figure 12: Historical sales and the 12-month forecast for 2025</w:t>
      </w:r>
    </w:p>
    <w:p>
      <w:pPr>
        <w:spacing w:after="120" w:line="300"/>
      </w:pPr>
      <w:r>
        <w:t xml:space="preserve">In Figure 12 the dashed vertical line marks where the real data ends and the forecast begins. All models predict that </w:t>
      </w:r>
      <w:r>
        <w:rPr>
          <w:b/>
          <w:bCs/>
        </w:rPr>
        <w:t xml:space="preserve">sales will keep growing</w:t>
      </w:r>
      <w:r>
        <w:t xml:space="preserve"> into 2025, and that the yearly pattern will continue: a dip around September and a peak in December.</w:t>
      </w:r>
    </w:p>
    <w:p>
      <w:pPr>
        <w:pStyle w:val="Heading2"/>
      </w:pPr>
      <w:r>
        <w:t xml:space="preserve">Step 34: Save to Excel (Cells 50, 51)</w:t>
      </w:r>
    </w:p>
    <w:p>
      <w:pPr>
        <w:spacing w:after="120" w:line="300"/>
      </w:pPr>
      <w:r>
        <w:t xml:space="preserve">Finally, the notebook saves the forecast table into </w:t>
      </w:r>
      <w:r>
        <w:rPr>
          <w:b/>
          <w:bCs/>
        </w:rPr>
        <w:t xml:space="preserve">FreshMart_12_Month_Forecast.xlsx</w:t>
      </w:r>
      <w:r>
        <w:t xml:space="preserve"> and the model comparison into </w:t>
      </w:r>
      <w:r>
        <w:rPr>
          <w:b/>
          <w:bCs/>
        </w:rPr>
        <w:t xml:space="preserve">FreshMart_Model_Comparison.xlsx</w:t>
      </w:r>
      <w:r>
        <w:t xml:space="preserve">. These are the tabulated deliverables asked by the professor.</w:t>
      </w:r>
    </w:p>
    <w:p>
      <w:pPr>
        <w:pStyle w:val="Heading2"/>
      </w:pPr>
      <w:r>
        <w:t xml:space="preserve">Step 35: Pick the winner (Cell 52)</w:t>
      </w:r>
    </w:p>
    <w:p>
      <w:pPr>
        <w:spacing w:after="120" w:line="300"/>
      </w:pPr>
      <w:r>
        <w:t xml:space="preserve">The last code cell finds the model with the lowest RMSE and the lowest MAPE automatically. Both point to the same model: </w:t>
      </w:r>
      <w:r>
        <w:rPr>
          <w:b/>
          <w:bCs/>
        </w:rPr>
        <w:t xml:space="preserve">SARIMA(2,1,0)(1,0,0)[12]</w:t>
      </w:r>
      <w:r>
        <w:t xml:space="preserve">.</w:t>
      </w:r>
    </w:p>
    <w:p>
      <w:pPr>
        <w:pStyle w:val="Heading1"/>
        <w:pageBreakBefore/>
      </w:pPr>
      <w:r>
        <w:t xml:space="preserve">12. Insights and Recommendations</w:t>
      </w:r>
    </w:p>
    <w:p>
      <w:pPr>
        <w:pStyle w:val="Heading2"/>
      </w:pPr>
      <w:r>
        <w:t xml:space="preserve">12.1 Which model is most suitable for FreshMart?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single" w:color="BFBFBF" w:sz="4"/>
              <w:left w:val="single" w:color="1F4E79" w:sz="24"/>
              <w:bottom w:val="single" w:color="BFBFBF" w:sz="4"/>
              <w:right w:val="single" w:color="BFBFBF" w:sz="4"/>
            </w:tcBorders>
            <w:shd w:fill="E2EFDA" w:color="auto" w:val="clear"/>
            <w:tcMar>
              <w:top w:type="dxa" w:w="100"/>
              <w:left w:type="dxa" w:w="180"/>
              <w:bottom w:type="dxa" w:w="100"/>
              <w:right w:type="dxa" w:w="180"/>
            </w:tcMar>
          </w:tcPr>
          <w:p>
            <w:pPr>
              <w:spacing w:after="60"/>
            </w:pPr>
            <w:r>
              <w:rPr>
                <w:b/>
                <w:bCs/>
                <w:color w:val="1F4E79"/>
              </w:rPr>
              <w:t xml:space="preserve">Recommended model: SARIMA(2,1,0)(1,0,0)[12]</w:t>
            </w:r>
          </w:p>
          <w:p>
            <w:pPr>
              <w:spacing w:after="60" w:line="290"/>
            </w:pPr>
            <w:r>
              <w:t xml:space="preserve">It has the </w:t>
            </w:r>
            <w:r>
              <w:rPr>
                <w:b/>
                <w:bCs/>
              </w:rPr>
              <w:t xml:space="preserve">lowest error on every measure</w:t>
            </w:r>
            <w:r>
              <w:t xml:space="preserve"> (MAE 1.01, RMSE 1.34, MAPE 1.39%), which means it is typically within about 1.4% of the real sales.</w:t>
            </w:r>
          </w:p>
          <w:p>
            <w:pPr>
              <w:spacing w:after="60" w:line="290"/>
            </w:pPr>
            <w:r>
              <w:t xml:space="preserve">It captures </w:t>
            </w:r>
            <w:r>
              <w:rPr>
                <w:b/>
                <w:bCs/>
              </w:rPr>
              <w:t xml:space="preserve">trend and yearly seasonality</w:t>
            </w:r>
            <w:r>
              <w:t xml:space="preserve">, which are the two most important features of FreshMart's data.</w:t>
            </w:r>
          </w:p>
          <w:p>
            <w:pPr>
              <w:spacing w:after="60" w:line="290"/>
            </w:pPr>
            <w:r>
              <w:rPr>
                <w:b/>
                <w:bCs/>
              </w:rPr>
              <w:t xml:space="preserve">Holt-Winters Additive</w:t>
            </w:r>
            <w:r>
              <w:t xml:space="preserve"> is a strong and simpler second choice (MAPE 2.22%), and it is a good backup for checking the SARIMA forecast.</w:t>
            </w:r>
          </w:p>
        </w:tc>
      </w:tr>
    </w:tbl>
    <w:p>
      <w:pPr>
        <w:spacing w:after="80"/>
      </w:pPr>
    </w:p>
    <w:p>
      <w:pPr>
        <w:pStyle w:val="Heading2"/>
      </w:pPr>
      <w:r>
        <w:t xml:space="preserve">12.2 How can the forecast help inventory planning?</w:t>
      </w:r>
    </w:p>
    <w:p>
      <w:pPr>
        <w:pStyle w:val="ListParagraph"/>
        <w:numPr>
          <w:ilvl w:val="0"/>
          <w:numId w:val="2"/>
        </w:numPr>
        <w:spacing w:after="60" w:line="290"/>
      </w:pPr>
      <w:r>
        <w:rPr>
          <w:b/>
          <w:bCs/>
        </w:rPr>
        <w:t xml:space="preserve">Stock up before the peaks:</w:t>
      </w:r>
      <w:r>
        <w:t xml:space="preserve"> the forecast shows a peak in May-June and the highest sales in November-December (about 84 to 85 lakhs in December 2025). Order extra stock and arrange extra staff and transport in advance, to avoid stockouts.</w:t>
      </w:r>
    </w:p>
    <w:p>
      <w:pPr>
        <w:pStyle w:val="ListParagraph"/>
        <w:numPr>
          <w:ilvl w:val="0"/>
          <w:numId w:val="2"/>
        </w:numPr>
        <w:spacing w:after="60" w:line="290"/>
      </w:pPr>
      <w:r>
        <w:rPr>
          <w:b/>
          <w:bCs/>
        </w:rPr>
        <w:t xml:space="preserve">Reduce stock in the slow months:</w:t>
      </w:r>
      <w:r>
        <w:t xml:space="preserve"> August to October are the weakest months (September 2025 is forecast at about 70 lakhs). Ordering less in these months reduces unsold stock, storage cost and wastage, which is especially important for groceries that expire.</w:t>
      </w:r>
    </w:p>
    <w:p>
      <w:pPr>
        <w:pStyle w:val="ListParagraph"/>
        <w:numPr>
          <w:ilvl w:val="0"/>
          <w:numId w:val="2"/>
        </w:numPr>
        <w:spacing w:after="60" w:line="290"/>
      </w:pPr>
      <w:r>
        <w:rPr>
          <w:b/>
          <w:bCs/>
        </w:rPr>
        <w:t xml:space="preserve">Plan orders with suppliers:</w:t>
      </w:r>
      <w:r>
        <w:t xml:space="preserve"> a 12-month forecast lets the supply chain team agree quantities and prices with suppliers in advance.</w:t>
      </w:r>
    </w:p>
    <w:p>
      <w:pPr>
        <w:pStyle w:val="ListParagraph"/>
        <w:numPr>
          <w:ilvl w:val="0"/>
          <w:numId w:val="2"/>
        </w:numPr>
        <w:spacing w:after="60" w:line="290"/>
      </w:pPr>
      <w:r>
        <w:rPr>
          <w:b/>
          <w:bCs/>
        </w:rPr>
        <w:t xml:space="preserve">Plan the budget and cash flow:</w:t>
      </w:r>
      <w:r>
        <w:t xml:space="preserve"> knowing the expected sales helps the company plan how much money it needs for purchasing each month.</w:t>
      </w:r>
    </w:p>
    <w:p>
      <w:pPr>
        <w:pStyle w:val="Heading2"/>
      </w:pPr>
      <w:r>
        <w:t xml:space="preserve">12.3 How can the forecast help promotions?</w:t>
      </w:r>
    </w:p>
    <w:p>
      <w:pPr>
        <w:pStyle w:val="ListParagraph"/>
        <w:numPr>
          <w:ilvl w:val="0"/>
          <w:numId w:val="2"/>
        </w:numPr>
        <w:spacing w:after="60" w:line="290"/>
      </w:pPr>
      <w:r>
        <w:rPr>
          <w:b/>
          <w:bCs/>
        </w:rPr>
        <w:t xml:space="preserve">Run promotions in the slow months:</w:t>
      </w:r>
      <w:r>
        <w:t xml:space="preserve"> offers and discounts in August to October can lift sales when demand is naturally low.</w:t>
      </w:r>
    </w:p>
    <w:p>
      <w:pPr>
        <w:pStyle w:val="ListParagraph"/>
        <w:numPr>
          <w:ilvl w:val="0"/>
          <w:numId w:val="2"/>
        </w:numPr>
        <w:spacing w:after="60" w:line="290"/>
      </w:pPr>
      <w:r>
        <w:rPr>
          <w:b/>
          <w:bCs/>
        </w:rPr>
        <w:t xml:space="preserve">Do not give big discounts in peak months:</w:t>
      </w:r>
      <w:r>
        <w:t xml:space="preserve"> customers already buy a lot in November and December, so heavy discounts may reduce profit without adding much sales.</w:t>
      </w:r>
    </w:p>
    <w:p>
      <w:pPr>
        <w:pStyle w:val="ListParagraph"/>
        <w:numPr>
          <w:ilvl w:val="0"/>
          <w:numId w:val="2"/>
        </w:numPr>
        <w:spacing w:after="60" w:line="290"/>
      </w:pPr>
      <w:r>
        <w:rPr>
          <w:b/>
          <w:bCs/>
        </w:rPr>
        <w:t xml:space="preserve">Measure the effect of promotions:</w:t>
      </w:r>
      <w:r>
        <w:t xml:space="preserve"> if actual sales are higher than the forecast in a promotion month, the difference shows how much the promotion helped.</w:t>
      </w:r>
    </w:p>
    <w:p>
      <w:pPr>
        <w:pStyle w:val="Heading2"/>
      </w:pPr>
      <w:r>
        <w:t xml:space="preserve">12.4 Points to keep in mind</w:t>
      </w:r>
    </w:p>
    <w:p>
      <w:pPr>
        <w:pStyle w:val="ListParagraph"/>
        <w:numPr>
          <w:ilvl w:val="0"/>
          <w:numId w:val="2"/>
        </w:numPr>
        <w:spacing w:after="60" w:line="290"/>
      </w:pPr>
      <w:r>
        <w:rPr>
          <w:b/>
          <w:bCs/>
        </w:rPr>
        <w:t xml:space="preserve">Forecasts are estimates, not guarantees.</w:t>
      </w:r>
      <w:r>
        <w:t xml:space="preserve"> Events such as festivals, price changes, a new competitor or economic shocks can change sales.</w:t>
      </w:r>
    </w:p>
    <w:p>
      <w:pPr>
        <w:pStyle w:val="ListParagraph"/>
        <w:numPr>
          <w:ilvl w:val="0"/>
          <w:numId w:val="2"/>
        </w:numPr>
        <w:spacing w:after="60" w:line="290"/>
      </w:pPr>
      <w:r>
        <w:rPr>
          <w:b/>
          <w:bCs/>
        </w:rPr>
        <w:t xml:space="preserve">The best model was chosen using the 2024 test data,</w:t>
      </w:r>
      <w:r>
        <w:t xml:space="preserve"> so the true accuracy for 2025 may be a little worse than 1.4%.</w:t>
      </w:r>
    </w:p>
    <w:p>
      <w:pPr>
        <w:pStyle w:val="ListParagraph"/>
        <w:numPr>
          <w:ilvl w:val="0"/>
          <w:numId w:val="2"/>
        </w:numPr>
        <w:spacing w:after="60" w:line="290"/>
      </w:pPr>
      <w:r>
        <w:rPr>
          <w:b/>
          <w:bCs/>
        </w:rPr>
        <w:t xml:space="preserve">Only 5 years of data is a small sample</w:t>
      </w:r>
      <w:r>
        <w:t xml:space="preserve"> for seasonal models. The model should be updated every few months as new sales data comes in, and its error should be tracked.</w:t>
      </w:r>
    </w:p>
    <w:p>
      <w:pPr>
        <w:pStyle w:val="ListParagraph"/>
        <w:numPr>
          <w:ilvl w:val="0"/>
          <w:numId w:val="2"/>
        </w:numPr>
        <w:spacing w:after="60" w:line="290"/>
      </w:pPr>
      <w:r>
        <w:t xml:space="preserve">The four models give slightly different values (for example, March 2025 is 73 by ARIMA but about 78 to 79 by the others). It is sensible to use SARIMA as the main forecast and to treat the other seasonal models as a range to compare against.</w:t>
      </w:r>
    </w:p>
    <w:p>
      <w:pPr>
        <w:pStyle w:val="Heading1"/>
        <w:pageBreakBefore/>
      </w:pPr>
      <w:r>
        <w:t xml:space="preserve">13. Overall Summary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6446"/>
      </w:tblGrid>
      <w:tr>
        <w:trPr>
          <w:cantSplit/>
          <w:tblHeader/>
        </w:trPr>
        <w:tc>
          <w:tcPr>
            <w:tcW w:type="dxa" w:w="9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keepNext/>
              <w:jc w:val="left"/>
            </w:pPr>
            <w:r>
              <w:rPr>
                <w:b/>
                <w:bCs/>
                <w:color w:val="FFFFFF"/>
                <w:sz w:val="20"/>
                <w:szCs w:val="20"/>
              </w:rPr>
              <w:t xml:space="preserve">Task</w:t>
            </w:r>
          </w:p>
        </w:tc>
        <w:tc>
          <w:tcPr>
            <w:tcW w:type="dxa" w:w="24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keepNext/>
              <w:jc w:val="center"/>
            </w:pPr>
            <w:r>
              <w:rPr>
                <w:b/>
                <w:bCs/>
                <w:color w:val="FFFFFF"/>
                <w:sz w:val="20"/>
                <w:szCs w:val="20"/>
              </w:rPr>
              <w:t xml:space="preserve">Method</w:t>
            </w:r>
          </w:p>
        </w:tc>
        <w:tc>
          <w:tcPr>
            <w:tcW w:type="dxa" w:w="644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keepNext/>
              <w:jc w:val="center"/>
            </w:pPr>
            <w:r>
              <w:rPr>
                <w:b/>
                <w:bCs/>
                <w:color w:val="FFFFFF"/>
                <w:sz w:val="20"/>
                <w:szCs w:val="20"/>
              </w:rPr>
              <w:t xml:space="preserve">Key finding</w:t>
            </w:r>
          </w:p>
        </w:tc>
      </w:tr>
      <w:tr>
        <w:trPr>
          <w:cantSplit/>
        </w:trPr>
        <w:tc>
          <w:tcPr>
            <w:tcW w:type="dxa" w:w="9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keepNext/>
              <w:jc w:val="left"/>
            </w:pPr>
            <w:r>
              <w:rPr>
                <w:b w:val="false"/>
                <w:bCs w:val="false"/>
                <w:color w:val="000000"/>
                <w:sz w:val="20"/>
                <w:szCs w:val="20"/>
              </w:rPr>
              <w:t xml:space="preserve">1</w:t>
            </w:r>
          </w:p>
        </w:tc>
        <w:tc>
          <w:tcPr>
            <w:tcW w:type="dxa" w:w="24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keepNext/>
              <w:jc w:val="center"/>
            </w:pPr>
            <w:r>
              <w:rPr>
                <w:b w:val="false"/>
                <w:bCs w:val="false"/>
                <w:color w:val="000000"/>
                <w:sz w:val="20"/>
                <w:szCs w:val="20"/>
              </w:rPr>
              <w:t xml:space="preserve">Moving Average</w:t>
            </w:r>
          </w:p>
        </w:tc>
        <w:tc>
          <w:tcPr>
            <w:tcW w:type="dxa" w:w="644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keepNext/>
              <w:jc w:val="center"/>
            </w:pPr>
            <w:r>
              <w:rPr>
                <w:b w:val="false"/>
                <w:bCs w:val="false"/>
                <w:color w:val="000000"/>
                <w:sz w:val="20"/>
                <w:szCs w:val="20"/>
              </w:rPr>
              <w:t xml:space="preserve">6-month MA gives the best balance; 12-month MA shows the clearest trend but over-smooths</w:t>
            </w:r>
          </w:p>
        </w:tc>
      </w:tr>
      <w:tr>
        <w:trPr>
          <w:cantSplit/>
        </w:trPr>
        <w:tc>
          <w:tcPr>
            <w:tcW w:type="dxa" w:w="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jc w:val="left"/>
            </w:pPr>
            <w:r>
              <w:rPr>
                <w:b w:val="false"/>
                <w:bCs w:val="false"/>
                <w:color w:val="000000"/>
                <w:sz w:val="20"/>
                <w:szCs w:val="20"/>
              </w:rPr>
              <w:t xml:space="preserve">2</w:t>
            </w:r>
          </w:p>
        </w:tc>
        <w:tc>
          <w:tcPr>
            <w:tcW w:type="dxa" w:w="24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jc w:val="center"/>
            </w:pPr>
            <w:r>
              <w:rPr>
                <w:b w:val="false"/>
                <w:bCs w:val="false"/>
                <w:color w:val="000000"/>
                <w:sz w:val="20"/>
                <w:szCs w:val="20"/>
              </w:rPr>
              <w:t xml:space="preserve">Exponential Smoothing</w:t>
            </w:r>
          </w:p>
        </w:tc>
        <w:tc>
          <w:tcPr>
            <w:tcW w:type="dxa" w:w="644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jc w:val="center"/>
            </w:pPr>
            <w:r>
              <w:rPr>
                <w:b w:val="false"/>
                <w:bCs w:val="false"/>
                <w:color w:val="000000"/>
                <w:sz w:val="20"/>
                <w:szCs w:val="20"/>
              </w:rPr>
              <w:t xml:space="preserve">Triple smoothing (RMSE 1.97) is far better than SES (4.10) and Double (4.61) because it handles seasonality</w:t>
            </w:r>
          </w:p>
        </w:tc>
      </w:tr>
      <w:tr>
        <w:trPr>
          <w:cantSplit/>
        </w:trPr>
        <w:tc>
          <w:tcPr>
            <w:tcW w:type="dxa" w:w="9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keepNext/>
              <w:jc w:val="left"/>
            </w:pPr>
            <w:r>
              <w:rPr>
                <w:b w:val="false"/>
                <w:bCs w:val="false"/>
                <w:color w:val="000000"/>
                <w:sz w:val="20"/>
                <w:szCs w:val="20"/>
              </w:rPr>
              <w:t xml:space="preserve">3</w:t>
            </w:r>
          </w:p>
        </w:tc>
        <w:tc>
          <w:tcPr>
            <w:tcW w:type="dxa" w:w="24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keepNext/>
              <w:jc w:val="center"/>
            </w:pPr>
            <w:r>
              <w:rPr>
                <w:b w:val="false"/>
                <w:bCs w:val="false"/>
                <w:color w:val="000000"/>
                <w:sz w:val="20"/>
                <w:szCs w:val="20"/>
              </w:rPr>
              <w:t xml:space="preserve">AR models</w:t>
            </w:r>
          </w:p>
        </w:tc>
        <w:tc>
          <w:tcPr>
            <w:tcW w:type="dxa" w:w="644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keepNext/>
              <w:jc w:val="center"/>
            </w:pPr>
            <w:r>
              <w:rPr>
                <w:b w:val="false"/>
                <w:bCs w:val="false"/>
                <w:color w:val="000000"/>
                <w:sz w:val="20"/>
                <w:szCs w:val="20"/>
              </w:rPr>
              <w:t xml:space="preserve">AR(1) is best (RMSE 6.42), which matches the PACF graph; more lags do not help</w:t>
            </w:r>
          </w:p>
        </w:tc>
      </w:tr>
      <w:tr>
        <w:trPr>
          <w:cantSplit/>
        </w:trPr>
        <w:tc>
          <w:tcPr>
            <w:tcW w:type="dxa" w:w="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jc w:val="left"/>
            </w:pPr>
            <w:r>
              <w:rPr>
                <w:b w:val="false"/>
                <w:bCs w:val="false"/>
                <w:color w:val="000000"/>
                <w:sz w:val="20"/>
                <w:szCs w:val="20"/>
              </w:rPr>
              <w:t xml:space="preserve">4</w:t>
            </w:r>
          </w:p>
        </w:tc>
        <w:tc>
          <w:tcPr>
            <w:tcW w:type="dxa" w:w="24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jc w:val="center"/>
            </w:pPr>
            <w:r>
              <w:rPr>
                <w:b w:val="false"/>
                <w:bCs w:val="false"/>
                <w:color w:val="000000"/>
                <w:sz w:val="20"/>
                <w:szCs w:val="20"/>
              </w:rPr>
              <w:t xml:space="preserve">ARIMA</w:t>
            </w:r>
          </w:p>
        </w:tc>
        <w:tc>
          <w:tcPr>
            <w:tcW w:type="dxa" w:w="644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jc w:val="center"/>
            </w:pPr>
            <w:r>
              <w:rPr>
                <w:b w:val="false"/>
                <w:bCs w:val="false"/>
                <w:color w:val="000000"/>
                <w:sz w:val="20"/>
                <w:szCs w:val="20"/>
              </w:rPr>
              <w:t xml:space="preserve">Data needed d = 1; ARIMA(3,1,3) gives RMSE 2.93 and passes the residual check, but has no seasonality</w:t>
            </w:r>
          </w:p>
        </w:tc>
      </w:tr>
      <w:tr>
        <w:trPr>
          <w:cantSplit/>
        </w:trPr>
        <w:tc>
          <w:tcPr>
            <w:tcW w:type="dxa" w:w="9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keepNext/>
              <w:jc w:val="left"/>
            </w:pPr>
            <w:r>
              <w:rPr>
                <w:b w:val="false"/>
                <w:bCs w:val="false"/>
                <w:color w:val="000000"/>
                <w:sz w:val="20"/>
                <w:szCs w:val="20"/>
              </w:rPr>
              <w:t xml:space="preserve">5</w:t>
            </w:r>
          </w:p>
        </w:tc>
        <w:tc>
          <w:tcPr>
            <w:tcW w:type="dxa" w:w="24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keepNext/>
              <w:jc w:val="center"/>
            </w:pPr>
            <w:r>
              <w:rPr>
                <w:b w:val="false"/>
                <w:bCs w:val="false"/>
                <w:color w:val="000000"/>
                <w:sz w:val="20"/>
                <w:szCs w:val="20"/>
              </w:rPr>
              <w:t xml:space="preserve">SARIMA</w:t>
            </w:r>
          </w:p>
        </w:tc>
        <w:tc>
          <w:tcPr>
            <w:tcW w:type="dxa" w:w="644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keepNext/>
              <w:jc w:val="center"/>
            </w:pPr>
            <w:r>
              <w:rPr>
                <w:b w:val="false"/>
                <w:bCs w:val="false"/>
                <w:color w:val="000000"/>
                <w:sz w:val="20"/>
                <w:szCs w:val="20"/>
              </w:rPr>
              <w:t xml:space="preserve">SARIMA(2,1,0)(1,0,0)[12] is the best model of all (RMSE 1.34, MAPE 1.39%)</w:t>
            </w:r>
          </w:p>
        </w:tc>
      </w:tr>
      <w:tr>
        <w:trPr>
          <w:cantSplit/>
        </w:trPr>
        <w:tc>
          <w:tcPr>
            <w:tcW w:type="dxa" w:w="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val="false"/>
              <w:jc w:val="left"/>
            </w:pPr>
            <w:r>
              <w:rPr>
                <w:b w:val="false"/>
                <w:bCs w:val="false"/>
                <w:color w:val="000000"/>
                <w:sz w:val="20"/>
                <w:szCs w:val="20"/>
              </w:rPr>
              <w:t xml:space="preserve">6</w:t>
            </w:r>
          </w:p>
        </w:tc>
        <w:tc>
          <w:tcPr>
            <w:tcW w:type="dxa" w:w="24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val="false"/>
              <w:jc w:val="center"/>
            </w:pPr>
            <w:r>
              <w:rPr>
                <w:b w:val="false"/>
                <w:bCs w:val="false"/>
                <w:color w:val="000000"/>
                <w:sz w:val="20"/>
                <w:szCs w:val="20"/>
              </w:rPr>
              <w:t xml:space="preserve">Holt-Winters</w:t>
            </w:r>
          </w:p>
        </w:tc>
        <w:tc>
          <w:tcPr>
            <w:tcW w:type="dxa" w:w="644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val="false"/>
              <w:jc w:val="center"/>
            </w:pPr>
            <w:r>
              <w:rPr>
                <w:b w:val="false"/>
                <w:bCs w:val="false"/>
                <w:color w:val="000000"/>
                <w:sz w:val="20"/>
                <w:szCs w:val="20"/>
              </w:rPr>
              <w:t xml:space="preserve">Additive (MAPE 2.22%) slightly beats multiplicative (2.38%); both are second to SARIMA</w:t>
            </w:r>
          </w:p>
        </w:tc>
      </w:tr>
    </w:tbl>
    <w:p>
      <w:pPr>
        <w:spacing w:after="80"/>
      </w:pPr>
    </w:p>
    <w:p>
      <w:pPr>
        <w:spacing w:after="120" w:line="300"/>
      </w:pPr>
      <w:r>
        <w:rPr>
          <w:b/>
          <w:bCs/>
        </w:rPr>
        <w:t xml:space="preserve">In one sentence:</w:t>
      </w:r>
      <w:r>
        <w:t xml:space="preserve"> FreshMart's sales have a steady upward trend and a clear yearly pattern, so models that understand both trend and seasonality (especially SARIMA) forecast best, and their forecast can be used to plan stock and promotions through 2025.</w:t>
      </w:r>
    </w:p>
    <w:sectPr>
      <w:footerReference w:type="default" r:id="rId7"/>
      <w:pgSz w:w="11906" w:h="16838" w:orient="portrait"/>
      <w:pgMar w:top="1200" w:right="1080" w:bottom="12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8"/>
        <w:szCs w:val="18"/>
      </w:rPr>
      <w:t xml:space="preserve">FreshMart Sales Forecasting | Page </w:t>
    </w:r>
    <w:r>
      <w:rPr>
        <w:color w:val="7F7F7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200" w:before="120"/>
      <w:outlineLvl w:val="0"/>
    </w:pPr>
    <w:rPr>
      <w:rFonts w:ascii="Calibri" w:cs="Calibri" w:eastAsia="Calibri" w:hAnsi="Calibri"/>
      <w:b/>
      <w:bCs/>
      <w:color w:val="1F4E79"/>
      <w:sz w:val="34"/>
      <w:szCs w:val="34"/>
    </w:rPr>
  </w:style>
  <w:style w:type="paragraph" w:styleId="Heading2">
    <w:name w:val="Heading 2"/>
    <w:basedOn w:val="Normal"/>
    <w:next w:val="Normal"/>
    <w:qFormat/>
    <w:pPr>
      <w:keepNext/>
      <w:spacing w:after="120" w:before="240"/>
      <w:outlineLvl w:val="1"/>
    </w:pPr>
    <w:rPr>
      <w:rFonts w:ascii="Calibri" w:cs="Calibri" w:eastAsia="Calibri" w:hAnsi="Calibri"/>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673a6a2651bd738936dee32068973d8a25f9d7f4.png"/><Relationship Id="rId9" Type="http://schemas.openxmlformats.org/officeDocument/2006/relationships/image" Target="media/1d2a120a03c5615a76573eeec4e9de6c72034349.png"/><Relationship Id="rId10" Type="http://schemas.openxmlformats.org/officeDocument/2006/relationships/image" Target="media/641beec255b66c8d91dbfc3a3c63b8518919be4c.png"/><Relationship Id="rId11" Type="http://schemas.openxmlformats.org/officeDocument/2006/relationships/image" Target="media/b773e1e5cc87f8a78c2b84d614b371485b8441c6.png"/><Relationship Id="rId12" Type="http://schemas.openxmlformats.org/officeDocument/2006/relationships/image" Target="media/4d979298cde9e9f47c1244e0f463b641f39e68ca.png"/><Relationship Id="rId13" Type="http://schemas.openxmlformats.org/officeDocument/2006/relationships/image" Target="media/7a1b20948e0e0f0200b911d618eb0685b511e78a.png"/><Relationship Id="rId14" Type="http://schemas.openxmlformats.org/officeDocument/2006/relationships/image" Target="media/39a4b2f4094d28da71b8a447a7e4da355b4b141f.png"/><Relationship Id="rId15" Type="http://schemas.openxmlformats.org/officeDocument/2006/relationships/image" Target="media/334a90fd298038d35fef58250b44c304053cdca5.png"/><Relationship Id="rId16" Type="http://schemas.openxmlformats.org/officeDocument/2006/relationships/image" Target="media/8d1bab2f8f5323eaca730ad883ffc2c6ccb6acba.png"/><Relationship Id="rId17" Type="http://schemas.openxmlformats.org/officeDocument/2006/relationships/image" Target="media/bab10ea68b0fe2d0e115044100e3db3c01fb2c70.png"/><Relationship Id="rId18" Type="http://schemas.openxmlformats.org/officeDocument/2006/relationships/image" Target="media/0f1716ac9c2afec44586059765c43c24f461f34a.png"/><Relationship Id="rId19" Type="http://schemas.openxmlformats.org/officeDocument/2006/relationships/image" Target="media/75a240b62930c22af613d215a35891e078beaf3e.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FreshMart Sales Forecasting: Notebook Explanation</dc:title>
  <dc:creator>Business Analytics</dc:creator>
  <cp:lastModifiedBy>Un-named</cp:lastModifiedBy>
  <cp:revision>1</cp:revision>
  <dcterms:created xsi:type="dcterms:W3CDTF">2026-09-29T15:26:33.414Z</dcterms:created>
  <dcterms:modified xsi:type="dcterms:W3CDTF">2026-09-29T15:26:33.414Z</dcterms:modified>
</cp:coreProperties>
</file>

<file path=docProps/custom.xml><?xml version="1.0" encoding="utf-8"?>
<Properties xmlns="http://schemas.openxmlformats.org/officeDocument/2006/custom-properties" xmlns:vt="http://schemas.openxmlformats.org/officeDocument/2006/docPropsVTypes"/>
</file>