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Personal Tax Filing Information</w:t>
      </w:r>
    </w:p>
    <w:p>
      <w:r>
        <w:t>Purpose: Personal income tax filing for employee-owned tax documentation.</w:t>
      </w:r>
    </w:p>
    <w:p>
      <w:r>
        <w:t>Employee Name: Rahul Sharma</w:t>
      </w:r>
    </w:p>
    <w:p>
      <w:r>
        <w:t>PAN: ABCDE1234F</w:t>
      </w:r>
    </w:p>
    <w:p>
      <w:r>
        <w:t>Assessment Year: 2025-2026</w:t>
      </w:r>
    </w:p>
    <w:p>
      <w:r>
        <w:t>Salary Income: INR 24,50,000</w:t>
      </w:r>
    </w:p>
    <w:p>
      <w:r>
        <w:t>Deductions: Section 80C, HRA, standard deduction.</w:t>
      </w:r>
    </w:p>
    <w:p>
      <w:r>
        <w:t>This sample does not include any client tax identifier, engagement ID, or KPMG business tax record.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