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 team,</w:t>
      </w:r>
    </w:p>
    <w:p>
      <w:pPr>
        <w:pStyle w:val="BodyText"/>
      </w:pPr>
      <w:r>
        <w:t xml:space="preserve">NetApp’s launch of AI Data Engine (AIDE), a single platform turning unstructured enterprise data into AI-ready pipelines, is exactly the kind of problem I’ve spent the last two years solving at production scale. As a Senior AI Developer with 5+ years in Python backend systems and production LLM deployments, I’d like to contribute to NetApp’s path to $10B by building the AI services that make intelligent data infrastructure real for customers.</w:t>
      </w:r>
    </w:p>
    <w:p>
      <w:pPr>
        <w:pStyle w:val="BodyText"/>
      </w:pPr>
      <w:r>
        <w:t xml:space="preserve">At Bigstep Technologies, I architected an</w:t>
      </w:r>
      <w:r>
        <w:t xml:space="preserve"> </w:t>
      </w:r>
      <w:r>
        <w:rPr>
          <w:b/>
          <w:bCs/>
        </w:rPr>
        <w:t xml:space="preserve">inference pipeline processing 2M+ records/month</w:t>
      </w:r>
      <w:r>
        <w:t xml:space="preserve"> </w:t>
      </w:r>
      <w:r>
        <w:t xml:space="preserve">via Python/FastAPI APIs. I built a Strategy Router that classifies each field’s complexity and routes ~60% to deterministic parsers, reserving LLM calls for ambiguous cases only: this cut</w:t>
      </w:r>
      <w:r>
        <w:t xml:space="preserve"> </w:t>
      </w:r>
      <w:r>
        <w:rPr>
          <w:b/>
          <w:bCs/>
        </w:rPr>
        <w:t xml:space="preserve">token costs ~40%</w:t>
      </w:r>
      <w:r>
        <w:t xml:space="preserve"> </w:t>
      </w:r>
      <w:r>
        <w:t xml:space="preserve">while maintaining accuracy. Separately, I designed a</w:t>
      </w:r>
      <w:r>
        <w:t xml:space="preserve"> </w:t>
      </w:r>
      <w:r>
        <w:rPr>
          <w:b/>
          <w:bCs/>
        </w:rPr>
        <w:t xml:space="preserve">RAG pipeline</w:t>
      </w:r>
      <w:r>
        <w:t xml:space="preserve"> </w:t>
      </w:r>
      <w:r>
        <w:t xml:space="preserve">(SPLADE + Sentence-BERT + Cross-Encoder re-ranking) that lifted NDCG@5 by 15 points, and I operate these services end-to-end with OpenTelemetry tracing, metrics, and alerting.</w:t>
      </w:r>
    </w:p>
    <w:p>
      <w:pPr>
        <w:pStyle w:val="BodyText"/>
      </w:pPr>
      <w:r>
        <w:t xml:space="preserve">Earlier, as Founding Engineer at Kuttl, I built a distributed data ingestion pipeline on</w:t>
      </w:r>
      <w:r>
        <w:t xml:space="preserve"> </w:t>
      </w:r>
      <w:r>
        <w:rPr>
          <w:b/>
          <w:bCs/>
        </w:rPr>
        <w:t xml:space="preserve">FastAPI + Temporal.io</w:t>
      </w:r>
      <w:r>
        <w:t xml:space="preserve"> </w:t>
      </w:r>
      <w:r>
        <w:t xml:space="preserve">handling 50k+ daily messages with full observability. I fine-tuned Llama-3 to replace GPT-4 for structured extraction,</w:t>
      </w:r>
      <w:r>
        <w:t xml:space="preserve"> </w:t>
      </w:r>
      <w:r>
        <w:rPr>
          <w:b/>
          <w:bCs/>
        </w:rPr>
        <w:t xml:space="preserve">cutting inference costs by 90%</w:t>
      </w:r>
      <w:r>
        <w:t xml:space="preserve">, and applied semantic caching and request batching to improve P99 latency by 40% under load. At Amazon, I owned microservices at</w:t>
      </w:r>
      <w:r>
        <w:t xml:space="preserve"> </w:t>
      </w:r>
      <w:r>
        <w:rPr>
          <w:b/>
          <w:bCs/>
        </w:rPr>
        <w:t xml:space="preserve">99.99% availability</w:t>
      </w:r>
      <w:r>
        <w:t xml:space="preserve"> </w:t>
      </w:r>
      <w:r>
        <w:t xml:space="preserve">for 3,000+ merchants, optimized ECS/Docker infrastructure costs by $100k/year, and built testing frameworks (unit, integration, load) with CloudWatch alarms that caught N+1 bottlenecks before release.</w:t>
      </w:r>
    </w:p>
    <w:p>
      <w:pPr>
        <w:pStyle w:val="BodyText"/>
      </w:pPr>
      <w:r>
        <w:t xml:space="preserve">NetApp’s emphasis on reliability, scale, and cost efficiency in AI services maps directly to what I do daily: design Python APIs, integrate LLMs and RAG into production, profile performance, and operate with clear observability. I’d welcome the chance to discuss how I can help ship these capabilities for AIDE and beyond.</w:t>
      </w:r>
    </w:p>
    <w:p>
      <w:pPr>
        <w:pStyle w:val="BodyText"/>
      </w:pPr>
      <w:r>
        <w:t xml:space="preserve">Best,</w:t>
      </w:r>
      <w:r>
        <w:t xml:space="preserve"> </w:t>
      </w:r>
      <w:r>
        <w:t xml:space="preserve">Parvez Akhtar</w:t>
      </w:r>
      <w:r>
        <w:t xml:space="preserve"> </w:t>
      </w:r>
      <w:r>
        <w:t xml:space="preserve">parvezakhtar218@gmail.com | +91 888-232-7732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2026-07-25T13:43:11Z</dcterms:created>
  <dcterms:modified xsi:type="dcterms:W3CDTF">2026-07-25T13:43:11Z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