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 team,</w:t>
      </w:r>
    </w:p>
    <w:p>
      <w:pPr>
        <w:pStyle w:val="BodyText"/>
      </w:pPr>
      <w:r>
        <w:t xml:space="preserve">The hardest part of enterprise AI is not the model, it is shipping it reliably, securely, and cheaply enough to trust in production. That is the work I do, and doing it inside a regulated bank scaling agentic and generative AI through a dedicated AI Centre of Excellence is exactly the challenge I want. Lloyds Technology Centre’s focus on operationalising AI safely maps directly to how I already build.</w:t>
      </w:r>
    </w:p>
    <w:p>
      <w:pPr>
        <w:pStyle w:val="BodyText"/>
      </w:pPr>
      <w:r>
        <w:t xml:space="preserve">As Lead Architect at Bigstep, I run AI as an engineering discipline. I built</w:t>
      </w:r>
      <w:r>
        <w:t xml:space="preserve"> </w:t>
      </w:r>
      <w:r>
        <w:rPr>
          <w:b/>
          <w:bCs/>
        </w:rPr>
        <w:t xml:space="preserve">CI/CD evaluation gates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Ragas</w:t>
      </w:r>
      <w:r>
        <w:t xml:space="preserve"> </w:t>
      </w:r>
      <w:r>
        <w:t xml:space="preserve">graders scoring faithfulness and answer-relevancy that automatically block deployments below threshold, so quality regressions never reach production. On a</w:t>
      </w:r>
      <w:r>
        <w:t xml:space="preserve"> </w:t>
      </w:r>
      <w:r>
        <w:rPr>
          <w:b/>
          <w:bCs/>
        </w:rPr>
        <w:t xml:space="preserve">2M+ records/month</w:t>
      </w:r>
      <w:r>
        <w:t xml:space="preserve"> </w:t>
      </w:r>
      <w:r>
        <w:t xml:space="preserve">extraction engine, I designed a</w:t>
      </w:r>
      <w:r>
        <w:t xml:space="preserve"> </w:t>
      </w:r>
      <w:r>
        <w:rPr>
          <w:b/>
          <w:bCs/>
        </w:rPr>
        <w:t xml:space="preserve">Strategy Router</w:t>
      </w:r>
      <w:r>
        <w:t xml:space="preserve"> </w:t>
      </w:r>
      <w:r>
        <w:t xml:space="preserve">that tracks latency, token usage, and cost and routes ~60% of fields to deterministic parsers, cutting</w:t>
      </w:r>
      <w:r>
        <w:t xml:space="preserve"> </w:t>
      </w:r>
      <w:r>
        <w:rPr>
          <w:b/>
          <w:bCs/>
        </w:rPr>
        <w:t xml:space="preserve">token spend ~40%</w:t>
      </w:r>
      <w:r>
        <w:t xml:space="preserve"> </w:t>
      </w:r>
      <w:r>
        <w:t xml:space="preserve">with no accuracy loss. Earlier, I fine-tuned</w:t>
      </w:r>
      <w:r>
        <w:t xml:space="preserve"> </w:t>
      </w:r>
      <w:r>
        <w:rPr>
          <w:b/>
          <w:bCs/>
        </w:rPr>
        <w:t xml:space="preserve">Llama-3-8B (LoRA/PEFT)</w:t>
      </w:r>
      <w:r>
        <w:t xml:space="preserve"> </w:t>
      </w:r>
      <w:r>
        <w:t xml:space="preserve">to hit</w:t>
      </w:r>
      <w:r>
        <w:t xml:space="preserve"> </w:t>
      </w:r>
      <w:r>
        <w:rPr>
          <w:b/>
          <w:bCs/>
        </w:rPr>
        <w:t xml:space="preserve">98% schema compliance</w:t>
      </w:r>
      <w:r>
        <w:t xml:space="preserve"> </w:t>
      </w:r>
      <w:r>
        <w:t xml:space="preserve">while reducing per-token cost</w:t>
      </w:r>
      <w:r>
        <w:t xml:space="preserve"> </w:t>
      </w:r>
      <w:r>
        <w:rPr>
          <w:b/>
          <w:bCs/>
        </w:rPr>
        <w:t xml:space="preserve">90%</w:t>
      </w:r>
      <w:r>
        <w:t xml:space="preserve">.</w:t>
      </w:r>
    </w:p>
    <w:p>
      <w:pPr>
        <w:pStyle w:val="BodyText"/>
      </w:pPr>
      <w:r>
        <w:t xml:space="preserve">On the engineering and security side, I ship models as</w:t>
      </w:r>
      <w:r>
        <w:t xml:space="preserve"> </w:t>
      </w:r>
      <w:r>
        <w:rPr>
          <w:b/>
          <w:bCs/>
        </w:rPr>
        <w:t xml:space="preserve">FastAPI microservices</w:t>
      </w:r>
      <w:r>
        <w:t xml:space="preserve"> </w:t>
      </w:r>
      <w:r>
        <w:t xml:space="preserve">and have built enterprise access controls end to end: a</w:t>
      </w:r>
      <w:r>
        <w:t xml:space="preserve"> </w:t>
      </w:r>
      <w:r>
        <w:rPr>
          <w:b/>
          <w:bCs/>
        </w:rPr>
        <w:t xml:space="preserve">Keycloak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Spring Security</w:t>
      </w:r>
      <w:r>
        <w:t xml:space="preserve"> </w:t>
      </w:r>
      <w:r>
        <w:t xml:space="preserve">identity broker using stateless</w:t>
      </w:r>
      <w:r>
        <w:t xml:space="preserve"> </w:t>
      </w:r>
      <w:r>
        <w:rPr>
          <w:b/>
          <w:bCs/>
        </w:rPr>
        <w:t xml:space="preserve">JWT</w:t>
      </w:r>
      <w:r>
        <w:t xml:space="preserve">, and a</w:t>
      </w:r>
      <w:r>
        <w:t xml:space="preserve"> </w:t>
      </w:r>
      <w:r>
        <w:rPr>
          <w:b/>
          <w:bCs/>
        </w:rPr>
        <w:t xml:space="preserve">Schema-per-Tenant RBAC</w:t>
      </w:r>
      <w:r>
        <w:t xml:space="preserve"> </w:t>
      </w:r>
      <w:r>
        <w:t xml:space="preserve">architecture isolating 21 enterprise clients with automated data-integrity reconciliation. At Amazon I held</w:t>
      </w:r>
      <w:r>
        <w:t xml:space="preserve"> </w:t>
      </w:r>
      <w:r>
        <w:rPr>
          <w:b/>
          <w:bCs/>
        </w:rPr>
        <w:t xml:space="preserve">99.99% availability</w:t>
      </w:r>
      <w:r>
        <w:t xml:space="preserve"> </w:t>
      </w:r>
      <w:r>
        <w:t xml:space="preserve">on billing microservices and cut infrastructure cost</w:t>
      </w:r>
      <w:r>
        <w:t xml:space="preserve"> </w:t>
      </w:r>
      <w:r>
        <w:rPr>
          <w:b/>
          <w:bCs/>
        </w:rPr>
        <w:t xml:space="preserve">25%</w:t>
      </w:r>
      <w:r>
        <w:t xml:space="preserve">. This is the reliability, security, and cost discipline your role centres on.</w:t>
      </w:r>
    </w:p>
    <w:p>
      <w:pPr>
        <w:pStyle w:val="BodyText"/>
      </w:pPr>
      <w:r>
        <w:t xml:space="preserve">What draws me to Lloyds specifically is the commitment to Responsible AI: building GenAI that 27 million customers can trust is a governance problem as much as a modelling one, and I want to set those technical standards and mentor engineers doing it. I would welcome the chance to discuss how I can contribute to the AI CoE.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Parvez Akhtar</w:t>
      </w:r>
      <w:r>
        <w:t xml:space="preserve"> </w:t>
      </w:r>
      <w:r>
        <w:t xml:space="preserve">+91 888-232-7732 | parvezakhtar218@gmail.com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2026-07-26T20:42:19Z</dcterms:created>
  <dcterms:modified xsi:type="dcterms:W3CDTF">2026-07-26T20:42:19Z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