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team,</w:t>
      </w:r>
    </w:p>
    <w:p>
      <w:pPr>
        <w:pStyle w:val="BodyText"/>
      </w:pPr>
      <w:r>
        <w:t xml:space="preserve">I build the backend that turns GenAI prototypes into production systems, and PwC’s Acceleration Centers are doing exactly that at enterprise scale. Your Data and Analytics team wants a Senior Associate who can translate business goals into scalable</w:t>
      </w:r>
      <w:r>
        <w:t xml:space="preserve"> </w:t>
      </w:r>
      <w:r>
        <w:rPr>
          <w:b/>
          <w:bCs/>
        </w:rPr>
        <w:t xml:space="preserve">GenAI and Agentic AI</w:t>
      </w:r>
      <w:r>
        <w:t xml:space="preserve"> </w:t>
      </w:r>
      <w:r>
        <w:t xml:space="preserve">software, working across product, ML, and DevOps. That is the work I do now, and I would like to bring it to your client engagements.</w:t>
      </w:r>
    </w:p>
    <w:p>
      <w:pPr>
        <w:pStyle w:val="BodyText"/>
      </w:pPr>
      <w:r>
        <w:t xml:space="preserve">Most recently, as Lead Architect at Bigstep Technologies, I orchestrated a</w:t>
      </w:r>
      <w:r>
        <w:t xml:space="preserve"> </w:t>
      </w:r>
      <w:r>
        <w:rPr>
          <w:b/>
          <w:bCs/>
        </w:rPr>
        <w:t xml:space="preserve">serverless multi-agent</w:t>
      </w:r>
      <w:r>
        <w:t xml:space="preserve"> </w:t>
      </w:r>
      <w:r>
        <w:t xml:space="preserve">framework for Salesforce automation using tool/function calling 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, cutting idle compute to a pay-per-execution model that saves</w:t>
      </w:r>
      <w:r>
        <w:t xml:space="preserve"> </w:t>
      </w:r>
      <w:r>
        <w:rPr>
          <w:b/>
          <w:bCs/>
        </w:rPr>
        <w:t xml:space="preserve">~$45k/year</w:t>
      </w:r>
      <w:r>
        <w:t xml:space="preserve">. I also architected a Field-Aware Extraction Engine 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, where a routing layer sends ~60% of fields to deterministic parsers and reserves the LLM for the rest, trimming token spend</w:t>
      </w:r>
      <w:r>
        <w:t xml:space="preserve"> </w:t>
      </w:r>
      <w:r>
        <w:rPr>
          <w:b/>
          <w:bCs/>
        </w:rPr>
        <w:t xml:space="preserve">~40%</w:t>
      </w:r>
      <w:r>
        <w:t xml:space="preserve"> </w:t>
      </w:r>
      <w:r>
        <w:t xml:space="preserve">with no accuracy loss. These are the event-driven, API-integrated backends the role calls for.</w:t>
      </w:r>
    </w:p>
    <w:p>
      <w:pPr>
        <w:pStyle w:val="BodyText"/>
      </w:pPr>
      <w:r>
        <w:t xml:space="preserve">The Python and architecture depth is genuine. At Kuttl I built a distributed document pipeline on</w:t>
      </w:r>
      <w:r>
        <w:t xml:space="preserve"> </w:t>
      </w:r>
      <w:r>
        <w:rPr>
          <w:b/>
          <w:bCs/>
        </w:rPr>
        <w:t xml:space="preserve">FastAPI and Temporal.io</w:t>
      </w:r>
      <w:r>
        <w:t xml:space="preserve"> </w:t>
      </w:r>
      <w:r>
        <w:t xml:space="preserve">handling</w:t>
      </w:r>
      <w:r>
        <w:t xml:space="preserve"> </w:t>
      </w:r>
      <w:r>
        <w:rPr>
          <w:b/>
          <w:bCs/>
        </w:rPr>
        <w:t xml:space="preserve">50k+ daily messages</w:t>
      </w:r>
      <w:r>
        <w:t xml:space="preserve"> </w:t>
      </w:r>
      <w:r>
        <w:t xml:space="preserve">with asynchronous, event-driven processing, retries, and dead-letter queues, and fine-tuned Llama-3-8B to cut inference cost</w:t>
      </w:r>
      <w:r>
        <w:t xml:space="preserve"> </w:t>
      </w:r>
      <w:r>
        <w:rPr>
          <w:b/>
          <w:bCs/>
        </w:rPr>
        <w:t xml:space="preserve">90%</w:t>
      </w:r>
      <w:r>
        <w:t xml:space="preserve">. Earlier, I led a Strangler-Fig migration to Spring Boot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SOLID and clean-architecture</w:t>
      </w:r>
      <w:r>
        <w:t xml:space="preserve"> </w:t>
      </w:r>
      <w:r>
        <w:t xml:space="preserve">principles, and ran high-scale services on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and AWS. I work fluidly across Python and Java, relational and NoSQL stores, and CI/CD.</w:t>
      </w:r>
    </w:p>
    <w:p>
      <w:pPr>
        <w:pStyle w:val="BodyText"/>
      </w:pPr>
      <w:r>
        <w:t xml:space="preserve">What draws me to PwC specifically is the breadth: shipping reliable GenAI across many clients and domains, not one product, is a harder and more interesting engineering problem, and the quality bar the ACs are known for matches how I like to build.</w:t>
      </w:r>
    </w:p>
    <w:p>
      <w:pPr>
        <w:pStyle w:val="BodyText"/>
      </w:pPr>
      <w:r>
        <w:t xml:space="preserve">I would welcome the chance to discuss how I can contribute.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Parvez Akhtar</w:t>
      </w:r>
      <w:r>
        <w:t xml:space="preserve"> </w:t>
      </w:r>
      <w:r>
        <w:t xml:space="preserve">+91 888-232-7732 | parvezakhtar218@gmail.com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2026-07-26T19:58:18Z</dcterms:created>
  <dcterms:modified xsi:type="dcterms:W3CDTF">2026-07-26T19:58:18Z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