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</w:pPr>
      <w:r>
        <w:rPr>
          <w:b/>
          <w:bCs/>
          <w:color w:val="1F3864"/>
          <w:sz w:val="60"/>
          <w:szCs w:val="60"/>
        </w:rPr>
        <w:t xml:space="preserve">QA Test Strategy</w:t>
      </w:r>
    </w:p>
    <w:p>
      <w:pPr>
        <w:spacing w:after="60"/>
      </w:pPr>
      <w:r>
        <w:rPr>
          <w:color w:val="2E75B6"/>
          <w:sz w:val="32"/>
          <w:szCs w:val="32"/>
        </w:rPr>
        <w:t xml:space="preserve">Berkeley Payments — Card Issuing APIs</w:t>
      </w:r>
    </w:p>
    <w:p>
      <w:pPr>
        <w:pBdr>
          <w:bottom w:val="single" w:color="C55A11" w:sz="8" w:space="8"/>
        </w:pBdr>
        <w:spacing w:after="400"/>
      </w:pPr>
      <w:r>
        <w:rPr>
          <w:i/>
          <w:iCs/>
          <w:color w:val="595959"/>
          <w:sz w:val="22"/>
          <w:szCs w:val="22"/>
        </w:rPr>
        <w:t xml:space="preserve">Cardholders · Accounts &amp; Cards · Value Loads · Programs</w:t>
      </w:r>
    </w:p>
    <w:p>
      <w:pPr>
        <w:spacing w:after="200"/>
      </w:pPr>
      <w:r>
        <w:rPr>
          <w:i/>
          <w:iCs/>
        </w:rPr>
        <w:t xml:space="preserve">A reference for discussing test approach, coverage, and tooling. Structured so each section stands alone as a talking point — usable in a live demo, as slide content, or as a written test plan.</w:t>
      </w:r>
    </w:p>
    <w:tbl>
      <w:tblPr>
        <w:tblW w:type="dxa" w:w="9360"/>
        <w:tblBorders>
          <w:top w:val="single" w:color="D5E8F0" w:sz="1"/>
          <w:left w:val="single" w:color="C55A11" w:sz="24"/>
          <w:bottom w:val="single" w:color="D5E8F0" w:sz="1"/>
          <w:right w:val="single" w:color="D5E8F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How to use this document</w:t>
            </w:r>
          </w:p>
          <w:p>
            <w:pPr>
              <w:spacing w:after="40" w:line="264"/>
            </w:pPr>
            <w:r>
              <w:t xml:space="preserve">Each major section maps to a question an interviewer is likely to ask. Lead with the </w:t>
            </w:r>
            <w:r>
              <w:rPr>
                <w:b/>
                <w:bCs/>
              </w:rPr>
              <w:t xml:space="preserve">principle</w:t>
            </w:r>
            <w:r>
              <w:t xml:space="preserve">, then the </w:t>
            </w:r>
            <w:r>
              <w:rPr>
                <w:b/>
                <w:bCs/>
              </w:rPr>
              <w:t xml:space="preserve">concrete example</w:t>
            </w:r>
            <w:r>
              <w:t xml:space="preserve"> from the Berkeley domain, then the </w:t>
            </w:r>
            <w:r>
              <w:rPr>
                <w:b/>
                <w:bCs/>
              </w:rPr>
              <w:t xml:space="preserve">trade-off</w:t>
            </w:r>
            <w:r>
              <w:t xml:space="preserve"> you weighed. That sequence is what signals staff-level thinking rather than tool familiarity.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1. Guiding Philosophy</w:t>
      </w:r>
    </w:p>
    <w:p>
      <w:pPr>
        <w:spacing w:after="120" w:line="276"/>
      </w:pPr>
      <w:r>
        <w:t xml:space="preserve">The central message: </w:t>
      </w:r>
      <w:r>
        <w:rPr>
          <w:b/>
          <w:bCs/>
        </w:rPr>
        <w:t xml:space="preserve">test the business flows, not just the endpoints.</w:t>
      </w:r>
      <w:r>
        <w:t xml:space="preserve"> Berkeley moves real money on behalf of regulated institutions, so the test strategy is organised around what can go wrong financially and operationally — not around an inventory of HTTP routes.</w:t>
      </w:r>
    </w:p>
    <w:p>
      <w:pPr>
        <w:spacing w:after="120" w:line="276"/>
      </w:pPr>
      <w:r>
        <w:t xml:space="preserve">Three principles drive every choice that follows: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Risk-based prioritisation. </w:t>
      </w:r>
      <w:r>
        <w:t xml:space="preserve">A bug in value loading or balance calculation is catastrophic; a bug in a list-pagination offset is cosmetic. Coverage depth follows financial and compliance risk.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Black-box first, because that reflects reality. </w:t>
      </w:r>
      <w:r>
        <w:t xml:space="preserve">We integrate against Berkeley as a third-party API. We own our test data and assertions, not their source. That constraint shapes — but does not limit — what we can verify.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Shift-left where we own code, shift-right where we don't. </w:t>
      </w:r>
      <w:r>
        <w:t xml:space="preserve">For our own integration layer we recommend unit and contract tests. For Berkeley's platform we lean on contract testing, observability, and production monitoring.</w:t>
      </w:r>
    </w:p>
    <w:p>
      <w:pPr>
        <w:spacing w:after="120"/>
      </w:pPr>
    </w:p>
    <w:tbl>
      <w:tblPr>
        <w:tblW w:type="dxa" w:w="9360"/>
        <w:tblBorders>
          <w:top w:val="single" w:color="D5E8F0" w:sz="1"/>
          <w:left w:val="single" w:color="2E75B6" w:sz="24"/>
          <w:bottom w:val="single" w:color="D5E8F0" w:sz="1"/>
          <w:right w:val="single" w:color="D5E8F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One-line framing for the interview</w:t>
            </w:r>
          </w:p>
          <w:p>
            <w:pPr>
              <w:spacing w:after="40" w:line="264"/>
            </w:pPr>
            <w:r>
              <w:rPr>
                <w:i/>
                <w:iCs/>
              </w:rPr>
              <w:t xml:space="preserve">“I structured the suite around the cardholder and money-movement lifecycles, prioritised by financial risk, and treated Berkeley as a black box — then layered contract and monitoring recommendations on top to cover what black-box alone can't reach.”</w:t>
            </w:r>
          </w:p>
        </w:tc>
      </w:tr>
    </w:tbl>
    <w:p>
      <w:pPr>
        <w:pStyle w:val="Heading1"/>
      </w:pPr>
      <w:r>
        <w:t xml:space="preserve">2. How the Tests Tie Together: A Layered Model</w:t>
      </w:r>
    </w:p>
    <w:p>
      <w:pPr>
        <w:spacing w:after="120" w:line="276"/>
      </w:pPr>
      <w:r>
        <w:t xml:space="preserve">Because we are an API consumer, the classic test pyramid is reshaped. We don't own the UI or the backend units, so the bulk of </w:t>
      </w:r>
      <w:r>
        <w:rPr>
          <w:b/>
          <w:bCs/>
        </w:rPr>
        <w:t xml:space="preserve">our</w:t>
      </w:r>
      <w:r>
        <w:t xml:space="preserve"> effort sits at the API/integration and contract layers. The model below shows each layer, who owns it, and what it protects against.</w:t>
      </w:r>
    </w:p>
    <w:p>
      <w:pPr>
        <w:pageBreakBefore/>
      </w:pP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00"/>
        <w:gridCol w:w="3260"/>
        <w:gridCol w:w="2400"/>
        <w:gridCol w:w="20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verifies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 / feasibility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Tooling</w:t>
            </w:r>
          </w:p>
        </w:tc>
      </w:tr>
      <w:tr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E2E / Journey</w:t>
            </w:r>
          </w:p>
        </w:tc>
        <w:tc>
          <w:tcPr>
            <w:tcW w:type="dxa" w:w="32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Full lifecycle: onboard → activate → load → spend → suspend → offboard</w:t>
            </w:r>
          </w:p>
        </w:tc>
        <w:tc>
          <w:tcPr>
            <w:tcW w:type="dxa" w:w="24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 — feasible now (black-box)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Playwright (API), Postman/Newman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API / Integration</w:t>
            </w:r>
          </w:p>
        </w:tc>
        <w:tc>
          <w:tcPr>
            <w:tcW w:type="dxa" w:w="32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Single endpoint behaviour, status codes, schema, field validation, error handling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 — feasible now (black-box)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Playwright, Postman/Newman</w:t>
            </w:r>
          </w:p>
        </w:tc>
      </w:tr>
      <w:tr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Contract</w:t>
            </w:r>
          </w:p>
        </w:tc>
        <w:tc>
          <w:tcPr>
            <w:tcW w:type="dxa" w:w="32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Request/response shape stays stable as Berkeley evolves their API</w:t>
            </w:r>
          </w:p>
        </w:tc>
        <w:tc>
          <w:tcPr>
            <w:tcW w:type="dxa" w:w="24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 — recommend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Pact, JSON Schema, OpenAPI diff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Unit (our glue code)</w:t>
            </w:r>
          </w:p>
        </w:tc>
        <w:tc>
          <w:tcPr>
            <w:tcW w:type="dxa" w:w="32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Our own retry logic, idempotency-key generation, amount/currency conversion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 — recommend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Jest / Vitest</w:t>
            </w:r>
          </w:p>
        </w:tc>
      </w:tr>
      <w:tr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Unit / Service (Berkeley side)</w:t>
            </w:r>
          </w:p>
        </w:tc>
        <w:tc>
          <w:tcPr>
            <w:tcW w:type="dxa" w:w="32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Internal balance math, ledger postings, state machines</w:t>
            </w:r>
          </w:p>
        </w:tc>
        <w:tc>
          <w:tcPr>
            <w:tcW w:type="dxa" w:w="24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Berkeley — white-box, not us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Their internal frameworks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Monitoring / Synthetic</w:t>
            </w:r>
          </w:p>
        </w:tc>
        <w:tc>
          <w:tcPr>
            <w:tcW w:type="dxa" w:w="32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Production health, latency, availability of live money movement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 + Berkeley — recommend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Synthetic Playwright, alerting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D5E8F0" w:sz="1"/>
          <w:left w:val="single" w:color="2E75B6" w:sz="24"/>
          <w:bottom w:val="single" w:color="D5E8F0" w:sz="1"/>
          <w:right w:val="single" w:color="D5E8F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Why this matters</w:t>
            </w:r>
          </w:p>
          <w:p>
            <w:pPr>
              <w:spacing w:after="40" w:line="264"/>
            </w:pPr>
            <w:r>
              <w:t xml:space="preserve">Stating plainly that </w:t>
            </w:r>
            <w:r>
              <w:rPr>
                <w:b/>
                <w:bCs/>
              </w:rPr>
              <w:t xml:space="preserve">the pyramid is inverted for an API consumer</w:t>
            </w:r>
            <w:r>
              <w:t xml:space="preserve"> — heavy at integration/contract, light at UI — shows you understand testing strategy adapts to architecture and ownership. That is a staff-level distinction.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3. Test Types to Include</w:t>
      </w:r>
    </w:p>
    <w:p>
      <w:pPr>
        <w:spacing w:after="120" w:line="276"/>
      </w:pPr>
      <w:r>
        <w:t xml:space="preserve">Across the layers above, these are the categories of test that belong in the suite, each with a Berkeley-specific example.</w:t>
      </w:r>
    </w:p>
    <w:p>
      <w:pPr>
        <w:pStyle w:val="Heading2"/>
      </w:pPr>
      <w:r>
        <w:t xml:space="preserve">3.1 Functional / Happy Path</w:t>
      </w:r>
    </w:p>
    <w:p>
      <w:pPr>
        <w:spacing w:after="120" w:line="276"/>
      </w:pPr>
      <w:r>
        <w:t xml:space="preserve">The baseline: each endpoint does what it claims with valid inputs. Already demonstrated in Postman.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Example: </w:t>
      </w:r>
      <w:r>
        <w:t xml:space="preserve">Create Cardholder returns 201, an id, and a processor_reference; the initial value load reports success.</w:t>
      </w:r>
    </w:p>
    <w:p>
      <w:pPr>
        <w:pStyle w:val="Heading2"/>
      </w:pPr>
      <w:r>
        <w:t xml:space="preserve">3.2 Negative &amp; Error Handling</w:t>
      </w:r>
    </w:p>
    <w:p>
      <w:pPr>
        <w:spacing w:after="120" w:line="276"/>
      </w:pPr>
      <w:r>
        <w:t xml:space="preserve">Often more revealing than the happy path — fintech APIs must fail safely and predictably.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Invalid input: </w:t>
      </w:r>
      <w:r>
        <w:t xml:space="preserve">missing required fields → expect 4xx, never a partial create.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Not found: </w:t>
      </w:r>
      <w:r>
        <w:t xml:space="preserve">nonexistent cardholder / account / program ids.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Auth failures: </w:t>
      </w:r>
      <w:r>
        <w:t xml:space="preserve">missing, malformed, or expired token → 401/403.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Business-rule rejections: </w:t>
      </w:r>
      <w:r>
        <w:t xml:space="preserve">load against a non-reloadable card; unload on a program where it isn't enabled.</w:t>
      </w:r>
    </w:p>
    <w:p>
      <w:pPr>
        <w:pStyle w:val="Heading2"/>
      </w:pPr>
      <w:r>
        <w:t xml:space="preserve">3.3 Boundary &amp; Equivalence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Amounts: </w:t>
      </w:r>
      <w:r>
        <w:t xml:space="preserve">zero, negative, one minor unit, very large, non-integer minor units, currency mismatches.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Strings: </w:t>
      </w:r>
      <w:r>
        <w:t xml:space="preserve">max-length names, unicode, empty optional vs. omitted fields.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Dates: </w:t>
      </w:r>
      <w:r>
        <w:t xml:space="preserve">date-of-birth in the future; under-18 where the program forbids minors.</w:t>
      </w:r>
    </w:p>
    <w:p>
      <w:pPr>
        <w:pStyle w:val="Heading2"/>
      </w:pPr>
      <w:r>
        <w:t xml:space="preserve">3.4 State-Transition Testing</w:t>
      </w:r>
    </w:p>
    <w:p>
      <w:pPr>
        <w:spacing w:after="120" w:line="276"/>
      </w:pPr>
      <w:r>
        <w:t xml:space="preserve">Accounts and cards are </w:t>
      </w:r>
      <w:r>
        <w:rPr>
          <w:b/>
          <w:bCs/>
        </w:rPr>
        <w:t xml:space="preserve">state machines</w:t>
      </w:r>
      <w:r>
        <w:t xml:space="preserve">, which makes this category especially high-value.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Valid transitions: </w:t>
      </w:r>
      <w:r>
        <w:t xml:space="preserve">active → suspended → active.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Invalid / terminal: </w:t>
      </w:r>
      <w:r>
        <w:t xml:space="preserve">lost and stolen are terminal — assert you cannot move back to active. This is exactly the kind of rule whose violation causes real fraud loss.</w:t>
      </w:r>
    </w:p>
    <w:p>
      <w:pPr>
        <w:pStyle w:val="Heading2"/>
      </w:pPr>
      <w:r>
        <w:t xml:space="preserve">3.5 Data Integrity &amp; Financial Reconciliation</w:t>
      </w:r>
    </w:p>
    <w:p>
      <w:pPr>
        <w:spacing w:after="120" w:line="276"/>
      </w:pPr>
      <w:r>
        <w:t xml:space="preserve">The category that matters most for a payments company. Money must be conserved.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Conservation: </w:t>
      </w:r>
      <w:r>
        <w:t xml:space="preserve">a load of $20 decreases program balance by exactly $20 and increases account balance by exactly $20 — assert both sides.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Round-trip: </w:t>
      </w:r>
      <w:r>
        <w:t xml:space="preserve">load then unload returns balances to their starting point.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Authorization vs. settlement: </w:t>
      </w:r>
      <w:r>
        <w:t xml:space="preserve">a pending auth reduces available balance but not settled balance until it clears.</w:t>
      </w:r>
    </w:p>
    <w:p>
      <w:pPr>
        <w:pStyle w:val="Heading2"/>
      </w:pPr>
      <w:r>
        <w:t xml:space="preserve">3.6 Idempotency &amp; Concurrency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Idempotency: </w:t>
      </w:r>
      <w:r>
        <w:t xml:space="preserve">replaying a value load with the same idempotency key must not double-charge. Critical for retry-after-timeout scenarios.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Concurrency: </w:t>
      </w:r>
      <w:r>
        <w:t xml:space="preserve">two simultaneous loads/spends on one account don't corrupt the balance or allow overspend.</w:t>
      </w:r>
    </w:p>
    <w:p>
      <w:pPr>
        <w:pStyle w:val="Heading2"/>
      </w:pPr>
      <w:r>
        <w:t xml:space="preserve">3.7 Security (black-box surface)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Authorization isolation: </w:t>
      </w:r>
      <w:r>
        <w:t xml:space="preserve">token for Program A cannot read or mutate Program B's cardholders (IDOR / horizontal access).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Sensitive data: </w:t>
      </w:r>
      <w:r>
        <w:t xml:space="preserve">PAN, CVV, PIN are masked or tokenised in responses and logs.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Transport: </w:t>
      </w:r>
      <w:r>
        <w:t xml:space="preserve">TLS enforced; no secrets in URLs.</w:t>
      </w:r>
    </w:p>
    <w:p>
      <w:pPr>
        <w:pStyle w:val="Heading2"/>
      </w:pPr>
      <w:r>
        <w:t xml:space="preserve">3.8 Non-Functional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Performance: </w:t>
      </w:r>
      <w:r>
        <w:t xml:space="preserve">latency and throughput under expected load; behaviour of paginated reads on large accounts.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Resilience: </w:t>
      </w:r>
      <w:r>
        <w:t xml:space="preserve">rate-limit (429) handling, timeout behaviour, graceful degradation.</w:t>
      </w:r>
    </w:p>
    <w:p>
      <w:pPr>
        <w:pageBreakBefore/>
      </w:pPr>
    </w:p>
    <w:p>
      <w:pPr>
        <w:pStyle w:val="Heading1"/>
      </w:pPr>
      <w:r>
        <w:t xml:space="preserve">4. How Much Coverage per Suite</w:t>
      </w:r>
    </w:p>
    <w:p>
      <w:pPr>
        <w:spacing w:after="120" w:line="276"/>
      </w:pPr>
      <w:r>
        <w:t xml:space="preserve">Coverage is allocated by risk, not spread evenly. The table gives a defensible depth target per resource and the rationale. </w:t>
      </w:r>
      <w:r>
        <w:rPr>
          <w:b/>
          <w:bCs/>
        </w:rPr>
        <w:t xml:space="preserve">Talking point: </w:t>
      </w:r>
      <w:r>
        <w:t xml:space="preserve">be ready to justify why Value Loads gets the deepest coverage and Programs the lightest.</w:t>
      </w:r>
    </w:p>
    <w:p>
      <w:pPr>
        <w:spacing w:after="60"/>
      </w:pP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900"/>
        <w:gridCol w:w="1500"/>
        <w:gridCol w:w="3360"/>
        <w:gridCol w:w="26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Suite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Depth of coverage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Value Loads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Highest</w:t>
            </w:r>
          </w:p>
        </w:tc>
        <w:tc>
          <w:tcPr>
            <w:tcW w:type="dxa" w:w="33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Exhaustive: happy, negative, boundary, idempotency, concurrency, reconciliation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Direct money movement; highest financial-loss risk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Accounts &amp; Cards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Full state-transition matrix; balance/auth/settlement integrity; status edge cases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Controls spend, fraud response, card lifecycle</w:t>
            </w:r>
          </w:p>
        </w:tc>
      </w:tr>
      <w:tr>
        <w:tc>
          <w:tcPr>
            <w:tcW w:type="dxa" w:w="1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Cardholders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Medium-High</w:t>
            </w:r>
          </w:p>
        </w:tc>
        <w:tc>
          <w:tcPr>
            <w:tcW w:type="dxa" w:w="33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Full CRUD; KYC field validation; the address-update cooldown; duplicate handling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Entry point to the system; compliance-sensitive (KYC)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Programs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Read validation; balance accuracy; auth isolation between programs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Mostly read-only config, but the funding-balance source of truth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5E8F0" w:sz="1"/>
          <w:left w:val="single" w:color="C55A11" w:sz="24"/>
          <w:bottom w:val="single" w:color="D5E8F0" w:sz="1"/>
          <w:right w:val="single" w:color="D5E8F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A note on “coverage %”</w:t>
            </w:r>
          </w:p>
          <w:p>
            <w:pPr>
              <w:spacing w:after="40" w:line="264"/>
            </w:pPr>
            <w:r>
              <w:t xml:space="preserve">Avoid quoting a single line-coverage number — we don't have Berkeley's source, so code coverage is meaningless here. Speak instead in terms of </w:t>
            </w:r>
            <w:r>
              <w:rPr>
                <w:b/>
                <w:bCs/>
              </w:rPr>
              <w:t xml:space="preserve">requirement and risk coverage</w:t>
            </w:r>
            <w:r>
              <w:t xml:space="preserve">: every documented endpoint, every documented error, every state transition, and every money-conservation invariant has at least one test. That framing is both honest and more sophisticated.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5. Tooling Beyond Postman</w:t>
      </w:r>
    </w:p>
    <w:p>
      <w:pPr>
        <w:spacing w:after="120" w:line="276"/>
      </w:pPr>
      <w:r>
        <w:t xml:space="preserve">Postman/Newman is excellent for exploratory work, documentation, and CI smoke runs. For a maintainable, programmatic suite, </w:t>
      </w:r>
      <w:r>
        <w:rPr>
          <w:b/>
          <w:bCs/>
        </w:rPr>
        <w:t xml:space="preserve">Playwright with TypeScript</w:t>
      </w:r>
      <w:r>
        <w:t xml:space="preserve"> is the recommended backbone, complemented by specialised tools per concern.</w:t>
      </w:r>
    </w:p>
    <w:p>
      <w:pPr>
        <w:pStyle w:val="Heading2"/>
      </w:pPr>
      <w:r>
        <w:t xml:space="preserve">5.1 Why Playwright + TypeScript for API testing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First-class API request context</w:t>
      </w:r>
      <w:r>
        <w:t xml:space="preserve"> (request fixture) — no browser needed for pure API tests, but the same framework scales to UI/E2E if Berkeley ever exposes a portal.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TypeScript types</w:t>
      </w:r>
      <w:r>
        <w:t xml:space="preserve"> model request/response payloads, catching contract drift at compile 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Fixtures and projects</w:t>
      </w:r>
      <w:r>
        <w:t xml:space="preserve"> handle setup/teardown (create a cardholder, tear it down) and environment switching cleanly.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Parallelism, retries, tracing, and HTML reports</w:t>
      </w:r>
      <w:r>
        <w:t xml:space="preserve"> are built in — strong CI story.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Shared language with developers</w:t>
      </w:r>
      <w:r>
        <w:t xml:space="preserve"> (Node/TS) lowers the barrier for engineers to contribute tests.</w:t>
      </w:r>
    </w:p>
    <w:p>
      <w:pPr>
        <w:pStyle w:val="Heading2"/>
      </w:pPr>
      <w:r>
        <w:t xml:space="preserve">5.2 A complementary toolset</w:t>
      </w:r>
    </w:p>
    <w:p>
      <w:pPr>
        <w:spacing w:after="60"/>
      </w:pP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600"/>
        <w:gridCol w:w="2300"/>
        <w:gridCol w:w="44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tool</w:t>
            </w:r>
          </w:p>
        </w:tc>
        <w:tc>
          <w:tcPr>
            <w:tcW w:type="dxa" w:w="44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Programmatic API + E2E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Playwright + TS</w:t>
            </w:r>
          </w:p>
        </w:tc>
        <w:tc>
          <w:tcPr>
            <w:tcW w:type="dxa" w:w="44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Primary functional/integration/journey suite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Exploratory + docs + CI smoke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Postman / Newman</w:t>
            </w:r>
          </w:p>
        </w:tc>
        <w:tc>
          <w:tcPr>
            <w:tcW w:type="dxa" w:w="44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What we've already built; living documentation</w:t>
            </w:r>
          </w:p>
        </w:tc>
      </w:tr>
      <w:tr>
        <w:tc>
          <w:tcPr>
            <w:tcW w:type="dxa" w:w="2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Unit (our glue code)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Jest / Vitest</w:t>
            </w:r>
          </w:p>
        </w:tc>
        <w:tc>
          <w:tcPr>
            <w:tcW w:type="dxa" w:w="44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Retry, idempotency, currency-conversion logic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Contract testing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Pact</w:t>
            </w:r>
          </w:p>
        </w:tc>
        <w:tc>
          <w:tcPr>
            <w:tcW w:type="dxa" w:w="44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Guards against Berkeley breaking the response shape</w:t>
            </w:r>
          </w:p>
        </w:tc>
      </w:tr>
      <w:tr>
        <w:tc>
          <w:tcPr>
            <w:tcW w:type="dxa" w:w="2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Schema validation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Ajv / OpenAPI</w:t>
            </w:r>
          </w:p>
        </w:tc>
        <w:tc>
          <w:tcPr>
            <w:tcW w:type="dxa" w:w="44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Assert every response against a JSON schema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Load / performance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k6 or Artillery</w:t>
            </w:r>
          </w:p>
        </w:tc>
        <w:tc>
          <w:tcPr>
            <w:tcW w:type="dxa" w:w="44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Throughput, latency, rate-limit behaviour</w:t>
            </w:r>
          </w:p>
        </w:tc>
      </w:tr>
      <w:tr>
        <w:tc>
          <w:tcPr>
            <w:tcW w:type="dxa" w:w="2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Security surface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OWASP ZAP</w:t>
            </w:r>
          </w:p>
        </w:tc>
        <w:tc>
          <w:tcPr>
            <w:tcW w:type="dxa" w:w="44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Automated scan of the integration surface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CI/CD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GitHub Actions</w:t>
            </w:r>
          </w:p>
        </w:tc>
        <w:tc>
          <w:tcPr>
            <w:tcW w:type="dxa" w:w="44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Run suites on PR + scheduled; publish reports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5E8F0" w:sz="1"/>
          <w:left w:val="single" w:color="2E75B6" w:sz="24"/>
          <w:bottom w:val="single" w:color="D5E8F0" w:sz="1"/>
          <w:right w:val="single" w:color="D5E8F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Tie-back to your background</w:t>
            </w:r>
          </w:p>
          <w:p>
            <w:pPr>
              <w:spacing w:after="40" w:line="264"/>
            </w:pPr>
            <w:r>
              <w:t xml:space="preserve">You already use GitHub Actions, TypeScript, and Appium. Frame Playwright as a natural extension of that stack, and note that the Postman collection can run in the same CI pipeline via Newman — so the two coexist rather than compete.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6. Black-Box Approaches We Can Demonstrate Now</w:t>
      </w:r>
    </w:p>
    <w:p>
      <w:pPr>
        <w:spacing w:after="120" w:line="276"/>
      </w:pPr>
      <w:r>
        <w:t xml:space="preserve">Without server access we treat the API purely by its observable contract. This is not a limitation to apologise for — it is the </w:t>
      </w:r>
      <w:r>
        <w:rPr>
          <w:b/>
          <w:bCs/>
        </w:rPr>
        <w:t xml:space="preserve">correct</w:t>
      </w:r>
      <w:r>
        <w:t xml:space="preserve"> posture for testing a third-party platform, and there is a great deal we can prove.</w:t>
      </w:r>
    </w:p>
    <w:p>
      <w:pPr>
        <w:pStyle w:val="Heading2"/>
      </w:pPr>
      <w:r>
        <w:t xml:space="preserve">6.1 Specification-based techniques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Equivalence partitioning &amp; boundary-value analysis</w:t>
      </w:r>
      <w:r>
        <w:t xml:space="preserve"> on amounts, dates, string lengths.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Decision tables</w:t>
      </w:r>
      <w:r>
        <w:t xml:space="preserve"> for rules with multiple conditions (e.g. load allowed only if: card active AND reloadable AND sufficient program balance).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State-transition testing</w:t>
      </w:r>
      <w:r>
        <w:t xml:space="preserve"> for the account/card status machine.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Schema / contract assertions</w:t>
      </w:r>
      <w:r>
        <w:t xml:space="preserve"> against documented response shapes.</w:t>
      </w:r>
    </w:p>
    <w:p>
      <w:pPr>
        <w:pStyle w:val="Heading2"/>
      </w:pPr>
      <w:r>
        <w:t xml:space="preserve">6.2 Behavioural &amp; data-driven techniques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End-to-end journey tests</w:t>
      </w:r>
      <w:r>
        <w:t xml:space="preserve"> that chain real responses (as our Postman suite already does via captured ids).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Reconciliation / invariant testing</w:t>
      </w:r>
      <w:r>
        <w:t xml:space="preserve"> — assert money-conservation across a sequence of calls using only observable balances.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Idempotency &amp; retry simulation</w:t>
      </w:r>
      <w:r>
        <w:t xml:space="preserve"> — replay the same keyed request and assert a single effect.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Property-based testing</w:t>
      </w:r>
      <w:r>
        <w:t xml:space="preserve"> — generate many randomised valid loads and assert the invariant “balance never goes negative” holds for all of them.</w:t>
      </w:r>
    </w:p>
    <w:p>
      <w:pPr>
        <w:pStyle w:val="Heading2"/>
      </w:pPr>
      <w:r>
        <w:t xml:space="preserve">6.3 Resilience &amp; exploratory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Fault injection at our boundary</w:t>
      </w:r>
      <w:r>
        <w:t xml:space="preserve"> — simulate timeouts/500s from Berkeley (via a proxy or mock) and verify our integration retries and stays consistent.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Exploratory / error-guessing sessions</w:t>
      </w:r>
      <w:r>
        <w:t xml:space="preserve"> — time-boxed, charter-driven, documented. The address-cooldown behaviour you discovered is a perfect example of exploratory testing surfacing an undocumented rule.</w:t>
      </w:r>
    </w:p>
    <w:p>
      <w:pPr>
        <w:spacing w:after="120"/>
      </w:pPr>
    </w:p>
    <w:tbl>
      <w:tblPr>
        <w:tblW w:type="dxa" w:w="9360"/>
        <w:tblBorders>
          <w:top w:val="single" w:color="D5E8F0" w:sz="1"/>
          <w:left w:val="single" w:color="2E75B6" w:sz="24"/>
          <w:bottom w:val="single" w:color="D5E8F0" w:sz="1"/>
          <w:right w:val="single" w:color="D5E8F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Strong interview line</w:t>
            </w:r>
          </w:p>
          <w:p>
            <w:pPr>
              <w:spacing w:after="40" w:line="264"/>
            </w:pPr>
            <w:r>
              <w:rPr>
                <w:i/>
                <w:iCs/>
              </w:rPr>
              <w:t xml:space="preserve">“Black-box doesn't mean shallow. With only the observable contract I can still prove money is conserved, state transitions are enforced, retries are idempotent, and the integration degrades gracefully when the provider misbehaves.”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7. Recommending White-Box &amp; Grey-Box Tests</w:t>
      </w:r>
    </w:p>
    <w:p>
      <w:pPr>
        <w:spacing w:after="120" w:line="276"/>
      </w:pPr>
      <w:r>
        <w:t xml:space="preserve">Showing you know what you </w:t>
      </w:r>
      <w:r>
        <w:rPr>
          <w:i/>
          <w:iCs/>
        </w:rPr>
        <w:t xml:space="preserve">can't</w:t>
      </w:r>
      <w:r>
        <w:t xml:space="preserve"> reach as a black-box tester — and can recommend the right complementary tests — is what demonstrates breadth. Frame these as recommendations to Berkeley's engineering org or to our own integration team.</w:t>
      </w:r>
    </w:p>
    <w:p>
      <w:pPr>
        <w:pStyle w:val="Heading2"/>
      </w:pPr>
      <w:r>
        <w:t xml:space="preserve">7.1 White-box (needs source / internal access)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Unit tests on balance &amp; ledger math</w:t>
      </w:r>
      <w:r>
        <w:t xml:space="preserve"> — the most important internal tests in any payments system; double-entry postings must always balance.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Branch/path coverage on the status state machine</w:t>
      </w:r>
      <w:r>
        <w:t xml:space="preserve"> — every guard and transition exercised.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Code coverage gates</w:t>
      </w:r>
      <w:r>
        <w:t xml:space="preserve"> on critical money-movement modules in CI.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Static analysis &amp; SAST</w:t>
      </w:r>
      <w:r>
        <w:t xml:space="preserve"> on the codebase.</w:t>
      </w:r>
    </w:p>
    <w:p>
      <w:pPr>
        <w:pStyle w:val="Heading2"/>
      </w:pPr>
      <w:r>
        <w:t xml:space="preserve">7.2 Grey-box (partial internal knowledge)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Database/ledger assertions</w:t>
      </w:r>
      <w:r>
        <w:t xml:space="preserve"> — after an API load, query the ledger to confirm the posting matches the API response (validates the API didn't lie about persistence).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Log &amp; event verification</w:t>
      </w:r>
      <w:r>
        <w:t xml:space="preserve"> — assert the expected domain events (e.g. value_load.created) were emitted to the message bus.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Contract tests with provider participation</w:t>
      </w:r>
      <w:r>
        <w:t xml:space="preserve"> — Pact provider verification run in Berkeley's CI closes the loop between consumer expectations and provider reality.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Observability-driven testing</w:t>
      </w:r>
      <w:r>
        <w:t xml:space="preserve"> — use traces/metrics to verify internal call paths and latency budgets during a test run.</w:t>
      </w:r>
    </w:p>
    <w:p>
      <w:pPr>
        <w:spacing w:after="60"/>
      </w:pP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300"/>
        <w:gridCol w:w="2700"/>
        <w:gridCol w:w="2200"/>
        <w:gridCol w:w="316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Box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Access required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 runs it</w:t>
            </w:r>
          </w:p>
        </w:tc>
        <w:tc>
          <w:tcPr>
            <w:tcW w:type="dxa" w:w="3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Best example here</w:t>
            </w:r>
          </w:p>
        </w:tc>
      </w:tr>
      <w:tr>
        <w:tc>
          <w:tcPr>
            <w:tcW w:type="dxa" w:w="1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Black</w:t>
            </w:r>
          </w:p>
        </w:tc>
        <w:tc>
          <w:tcPr>
            <w:tcW w:type="dxa" w:w="2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API contract only</w:t>
            </w:r>
          </w:p>
        </w:tc>
        <w:tc>
          <w:tcPr>
            <w:tcW w:type="dxa" w:w="22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 — now</w:t>
            </w:r>
          </w:p>
        </w:tc>
        <w:tc>
          <w:tcPr>
            <w:tcW w:type="dxa" w:w="31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Money-conservation across load/unload</w:t>
            </w:r>
          </w:p>
        </w:tc>
      </w:tr>
      <w:tr>
        <w:tc>
          <w:tcPr>
            <w:tcW w:type="dxa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Grey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Logs, DB, events, traces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 + Berkeley</w:t>
            </w:r>
          </w:p>
        </w:tc>
        <w:tc>
          <w:tcPr>
            <w:tcW w:type="dxa" w:w="3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API response matches ledger posting</w:t>
            </w:r>
          </w:p>
        </w:tc>
      </w:tr>
      <w:tr>
        <w:tc>
          <w:tcPr>
            <w:tcW w:type="dxa" w:w="1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White</w:t>
            </w:r>
          </w:p>
        </w:tc>
        <w:tc>
          <w:tcPr>
            <w:tcW w:type="dxa" w:w="2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Source code</w:t>
            </w:r>
          </w:p>
        </w:tc>
        <w:tc>
          <w:tcPr>
            <w:tcW w:type="dxa" w:w="22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Berkeley</w:t>
            </w:r>
          </w:p>
        </w:tc>
        <w:tc>
          <w:tcPr>
            <w:tcW w:type="dxa" w:w="31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Unit tests on balance arithmetic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8. Suggested Talk Track</w:t>
      </w:r>
    </w:p>
    <w:p>
      <w:pPr>
        <w:spacing w:after="120" w:line="276"/>
      </w:pPr>
      <w:r>
        <w:t xml:space="preserve">A four-beat narrative that ties the whole strategy together in under two minutes.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Frame by risk. </w:t>
      </w:r>
      <w:r>
        <w:t xml:space="preserve">“It's a payments platform, so I organised testing around money movement and compliance, deepest where financial loss is greatest.”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Show the layered model. </w:t>
      </w:r>
      <w:r>
        <w:t xml:space="preserve">“As an API consumer my pyramid is inverted — heavy at integration and contract, with monitoring in production.”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Demonstrate black-box depth. </w:t>
      </w:r>
      <w:r>
        <w:t xml:space="preserve">“Here's the Postman suite and the Playwright scaffold: lifecycle journeys, negative paths, state transitions, and a money-conservation check.”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Recommend beyond your reach. </w:t>
      </w:r>
      <w:r>
        <w:t xml:space="preserve">“To close the gaps black-box can't see, I'd add contract tests, ledger-level grey-box assertions, and unit coverage on the balance math.”</w:t>
      </w:r>
    </w:p>
    <w:p>
      <w:pPr>
        <w:spacing w:after="120"/>
      </w:pPr>
    </w:p>
    <w:tbl>
      <w:tblPr>
        <w:tblW w:type="dxa" w:w="9360"/>
        <w:tblBorders>
          <w:top w:val="single" w:color="F2F2F2" w:sz="1"/>
          <w:left w:val="single" w:color="1F3864" w:sz="24"/>
          <w:bottom w:val="single" w:color="F2F2F2" w:sz="1"/>
          <w:right w:val="single" w:color="F2F2F2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Anticipated follow-up questions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“How would you test idempotency without server access?”</w:t>
            </w:r>
          </w:p>
          <w:p>
            <w:pPr>
              <w:spacing w:after="40" w:line="264"/>
            </w:pPr>
            <w:r>
              <w:t xml:space="preserve">Replay an identical keyed request; assert balance moved once and the second response echoes the first result.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“How do you pick what not to automate?”</w:t>
            </w:r>
          </w:p>
          <w:p>
            <w:pPr>
              <w:spacing w:after="40" w:line="264"/>
            </w:pPr>
            <w:r>
              <w:t xml:space="preserve">One-off config reads, rapidly-changing exploratory areas, and anything where the maintenance cost exceeds the risk it covers.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“What's your single highest-priority test here?”</w:t>
            </w:r>
          </w:p>
          <w:p>
            <w:pPr>
              <w:spacing w:after="40" w:line="264"/>
            </w:pPr>
            <w:r>
              <w:t xml:space="preserve">Money conservation on value load/unload — if that's wrong, nothing else matters.</w:t>
            </w:r>
          </w:p>
        </w:tc>
      </w:tr>
    </w:tbl>
    <w:p>
      <w:pPr>
        <w:spacing w:after="200"/>
      </w:pPr>
    </w:p>
    <w:p>
      <w:pPr>
        <w:pBdr>
          <w:top w:val="single" w:color="2E75B6" w:sz="6" w:space="8"/>
        </w:pBdr>
        <w:spacing w:before="200"/>
      </w:pPr>
      <w:r>
        <w:rPr>
          <w:i/>
          <w:iCs/>
          <w:color w:val="595959"/>
          <w:sz w:val="18"/>
          <w:szCs w:val="18"/>
        </w:rPr>
        <w:t xml:space="preserve">Prepared as an interview reference for the Berkeley Payments Card Issuing test strategy discussion.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808080"/>
        <w:sz w:val="16"/>
        <w:szCs w:val="16"/>
      </w:rPr>
      <w:t xml:space="preserve">Berkeley Payments — QA Test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2E75B6"/>
      </w:r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  <w:rPr>
        <w:b/>
        <w:bCs/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Berkeley Payments Card Issuing — QA Test Strategy</dc:title>
  <dc:creator>QA Strategy</dc:creator>
  <cp:lastModifiedBy>Un-named</cp:lastModifiedBy>
  <cp:revision>1</cp:revision>
  <dcterms:created xsi:type="dcterms:W3CDTF">2026-06-16T19:26:05.986Z</dcterms:created>
  <dcterms:modified xsi:type="dcterms:W3CDTF">2026-06-16T19:26:05.986Z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