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05C38"/>
          <w:sz w:val="40"/>
        </w:rPr>
        <w:t>BHUMIverse Project Proposal</w:t>
      </w:r>
    </w:p>
    <w:p>
      <w:pPr>
        <w:spacing w:before="0" w:after="80"/>
        <w:jc w:val="center"/>
      </w:pPr>
      <w:r>
        <w:rPr>
          <w:rFonts w:ascii="Arial" w:hAnsi="Arial"/>
          <w:b/>
          <w:color w:val="1E293B"/>
          <w:sz w:val="24"/>
        </w:rPr>
        <w:t>Intelligent Land Record Verification &amp; Fraud Prevention Platform for Citizens in Bangladesh</w:t>
      </w:r>
    </w:p>
    <w:p>
      <w:pPr>
        <w:spacing w:before="0" w:after="40"/>
        <w:jc w:val="center"/>
      </w:pPr>
      <w:r>
        <w:rPr>
          <w:rFonts w:ascii="Arial" w:hAnsi="Arial"/>
          <w:b/>
          <w:color w:val="105C38"/>
          <w:sz w:val="20"/>
        </w:rPr>
        <w:t>LandTech Innovation Hackathon 2026 | Concept Note &amp; System Specification</w:t>
      </w:r>
    </w:p>
    <w:p>
      <w:pPr>
        <w:spacing w:before="0" w:after="40"/>
        <w:jc w:val="center"/>
      </w:pPr>
      <w:r>
        <w:rPr>
          <w:rFonts w:ascii="Arial" w:hAnsi="Arial"/>
          <w:color w:val="64748B"/>
          <w:sz w:val="19"/>
        </w:rPr>
        <w:t>Team Name: BHUMIverse  |  Primary Category: P5 Check Before You Buy</w:t>
      </w:r>
    </w:p>
    <w:p>
      <w:pPr>
        <w:spacing w:before="0" w:after="80"/>
        <w:jc w:val="center"/>
      </w:pPr>
      <w:r>
        <w:rPr>
          <w:rFonts w:ascii="Arial" w:hAnsi="Arial"/>
          <w:color w:val="64748B"/>
          <w:sz w:val="18"/>
        </w:rPr>
        <w:t>Track: Digital Land Records, Verification and Digitization  |  Date: 18 October 2026</w:t>
      </w:r>
    </w:p>
    <w:p>
      <w:pPr>
        <w:spacing w:before="0" w:after="240"/>
        <w:jc w:val="center"/>
      </w:pPr>
      <w:r>
        <w:rPr>
          <w:rFonts w:ascii="Arial" w:hAnsi="Arial"/>
          <w:i/>
          <w:color w:val="64748B"/>
          <w:sz w:val="18"/>
        </w:rPr>
        <w:t>Submitted to: Department of Computer Science &amp; Engineering and CSE-TECH, Daffodil International University</w:t>
      </w:r>
    </w:p>
    <w:p>
      <w:pPr>
        <w:keepNext/>
        <w:spacing w:before="240" w:after="80"/>
      </w:pPr>
      <w:r>
        <w:rPr>
          <w:rFonts w:ascii="Arial" w:hAnsi="Arial"/>
          <w:b/>
          <w:color w:val="105C38"/>
          <w:sz w:val="26"/>
        </w:rPr>
        <w:t>1 Project Summary</w:t>
      </w:r>
    </w:p>
    <w:p>
      <w:pPr>
        <w:spacing w:before="0" w:after="80" w:line="276" w:lineRule="auto"/>
      </w:pPr>
      <w:r>
        <w:rPr>
          <w:rFonts w:ascii="Arial" w:hAnsi="Arial"/>
          <w:color w:val="1E293B"/>
          <w:sz w:val="20"/>
        </w:rPr>
        <w:t>BHUMIverse is an intelligent, citizen-first land verification and fraud prevention platform built specifically for Bangladesh. Buying land in Bangladesh is often the biggest financial decision of a person's life, but it carries immense risk due to fake deeds, double-selling of the same plot, forged mutation records, and hidden bank mortgages.</w:t>
      </w:r>
    </w:p>
    <w:p>
      <w:pPr>
        <w:spacing w:before="0" w:after="80" w:line="276" w:lineRule="auto"/>
      </w:pPr>
      <w:r>
        <w:rPr>
          <w:rFonts w:ascii="Arial" w:hAnsi="Arial"/>
          <w:color w:val="1E293B"/>
          <w:sz w:val="20"/>
        </w:rPr>
        <w:t>Our live working prototype solves this problem under the hackathon category P5 ('Check Before You Buy'). A buyer can easily search for a land parcel or upload documents (such as Saf-Kabala deeds and Mutation Khatians). The platform automatically analyzes ownership history, checks seller decimal limits, inspects document authenticity using visual diffing, and scans for fraud syndicates on an interactive network graph. The buyer receives a clear, transparent Land Verification Report with an overall Risk Score (Low, Medium, High) and clear next steps—all written in simple, understandable terms in both English and Bengali.</w:t>
      </w:r>
    </w:p>
    <w:p>
      <w:pPr>
        <w:keepNext/>
        <w:spacing w:before="240" w:after="80"/>
      </w:pPr>
      <w:r>
        <w:rPr>
          <w:rFonts w:ascii="Arial" w:hAnsi="Arial"/>
          <w:b/>
          <w:color w:val="105C38"/>
          <w:sz w:val="26"/>
        </w:rPr>
        <w:t>2 Selected Problem and Objectives</w:t>
      </w:r>
    </w:p>
    <w:p>
      <w:pPr>
        <w:spacing w:before="0" w:after="80" w:line="276" w:lineRule="auto"/>
      </w:pPr>
      <w:r>
        <w:rPr>
          <w:rFonts w:ascii="Arial" w:hAnsi="Arial"/>
          <w:color w:val="1E293B"/>
          <w:sz w:val="20"/>
        </w:rPr>
        <w:t>Primary Category: P5 Check Before You Buy</w:t>
      </w:r>
    </w:p>
    <w:p>
      <w:pPr>
        <w:spacing w:before="0" w:after="80" w:line="276" w:lineRule="auto"/>
      </w:pPr>
      <w:r>
        <w:rPr>
          <w:rFonts w:ascii="Arial" w:hAnsi="Arial"/>
          <w:color w:val="1E293B"/>
          <w:sz w:val="20"/>
        </w:rPr>
        <w:t>In Bangladesh, over 70% of all civil court disputes are related to land ownership. When an ordinary citizen wants to buy a plot, they face four major hurdles:</w:t>
      </w:r>
    </w:p>
    <w:p>
      <w:pPr>
        <w:pStyle w:val="ListBullet"/>
        <w:spacing w:before="0" w:after="60" w:line="276" w:lineRule="auto"/>
      </w:pPr>
      <w:r>
        <w:rPr>
          <w:rFonts w:ascii="Arial" w:hAnsi="Arial"/>
          <w:b/>
          <w:color w:val="1E293B"/>
          <w:sz w:val="20"/>
        </w:rPr>
        <w:t xml:space="preserve">1. Double-Selling &amp; Fake Deeds: </w:t>
      </w:r>
      <w:r>
        <w:rPr>
          <w:rFonts w:ascii="Arial" w:hAnsi="Arial"/>
          <w:color w:val="1E293B"/>
          <w:sz w:val="20"/>
        </w:rPr>
        <w:t xml:space="preserve"> Many sellers present deeds for plots they have already sold to someone else, or they attempt to sell more decimals than they actually own.</w:t>
      </w:r>
    </w:p>
    <w:p>
      <w:pPr>
        <w:pStyle w:val="ListBullet"/>
        <w:spacing w:before="0" w:after="60" w:line="276" w:lineRule="auto"/>
      </w:pPr>
      <w:r>
        <w:rPr>
          <w:rFonts w:ascii="Arial" w:hAnsi="Arial"/>
          <w:b/>
          <w:color w:val="1E293B"/>
          <w:sz w:val="20"/>
        </w:rPr>
        <w:t xml:space="preserve">2. Fragmented Records: </w:t>
      </w:r>
      <w:r>
        <w:rPr>
          <w:rFonts w:ascii="Arial" w:hAnsi="Arial"/>
          <w:color w:val="1E293B"/>
          <w:sz w:val="20"/>
        </w:rPr>
        <w:t xml:space="preserve"> Land records are scattered between different offices (AC Land Office for mutations, Sub-Registry Office for deeds, Survey Directorate for mouza maps, and Civil Courts for litigations). Citizens have no single place to check them.</w:t>
      </w:r>
    </w:p>
    <w:p>
      <w:pPr>
        <w:pStyle w:val="ListBullet"/>
        <w:spacing w:before="0" w:after="60" w:line="276" w:lineRule="auto"/>
      </w:pPr>
      <w:r>
        <w:rPr>
          <w:rFonts w:ascii="Arial" w:hAnsi="Arial"/>
          <w:b/>
          <w:color w:val="1E293B"/>
          <w:sz w:val="20"/>
        </w:rPr>
        <w:t xml:space="preserve">3. Complex Historical Lineage: </w:t>
      </w:r>
      <w:r>
        <w:rPr>
          <w:rFonts w:ascii="Arial" w:hAnsi="Arial"/>
          <w:color w:val="1E293B"/>
          <w:sz w:val="20"/>
        </w:rPr>
        <w:t xml:space="preserve"> Common people find historical survey chains (CS to SA to RS to BS/City Survey) and legal jargon confusing and impossible to verify without paying high fees to middlemen.</w:t>
      </w:r>
    </w:p>
    <w:p>
      <w:pPr>
        <w:pStyle w:val="ListBullet"/>
        <w:spacing w:before="0" w:after="60" w:line="276" w:lineRule="auto"/>
      </w:pPr>
      <w:r>
        <w:rPr>
          <w:rFonts w:ascii="Arial" w:hAnsi="Arial"/>
          <w:b/>
          <w:color w:val="1E293B"/>
          <w:sz w:val="20"/>
        </w:rPr>
        <w:t xml:space="preserve">4. Altered Photocopies: </w:t>
      </w:r>
      <w:r>
        <w:rPr>
          <w:rFonts w:ascii="Arial" w:hAnsi="Arial"/>
          <w:color w:val="1E293B"/>
          <w:sz w:val="20"/>
        </w:rPr>
        <w:t xml:space="preserve"> Dishonest parties frequently alter photocopy deeds by changing numbers, names, or dates before showing them to innocent buyers.</w:t>
      </w:r>
    </w:p>
    <w:p>
      <w:pPr>
        <w:spacing w:before="0" w:after="40" w:line="276" w:lineRule="auto"/>
      </w:pPr>
      <w:r>
        <w:rPr>
          <w:rFonts w:ascii="Arial" w:hAnsi="Arial"/>
          <w:color w:val="1E293B"/>
          <w:sz w:val="20"/>
        </w:rPr>
        <w:t>Key Project Objectives:</w:t>
      </w:r>
    </w:p>
    <w:p>
      <w:pPr>
        <w:pStyle w:val="ListBullet"/>
        <w:spacing w:before="0" w:after="60" w:line="276" w:lineRule="auto"/>
      </w:pPr>
      <w:r>
        <w:rPr>
          <w:rFonts w:ascii="Arial" w:hAnsi="Arial"/>
          <w:b/>
          <w:color w:val="1E293B"/>
          <w:sz w:val="20"/>
        </w:rPr>
        <w:t xml:space="preserve">• Fast &amp; Easy Verification: </w:t>
      </w:r>
      <w:r>
        <w:rPr>
          <w:rFonts w:ascii="Arial" w:hAnsi="Arial"/>
          <w:color w:val="1E293B"/>
          <w:sz w:val="20"/>
        </w:rPr>
        <w:t xml:space="preserve"> Provide an intuitive web tool where any citizen can verify land facts in less than 3 minutes before paying advance money.</w:t>
      </w:r>
    </w:p>
    <w:p>
      <w:pPr>
        <w:pStyle w:val="ListBullet"/>
        <w:spacing w:before="0" w:after="60" w:line="276" w:lineRule="auto"/>
      </w:pPr>
      <w:r>
        <w:rPr>
          <w:rFonts w:ascii="Arial" w:hAnsi="Arial"/>
          <w:b/>
          <w:color w:val="1E293B"/>
          <w:sz w:val="20"/>
        </w:rPr>
        <w:t xml:space="preserve">• Deterministic Fraud Rules: </w:t>
      </w:r>
      <w:r>
        <w:rPr>
          <w:rFonts w:ascii="Arial" w:hAnsi="Arial"/>
          <w:color w:val="1E293B"/>
          <w:sz w:val="20"/>
        </w:rPr>
        <w:t xml:space="preserve"> Automatically flag impossible transactions (e.g., selling 10 decimal when only 6 decimal remain, or broken khatian ownership links).</w:t>
      </w:r>
    </w:p>
    <w:p>
      <w:pPr>
        <w:pStyle w:val="ListBullet"/>
        <w:spacing w:before="0" w:after="60" w:line="276" w:lineRule="auto"/>
      </w:pPr>
      <w:r>
        <w:rPr>
          <w:rFonts w:ascii="Arial" w:hAnsi="Arial"/>
          <w:b/>
          <w:color w:val="1E293B"/>
          <w:sz w:val="20"/>
        </w:rPr>
        <w:t xml:space="preserve">• Smart Document Diff: </w:t>
      </w:r>
      <w:r>
        <w:rPr>
          <w:rFonts w:ascii="Arial" w:hAnsi="Arial"/>
          <w:color w:val="1E293B"/>
          <w:sz w:val="20"/>
        </w:rPr>
        <w:t xml:space="preserve"> Highlight tampered texts, dates, and amounts using smart side-by-side visual difference inspection.</w:t>
      </w:r>
    </w:p>
    <w:p>
      <w:pPr>
        <w:pStyle w:val="ListBullet"/>
        <w:spacing w:before="0" w:after="60" w:line="276" w:lineRule="auto"/>
      </w:pPr>
      <w:r>
        <w:rPr>
          <w:rFonts w:ascii="Arial" w:hAnsi="Arial"/>
          <w:b/>
          <w:color w:val="1E293B"/>
          <w:sz w:val="20"/>
        </w:rPr>
        <w:t xml:space="preserve">• Citizen Peace of Mind: </w:t>
      </w:r>
      <w:r>
        <w:rPr>
          <w:rFonts w:ascii="Arial" w:hAnsi="Arial"/>
          <w:color w:val="1E293B"/>
          <w:sz w:val="20"/>
        </w:rPr>
        <w:t xml:space="preserve"> Give buyers an actionable audit report showing exactly which documents to demand from the seller before signing.</w:t>
      </w:r>
    </w:p>
    <w:p>
      <w:pPr>
        <w:keepNext/>
        <w:spacing w:before="240" w:after="80"/>
      </w:pPr>
      <w:r>
        <w:rPr>
          <w:rFonts w:ascii="Arial" w:hAnsi="Arial"/>
          <w:b/>
          <w:color w:val="105C38"/>
          <w:sz w:val="26"/>
        </w:rPr>
        <w:t>3 Existing Services and Main Contribution</w:t>
      </w:r>
    </w:p>
    <w:p>
      <w:pPr>
        <w:spacing w:before="0" w:after="80" w:line="276" w:lineRule="auto"/>
      </w:pPr>
      <w:r>
        <w:rPr>
          <w:rFonts w:ascii="Arial" w:hAnsi="Arial"/>
          <w:color w:val="1E293B"/>
          <w:sz w:val="20"/>
        </w:rPr>
        <w:t>The Government of Bangladesh has made great strides with portals like e-Mutation, e-Porcha, and online Land Tax. However, these services operate in silos. They help users pay taxes or order a copy of a single document, but none of them answers the buyer's single most critical question: 'Is it completely safe to buy this specific parcel from this specific seller today?'</w:t>
      </w:r>
    </w:p>
    <w:p>
      <w:pPr>
        <w:spacing w:before="0" w:after="80" w:line="276" w:lineRule="auto"/>
      </w:pPr>
      <w:r>
        <w:rPr>
          <w:rFonts w:ascii="Arial" w:hAnsi="Arial"/>
          <w:color w:val="1E293B"/>
          <w:sz w:val="20"/>
        </w:rPr>
        <w:t>BHUMIverse connects these separated pieces of evidence into one unified, explainable parcel profile.</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05C38"/>
            <w:tcMar>
              <w:top w:w="120" w:type="dxa"/>
              <w:bottom w:w="120" w:type="dxa"/>
              <w:left w:w="140" w:type="dxa"/>
              <w:right w:w="140" w:type="dxa"/>
            </w:tcMar>
          </w:tcPr>
          <w:p>
            <w:r>
              <w:rPr>
                <w:rFonts w:ascii="Arial" w:hAnsi="Arial"/>
                <w:b/>
                <w:color w:val="FFFFFF"/>
                <w:sz w:val="19"/>
              </w:rPr>
              <w:t>Existing Government / Public Baseline</w:t>
            </w:r>
          </w:p>
        </w:tc>
        <w:tc>
          <w:tcPr>
            <w:tcW w:type="dxa" w:w="3360"/>
            <w:shd w:fill="105C38"/>
            <w:tcMar>
              <w:top w:w="120" w:type="dxa"/>
              <w:bottom w:w="120" w:type="dxa"/>
              <w:left w:w="140" w:type="dxa"/>
              <w:right w:w="140" w:type="dxa"/>
            </w:tcMar>
          </w:tcPr>
          <w:p>
            <w:r>
              <w:rPr>
                <w:rFonts w:ascii="Arial" w:hAnsi="Arial"/>
                <w:b/>
                <w:color w:val="FFFFFF"/>
                <w:sz w:val="19"/>
              </w:rPr>
              <w:t>Limitations for Buyers</w:t>
            </w:r>
          </w:p>
        </w:tc>
        <w:tc>
          <w:tcPr>
            <w:tcW w:type="dxa" w:w="3360"/>
            <w:shd w:fill="105C38"/>
            <w:tcMar>
              <w:top w:w="120" w:type="dxa"/>
              <w:bottom w:w="120" w:type="dxa"/>
              <w:left w:w="140" w:type="dxa"/>
              <w:right w:w="140" w:type="dxa"/>
            </w:tcMar>
          </w:tcPr>
          <w:p>
            <w:r>
              <w:rPr>
                <w:rFonts w:ascii="Arial" w:hAnsi="Arial"/>
                <w:b/>
                <w:color w:val="FFFFFF"/>
                <w:sz w:val="19"/>
              </w:rPr>
              <w:t>BHUMIverse Platform Contribution</w:t>
            </w:r>
          </w:p>
        </w:tc>
      </w:tr>
      <w:tr>
        <w:tc>
          <w:tcPr>
            <w:tcW w:type="dxa" w:w="3360"/>
            <w:shd w:fill="F8FAFC"/>
            <w:tcMar>
              <w:top w:w="100" w:type="dxa"/>
              <w:bottom w:w="100" w:type="dxa"/>
              <w:left w:w="120" w:type="dxa"/>
              <w:right w:w="120" w:type="dxa"/>
            </w:tcMar>
          </w:tcPr>
          <w:p>
            <w:r>
              <w:rPr>
                <w:rFonts w:ascii="Arial" w:hAnsi="Arial"/>
                <w:color w:val="1E293B"/>
                <w:sz w:val="18"/>
              </w:rPr>
              <w:t>e-Porcha &amp; Record Lookup</w:t>
              <w:br/>
              <w:t>(land.gov.bd)</w:t>
            </w:r>
          </w:p>
        </w:tc>
        <w:tc>
          <w:tcPr>
            <w:tcW w:type="dxa" w:w="3360"/>
            <w:shd w:fill="FFFFFF"/>
            <w:tcMar>
              <w:top w:w="100" w:type="dxa"/>
              <w:bottom w:w="100" w:type="dxa"/>
              <w:left w:w="120" w:type="dxa"/>
              <w:right w:w="120" w:type="dxa"/>
            </w:tcMar>
          </w:tcPr>
          <w:p>
            <w:r>
              <w:rPr>
                <w:rFonts w:ascii="Arial" w:hAnsi="Arial"/>
                <w:color w:val="1E293B"/>
                <w:sz w:val="18"/>
              </w:rPr>
              <w:t>Shows individual survey records but does not connect CS -&gt; SA -&gt; RS -&gt; BS to prove unbroken ownership continuity.</w:t>
            </w:r>
          </w:p>
        </w:tc>
        <w:tc>
          <w:tcPr>
            <w:tcW w:type="dxa" w:w="3360"/>
            <w:shd w:fill="F8FAFC"/>
            <w:tcMar>
              <w:top w:w="100" w:type="dxa"/>
              <w:bottom w:w="100" w:type="dxa"/>
              <w:left w:w="120" w:type="dxa"/>
              <w:right w:w="120" w:type="dxa"/>
            </w:tcMar>
          </w:tcPr>
          <w:p>
            <w:r>
              <w:rPr>
                <w:rFonts w:ascii="Arial" w:hAnsi="Arial"/>
                <w:color w:val="1E293B"/>
                <w:sz w:val="18"/>
              </w:rPr>
              <w:t>Builds an automatic Transaction Timeline connecting all historical surveys and flagging any missing mutation link.</w:t>
            </w:r>
          </w:p>
        </w:tc>
      </w:tr>
      <w:tr>
        <w:tc>
          <w:tcPr>
            <w:tcW w:type="dxa" w:w="3360"/>
            <w:shd w:fill="F8FAFC"/>
            <w:tcMar>
              <w:top w:w="100" w:type="dxa"/>
              <w:bottom w:w="100" w:type="dxa"/>
              <w:left w:w="120" w:type="dxa"/>
              <w:right w:w="120" w:type="dxa"/>
            </w:tcMar>
          </w:tcPr>
          <w:p>
            <w:r>
              <w:rPr>
                <w:rFonts w:ascii="Arial" w:hAnsi="Arial"/>
                <w:color w:val="1E293B"/>
                <w:sz w:val="18"/>
              </w:rPr>
              <w:t>e-Mutation System</w:t>
              <w:br/>
              <w:t>(mutation.land.gov.bd)</w:t>
            </w:r>
          </w:p>
        </w:tc>
        <w:tc>
          <w:tcPr>
            <w:tcW w:type="dxa" w:w="3360"/>
            <w:shd w:fill="FFFFFF"/>
            <w:tcMar>
              <w:top w:w="100" w:type="dxa"/>
              <w:bottom w:w="100" w:type="dxa"/>
              <w:left w:w="120" w:type="dxa"/>
              <w:right w:w="120" w:type="dxa"/>
            </w:tcMar>
          </w:tcPr>
          <w:p>
            <w:r>
              <w:rPr>
                <w:rFonts w:ascii="Arial" w:hAnsi="Arial"/>
                <w:color w:val="1E293B"/>
                <w:sz w:val="18"/>
              </w:rPr>
              <w:t>Tracks mutation requests, but does not perform mathematical remaining-share checks against past sold deeds.</w:t>
            </w:r>
          </w:p>
        </w:tc>
        <w:tc>
          <w:tcPr>
            <w:tcW w:type="dxa" w:w="3360"/>
            <w:shd w:fill="F8FAFC"/>
            <w:tcMar>
              <w:top w:w="100" w:type="dxa"/>
              <w:bottom w:w="100" w:type="dxa"/>
              <w:left w:w="120" w:type="dxa"/>
              <w:right w:w="120" w:type="dxa"/>
            </w:tcMar>
          </w:tcPr>
          <w:p>
            <w:r>
              <w:rPr>
                <w:rFonts w:ascii="Arial" w:hAnsi="Arial"/>
                <w:color w:val="1E293B"/>
                <w:sz w:val="18"/>
              </w:rPr>
              <w:t>Automated Rule Engine verifies seller share balance (e.g., alerts if seller inherited 12 decimal, previously sold 8, but is trying to sell 6).</w:t>
            </w:r>
          </w:p>
        </w:tc>
      </w:tr>
      <w:tr>
        <w:tc>
          <w:tcPr>
            <w:tcW w:type="dxa" w:w="3360"/>
            <w:shd w:fill="F8FAFC"/>
            <w:tcMar>
              <w:top w:w="100" w:type="dxa"/>
              <w:bottom w:w="100" w:type="dxa"/>
              <w:left w:w="120" w:type="dxa"/>
              <w:right w:w="120" w:type="dxa"/>
            </w:tcMar>
          </w:tcPr>
          <w:p>
            <w:r>
              <w:rPr>
                <w:rFonts w:ascii="Arial" w:hAnsi="Arial"/>
                <w:color w:val="1E293B"/>
                <w:sz w:val="18"/>
              </w:rPr>
              <w:t>Photocopy / Deed Verification</w:t>
            </w:r>
          </w:p>
        </w:tc>
        <w:tc>
          <w:tcPr>
            <w:tcW w:type="dxa" w:w="3360"/>
            <w:shd w:fill="FFFFFF"/>
            <w:tcMar>
              <w:top w:w="100" w:type="dxa"/>
              <w:bottom w:w="100" w:type="dxa"/>
              <w:left w:w="120" w:type="dxa"/>
              <w:right w:w="120" w:type="dxa"/>
            </w:tcMar>
          </w:tcPr>
          <w:p>
            <w:r>
              <w:rPr>
                <w:rFonts w:ascii="Arial" w:hAnsi="Arial"/>
                <w:color w:val="1E293B"/>
                <w:sz w:val="18"/>
              </w:rPr>
              <w:t>Sub-Registry offices have no public visual tool to spot altered text on photocopy deeds shown to buyers.</w:t>
            </w:r>
          </w:p>
        </w:tc>
        <w:tc>
          <w:tcPr>
            <w:tcW w:type="dxa" w:w="3360"/>
            <w:shd w:fill="F8FAFC"/>
            <w:tcMar>
              <w:top w:w="100" w:type="dxa"/>
              <w:bottom w:w="100" w:type="dxa"/>
              <w:left w:w="120" w:type="dxa"/>
              <w:right w:w="120" w:type="dxa"/>
            </w:tcMar>
          </w:tcPr>
          <w:p>
            <w:r>
              <w:rPr>
                <w:rFonts w:ascii="Arial" w:hAnsi="Arial"/>
                <w:color w:val="1E293B"/>
                <w:sz w:val="18"/>
              </w:rPr>
              <w:t>Smart Document Diff tool performs pixel and OCR text comparison to visually highlight altered deed numbers, dates, or areas in red.</w:t>
            </w:r>
          </w:p>
        </w:tc>
      </w:tr>
      <w:tr>
        <w:tc>
          <w:tcPr>
            <w:tcW w:type="dxa" w:w="3360"/>
            <w:shd w:fill="F8FAFC"/>
            <w:tcMar>
              <w:top w:w="100" w:type="dxa"/>
              <w:bottom w:w="100" w:type="dxa"/>
              <w:left w:w="120" w:type="dxa"/>
              <w:right w:w="120" w:type="dxa"/>
            </w:tcMar>
          </w:tcPr>
          <w:p>
            <w:r>
              <w:rPr>
                <w:rFonts w:ascii="Arial" w:hAnsi="Arial"/>
                <w:color w:val="1E293B"/>
                <w:sz w:val="18"/>
              </w:rPr>
              <w:t>Fraud Syndicate Detection</w:t>
            </w:r>
          </w:p>
        </w:tc>
        <w:tc>
          <w:tcPr>
            <w:tcW w:type="dxa" w:w="3360"/>
            <w:shd w:fill="FFFFFF"/>
            <w:tcMar>
              <w:top w:w="100" w:type="dxa"/>
              <w:bottom w:w="100" w:type="dxa"/>
              <w:left w:w="120" w:type="dxa"/>
              <w:right w:w="120" w:type="dxa"/>
            </w:tcMar>
          </w:tcPr>
          <w:p>
            <w:r>
              <w:rPr>
                <w:rFonts w:ascii="Arial" w:hAnsi="Arial"/>
                <w:color w:val="1E293B"/>
                <w:sz w:val="18"/>
              </w:rPr>
              <w:t>No existing service detects organized land grabbers who repeatedly buy and sell disputed plots.</w:t>
            </w:r>
          </w:p>
        </w:tc>
        <w:tc>
          <w:tcPr>
            <w:tcW w:type="dxa" w:w="3360"/>
            <w:shd w:fill="F8FAFC"/>
            <w:tcMar>
              <w:top w:w="100" w:type="dxa"/>
              <w:bottom w:w="100" w:type="dxa"/>
              <w:left w:w="120" w:type="dxa"/>
              <w:right w:w="120" w:type="dxa"/>
            </w:tcMar>
          </w:tcPr>
          <w:p>
            <w:r>
              <w:rPr>
                <w:rFonts w:ascii="Arial" w:hAnsi="Arial"/>
                <w:color w:val="1E293B"/>
                <w:sz w:val="18"/>
              </w:rPr>
              <w:t>Fraud Network Graph visually maps buyers, sellers, brokers, and disputed plots on an interactive node-link graph to expose fraud rings.</w:t>
            </w:r>
          </w:p>
        </w:tc>
      </w:tr>
    </w:tbl>
    <w:p>
      <w:pPr>
        <w:spacing w:after="40"/>
      </w:pPr>
    </w:p>
    <w:p>
      <w:pPr>
        <w:keepNext/>
        <w:spacing w:before="240" w:after="80"/>
      </w:pPr>
      <w:r>
        <w:rPr>
          <w:rFonts w:ascii="Arial" w:hAnsi="Arial"/>
          <w:b/>
          <w:color w:val="105C38"/>
          <w:sz w:val="26"/>
        </w:rPr>
        <w:t>4 System Workflow</w:t>
      </w:r>
    </w:p>
    <w:p>
      <w:pPr>
        <w:spacing w:before="0" w:after="80" w:line="276" w:lineRule="auto"/>
      </w:pPr>
      <w:r>
        <w:rPr>
          <w:rFonts w:ascii="Arial" w:hAnsi="Arial"/>
          <w:color w:val="1E293B"/>
          <w:sz w:val="20"/>
        </w:rPr>
        <w:t>The BHUMIverse platform follows a simple, transparent 7-step citizen journey:</w:t>
      </w:r>
    </w:p>
    <w:p>
      <w:pPr>
        <w:pStyle w:val="ListBullet"/>
        <w:spacing w:before="0" w:after="60" w:line="276" w:lineRule="auto"/>
      </w:pPr>
      <w:r>
        <w:rPr>
          <w:rFonts w:ascii="Arial" w:hAnsi="Arial"/>
          <w:b/>
          <w:color w:val="1E293B"/>
          <w:sz w:val="20"/>
        </w:rPr>
        <w:t xml:space="preserve">Step 1: Access Platform — </w:t>
      </w:r>
      <w:r>
        <w:rPr>
          <w:rFonts w:ascii="Arial" w:hAnsi="Arial"/>
          <w:color w:val="1E293B"/>
          <w:sz w:val="20"/>
        </w:rPr>
        <w:t xml:space="preserve"> The user visits the web portal and logs in with a secure account (or tests pre-loaded demo cases instantly).</w:t>
      </w:r>
    </w:p>
    <w:p>
      <w:pPr>
        <w:pStyle w:val="ListBullet"/>
        <w:spacing w:before="0" w:after="60" w:line="276" w:lineRule="auto"/>
      </w:pPr>
      <w:r>
        <w:rPr>
          <w:rFonts w:ascii="Arial" w:hAnsi="Arial"/>
          <w:b/>
          <w:color w:val="1E293B"/>
          <w:sz w:val="20"/>
        </w:rPr>
        <w:t xml:space="preserve">Step 2: Select Land Parcel — </w:t>
      </w:r>
      <w:r>
        <w:rPr>
          <w:rFonts w:ascii="Arial" w:hAnsi="Arial"/>
          <w:color w:val="1E293B"/>
          <w:sz w:val="20"/>
        </w:rPr>
        <w:t xml:space="preserve"> User enters the District, Upazila, Mouza, JL Number, Dag Number, and Khatian Number. The system retrieves the parcel's timeline and historical surveys.</w:t>
      </w:r>
    </w:p>
    <w:p>
      <w:pPr>
        <w:pStyle w:val="ListBullet"/>
        <w:spacing w:before="0" w:after="60" w:line="276" w:lineRule="auto"/>
      </w:pPr>
      <w:r>
        <w:rPr>
          <w:rFonts w:ascii="Arial" w:hAnsi="Arial"/>
          <w:b/>
          <w:color w:val="1E293B"/>
          <w:sz w:val="20"/>
        </w:rPr>
        <w:t xml:space="preserve">Step 3: Upload Evidence — </w:t>
      </w:r>
      <w:r>
        <w:rPr>
          <w:rFonts w:ascii="Arial" w:hAnsi="Arial"/>
          <w:color w:val="1E293B"/>
          <w:sz w:val="20"/>
        </w:rPr>
        <w:t xml:space="preserve"> User uploads a scanned copy or photo of the seller's deed (Saf-Kabala) or Khatian. The system generates a cryptographic SHA-256 fingerprint to immediately check for duplicate file submissions.</w:t>
      </w:r>
    </w:p>
    <w:p>
      <w:pPr>
        <w:pStyle w:val="ListBullet"/>
        <w:spacing w:before="0" w:after="60" w:line="276" w:lineRule="auto"/>
      </w:pPr>
      <w:r>
        <w:rPr>
          <w:rFonts w:ascii="Arial" w:hAnsi="Arial"/>
          <w:b/>
          <w:color w:val="1E293B"/>
          <w:sz w:val="20"/>
        </w:rPr>
        <w:t xml:space="preserve">Step 4: Run Verification Engine — </w:t>
      </w:r>
      <w:r>
        <w:rPr>
          <w:rFonts w:ascii="Arial" w:hAnsi="Arial"/>
          <w:color w:val="1E293B"/>
          <w:sz w:val="20"/>
        </w:rPr>
        <w:t xml:space="preserve"> User enters proposed purchase area. The backend executes automated verification rules: remaining share balance, survey continuity, registered mortgage check, court litigation check, and government Khas/Acquisition status.</w:t>
      </w:r>
    </w:p>
    <w:p>
      <w:pPr>
        <w:pStyle w:val="ListBullet"/>
        <w:spacing w:before="0" w:after="60" w:line="276" w:lineRule="auto"/>
      </w:pPr>
      <w:r>
        <w:rPr>
          <w:rFonts w:ascii="Arial" w:hAnsi="Arial"/>
          <w:b/>
          <w:color w:val="1E293B"/>
          <w:sz w:val="20"/>
        </w:rPr>
        <w:t xml:space="preserve">Step 5: Visual Fraud Diagnostics — </w:t>
      </w:r>
      <w:r>
        <w:rPr>
          <w:rFonts w:ascii="Arial" w:hAnsi="Arial"/>
          <w:color w:val="1E293B"/>
          <w:sz w:val="20"/>
        </w:rPr>
        <w:t xml:space="preserve"> Results are displayed on an Explainable Radar Chart (covering Document Authenticity, Ownership Continuity, Chain of Custody, Encumbrance, and Physical Consistency).</w:t>
      </w:r>
    </w:p>
    <w:p>
      <w:pPr>
        <w:pStyle w:val="ListBullet"/>
        <w:spacing w:before="0" w:after="60" w:line="276" w:lineRule="auto"/>
      </w:pPr>
      <w:r>
        <w:rPr>
          <w:rFonts w:ascii="Arial" w:hAnsi="Arial"/>
          <w:b/>
          <w:color w:val="1E293B"/>
          <w:sz w:val="20"/>
        </w:rPr>
        <w:t xml:space="preserve">Step 6: Save &amp; Download Audit Report — </w:t>
      </w:r>
      <w:r>
        <w:rPr>
          <w:rFonts w:ascii="Arial" w:hAnsi="Arial"/>
          <w:color w:val="1E293B"/>
          <w:sz w:val="20"/>
        </w:rPr>
        <w:t xml:space="preserve"> System generates a comprehensive Land Verification Report with an overall Risk Score (Low, Medium, or High), cryptographic audit hash, and downloadable PDF report.</w:t>
      </w:r>
    </w:p>
    <w:p>
      <w:pPr>
        <w:pStyle w:val="ListBullet"/>
        <w:spacing w:before="0" w:after="60" w:line="276" w:lineRule="auto"/>
      </w:pPr>
      <w:r>
        <w:rPr>
          <w:rFonts w:ascii="Arial" w:hAnsi="Arial"/>
          <w:b/>
          <w:color w:val="1E293B"/>
          <w:sz w:val="20"/>
        </w:rPr>
        <w:t xml:space="preserve">Step 7: Case Review &amp; Next Action — </w:t>
      </w:r>
      <w:r>
        <w:rPr>
          <w:rFonts w:ascii="Arial" w:hAnsi="Arial"/>
          <w:color w:val="1E293B"/>
          <w:sz w:val="20"/>
        </w:rPr>
        <w:t xml:space="preserve"> Authorized reviewers or citizens can submit contested records for secondary human review and log audit events.</w:t>
      </w:r>
    </w:p>
    <w:p>
      <w:pPr>
        <w:spacing w:before="0" w:after="80" w:line="276" w:lineRule="auto"/>
      </w:pPr>
      <w:r>
        <w:rPr>
          <w:rFonts w:ascii="Arial" w:hAnsi="Arial"/>
          <w:b/>
          <w:color w:val="1E293B"/>
          <w:sz w:val="20"/>
        </w:rPr>
        <w:t xml:space="preserve">Real-World Example: </w:t>
      </w:r>
      <w:r>
        <w:rPr>
          <w:rFonts w:ascii="Arial" w:hAnsi="Arial"/>
          <w:color w:val="1E293B"/>
          <w:sz w:val="20"/>
        </w:rPr>
        <w:t>Practical Example: A seller claims to own 12 decimal of land in Savar Mouza (Dag 10482). The BHUMIverse rule engine checks past deed records and discovers that 8 decimal were already legally transferred in 2020. If the seller attempts to sell 5 decimal today, the system triggers an 'INCONSISTENT SHARE' alert (8 + 5 = 13 &gt; 12 decimal), instantly saving the buyer from a fraudulent transaction.</w:t>
      </w:r>
    </w:p>
    <w:p>
      <w:pPr>
        <w:keepNext/>
        <w:spacing w:before="240" w:after="80"/>
      </w:pPr>
      <w:r>
        <w:rPr>
          <w:rFonts w:ascii="Arial" w:hAnsi="Arial"/>
          <w:b/>
          <w:color w:val="105C38"/>
          <w:sz w:val="26"/>
        </w:rPr>
        <w:t>5 Architecture and Implementation Method</w:t>
      </w:r>
    </w:p>
    <w:p>
      <w:pPr>
        <w:spacing w:before="0" w:after="80" w:line="276" w:lineRule="auto"/>
      </w:pPr>
      <w:r>
        <w:rPr>
          <w:rFonts w:ascii="Arial" w:hAnsi="Arial"/>
          <w:color w:val="1E293B"/>
          <w:sz w:val="20"/>
        </w:rPr>
        <w:t>BHUMIverse is engineered with modern, robust, scalable technologies:</w:t>
      </w:r>
    </w:p>
    <w:p>
      <w:pPr>
        <w:pStyle w:val="ListBullet"/>
        <w:spacing w:before="0" w:after="60" w:line="276" w:lineRule="auto"/>
      </w:pPr>
      <w:r>
        <w:rPr>
          <w:rFonts w:ascii="Arial" w:hAnsi="Arial"/>
          <w:b/>
          <w:color w:val="1E293B"/>
          <w:sz w:val="20"/>
        </w:rPr>
        <w:t xml:space="preserve">• Frontend Web App: </w:t>
      </w:r>
      <w:r>
        <w:rPr>
          <w:rFonts w:ascii="Arial" w:hAnsi="Arial"/>
          <w:color w:val="1E293B"/>
          <w:sz w:val="20"/>
        </w:rPr>
        <w:t xml:space="preserve"> Next.js 16 (App Router), React 19, TypeScript, and Vanilla CSS/Tailwind. Includes Vis-network for interactive fraud syndicate graphs, Chart.js/SVG for explainable radar charts, and full dual-language support (English &amp; Bengali).</w:t>
      </w:r>
    </w:p>
    <w:p>
      <w:pPr>
        <w:pStyle w:val="ListBullet"/>
        <w:spacing w:before="0" w:after="60" w:line="276" w:lineRule="auto"/>
      </w:pPr>
      <w:r>
        <w:rPr>
          <w:rFonts w:ascii="Arial" w:hAnsi="Arial"/>
          <w:b/>
          <w:color w:val="1E293B"/>
          <w:sz w:val="20"/>
        </w:rPr>
        <w:t xml:space="preserve">• Backend REST API: </w:t>
      </w:r>
      <w:r>
        <w:rPr>
          <w:rFonts w:ascii="Arial" w:hAnsi="Arial"/>
          <w:color w:val="1E293B"/>
          <w:sz w:val="20"/>
        </w:rPr>
        <w:t xml:space="preserve"> FastAPI (Python 3.11) with Pydantic v2 data validation schemas. Implements deterministic rule engines, SHA-256 file fingerprinting, and audit logging services.</w:t>
      </w:r>
    </w:p>
    <w:p>
      <w:pPr>
        <w:pStyle w:val="ListBullet"/>
        <w:spacing w:before="0" w:after="60" w:line="276" w:lineRule="auto"/>
      </w:pPr>
      <w:r>
        <w:rPr>
          <w:rFonts w:ascii="Arial" w:hAnsi="Arial"/>
          <w:b/>
          <w:color w:val="1E293B"/>
          <w:sz w:val="20"/>
        </w:rPr>
        <w:t xml:space="preserve">• Database &amp; Authentication: </w:t>
      </w:r>
      <w:r>
        <w:rPr>
          <w:rFonts w:ascii="Arial" w:hAnsi="Arial"/>
          <w:color w:val="1E293B"/>
          <w:sz w:val="20"/>
        </w:rPr>
        <w:t xml:space="preserve"> Supabase (PostgreSQL with Row-Level Security) managing user accounts, parcel metadata, case histories, and audit trails.</w:t>
      </w:r>
    </w:p>
    <w:p>
      <w:pPr>
        <w:pStyle w:val="ListBullet"/>
        <w:spacing w:before="0" w:after="60" w:line="276" w:lineRule="auto"/>
      </w:pPr>
      <w:r>
        <w:rPr>
          <w:rFonts w:ascii="Arial" w:hAnsi="Arial"/>
          <w:b/>
          <w:color w:val="1E293B"/>
          <w:sz w:val="20"/>
        </w:rPr>
        <w:t xml:space="preserve">• Smart Document Diff Engine: </w:t>
      </w:r>
      <w:r>
        <w:rPr>
          <w:rFonts w:ascii="Arial" w:hAnsi="Arial"/>
          <w:color w:val="1E293B"/>
          <w:sz w:val="20"/>
        </w:rPr>
        <w:t xml:space="preserve"> Side-by-side OCR and visual difference engine that highlights altered text, erased seals, or mismatched registration numbers between original and modified deeds.</w:t>
      </w:r>
    </w:p>
    <w:p>
      <w:pPr>
        <w:pStyle w:val="ListBullet"/>
        <w:spacing w:before="0" w:after="60" w:line="276" w:lineRule="auto"/>
      </w:pPr>
      <w:r>
        <w:rPr>
          <w:rFonts w:ascii="Arial" w:hAnsi="Arial"/>
          <w:b/>
          <w:color w:val="1E293B"/>
          <w:sz w:val="20"/>
        </w:rPr>
        <w:t xml:space="preserve">• Deployment: </w:t>
      </w:r>
      <w:r>
        <w:rPr>
          <w:rFonts w:ascii="Arial" w:hAnsi="Arial"/>
          <w:color w:val="1E293B"/>
          <w:sz w:val="20"/>
        </w:rPr>
        <w:t xml:space="preserve"> Vercel (Frontend Next.js production build) and cloud-ready Dockerized backend architecture.</w:t>
      </w:r>
    </w:p>
    <w:p>
      <w:pPr>
        <w:keepNext/>
        <w:spacing w:before="240" w:after="80"/>
      </w:pPr>
      <w:r>
        <w:rPr>
          <w:rFonts w:ascii="Arial" w:hAnsi="Arial"/>
          <w:b/>
          <w:color w:val="105C38"/>
          <w:sz w:val="26"/>
        </w:rPr>
        <w:t>6 Actual Development Progress</w:t>
      </w:r>
    </w:p>
    <w:p>
      <w:pPr>
        <w:spacing w:before="0" w:after="80" w:line="276" w:lineRule="auto"/>
      </w:pPr>
      <w:r>
        <w:rPr>
          <w:rFonts w:ascii="Arial" w:hAnsi="Arial"/>
          <w:color w:val="1E293B"/>
          <w:sz w:val="20"/>
        </w:rPr>
        <w:t>Status as of 18 October 2026: The BHUMIverse prototype is fully built, tested, and operational. All core features can be tested live.</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05C38"/>
            <w:tcMar>
              <w:top w:w="120" w:type="dxa"/>
              <w:bottom w:w="120" w:type="dxa"/>
              <w:left w:w="140" w:type="dxa"/>
              <w:right w:w="140" w:type="dxa"/>
            </w:tcMar>
          </w:tcPr>
          <w:p>
            <w:r>
              <w:rPr>
                <w:rFonts w:ascii="Arial" w:hAnsi="Arial"/>
                <w:b/>
                <w:color w:val="FFFFFF"/>
                <w:sz w:val="19"/>
              </w:rPr>
              <w:t>Module / Feature</w:t>
            </w:r>
          </w:p>
        </w:tc>
        <w:tc>
          <w:tcPr>
            <w:tcW w:type="dxa" w:w="3360"/>
            <w:shd w:fill="105C38"/>
            <w:tcMar>
              <w:top w:w="120" w:type="dxa"/>
              <w:bottom w:w="120" w:type="dxa"/>
              <w:left w:w="140" w:type="dxa"/>
              <w:right w:w="140" w:type="dxa"/>
            </w:tcMar>
          </w:tcPr>
          <w:p>
            <w:r>
              <w:rPr>
                <w:rFonts w:ascii="Arial" w:hAnsi="Arial"/>
                <w:b/>
                <w:color w:val="FFFFFF"/>
                <w:sz w:val="19"/>
              </w:rPr>
              <w:t>Actual Development Status</w:t>
            </w:r>
          </w:p>
        </w:tc>
        <w:tc>
          <w:tcPr>
            <w:tcW w:type="dxa" w:w="3360"/>
            <w:shd w:fill="105C38"/>
            <w:tcMar>
              <w:top w:w="120" w:type="dxa"/>
              <w:bottom w:w="120" w:type="dxa"/>
              <w:left w:w="140" w:type="dxa"/>
              <w:right w:w="140" w:type="dxa"/>
            </w:tcMar>
          </w:tcPr>
          <w:p>
            <w:r>
              <w:rPr>
                <w:rFonts w:ascii="Arial" w:hAnsi="Arial"/>
                <w:b/>
                <w:color w:val="FFFFFF"/>
                <w:sz w:val="19"/>
              </w:rPr>
              <w:t>Demonstrated Capabilities in Prototype</w:t>
            </w:r>
          </w:p>
        </w:tc>
      </w:tr>
      <w:tr>
        <w:tc>
          <w:tcPr>
            <w:tcW w:type="dxa" w:w="3360"/>
            <w:shd w:fill="F8FAFC"/>
            <w:tcMar>
              <w:top w:w="90" w:type="dxa"/>
              <w:bottom w:w="90" w:type="dxa"/>
              <w:left w:w="110" w:type="dxa"/>
              <w:right w:w="110" w:type="dxa"/>
            </w:tcMar>
          </w:tcPr>
          <w:p>
            <w:r>
              <w:rPr>
                <w:rFonts w:ascii="Arial" w:hAnsi="Arial"/>
                <w:color w:val="1E293B"/>
                <w:sz w:val="18"/>
              </w:rPr>
              <w:t>P5 Citizen Verification Portal</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Search by Dag/Khatian/District; 8 synthetic benchmark parcels; real-time risk badge and audit report generator.</w:t>
            </w:r>
          </w:p>
        </w:tc>
      </w:tr>
      <w:tr>
        <w:tc>
          <w:tcPr>
            <w:tcW w:type="dxa" w:w="3360"/>
            <w:shd w:fill="F8FAFC"/>
            <w:tcMar>
              <w:top w:w="90" w:type="dxa"/>
              <w:bottom w:w="90" w:type="dxa"/>
              <w:left w:w="110" w:type="dxa"/>
              <w:right w:w="110" w:type="dxa"/>
            </w:tcMar>
          </w:tcPr>
          <w:p>
            <w:r>
              <w:rPr>
                <w:rFonts w:ascii="Arial" w:hAnsi="Arial"/>
                <w:color w:val="1E293B"/>
                <w:sz w:val="18"/>
              </w:rPr>
              <w:t>Smart Document Diff Tool</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Side-by-side deed diffing; visual red-highlighting of altered text and dates; confidence scoring.</w:t>
            </w:r>
          </w:p>
        </w:tc>
      </w:tr>
      <w:tr>
        <w:tc>
          <w:tcPr>
            <w:tcW w:type="dxa" w:w="3360"/>
            <w:shd w:fill="F8FAFC"/>
            <w:tcMar>
              <w:top w:w="90" w:type="dxa"/>
              <w:bottom w:w="90" w:type="dxa"/>
              <w:left w:w="110" w:type="dxa"/>
              <w:right w:w="110" w:type="dxa"/>
            </w:tcMar>
          </w:tcPr>
          <w:p>
            <w:r>
              <w:rPr>
                <w:rFonts w:ascii="Arial" w:hAnsi="Arial"/>
                <w:color w:val="1E293B"/>
                <w:sz w:val="18"/>
              </w:rPr>
              <w:t>Fraud Network Graph</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Interactive physics-based node graph showing linked buyers, sellers, disputed plots, and fraud syndicates.</w:t>
            </w:r>
          </w:p>
        </w:tc>
      </w:tr>
      <w:tr>
        <w:tc>
          <w:tcPr>
            <w:tcW w:type="dxa" w:w="3360"/>
            <w:shd w:fill="F8FAFC"/>
            <w:tcMar>
              <w:top w:w="90" w:type="dxa"/>
              <w:bottom w:w="90" w:type="dxa"/>
              <w:left w:w="110" w:type="dxa"/>
              <w:right w:w="110" w:type="dxa"/>
            </w:tcMar>
          </w:tcPr>
          <w:p>
            <w:r>
              <w:rPr>
                <w:rFonts w:ascii="Arial" w:hAnsi="Arial"/>
                <w:color w:val="1E293B"/>
                <w:sz w:val="18"/>
              </w:rPr>
              <w:t>Explainable Radar Chart</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5-axis radar chart showing exact scores across Authenticity, Continuity, Custody, Encumbrance, and Consistency.</w:t>
            </w:r>
          </w:p>
        </w:tc>
      </w:tr>
      <w:tr>
        <w:tc>
          <w:tcPr>
            <w:tcW w:type="dxa" w:w="3360"/>
            <w:shd w:fill="F8FAFC"/>
            <w:tcMar>
              <w:top w:w="90" w:type="dxa"/>
              <w:bottom w:w="90" w:type="dxa"/>
              <w:left w:w="110" w:type="dxa"/>
              <w:right w:w="110" w:type="dxa"/>
            </w:tcMar>
          </w:tcPr>
          <w:p>
            <w:r>
              <w:rPr>
                <w:rFonts w:ascii="Arial" w:hAnsi="Arial"/>
                <w:color w:val="1E293B"/>
                <w:sz w:val="18"/>
              </w:rPr>
              <w:t>Ownership Transaction Timeline</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Chronological card timeline tracking ownership transfers across CS, SA, RS, and BS survey records.</w:t>
            </w:r>
          </w:p>
        </w:tc>
      </w:tr>
      <w:tr>
        <w:tc>
          <w:tcPr>
            <w:tcW w:type="dxa" w:w="3360"/>
            <w:shd w:fill="F8FAFC"/>
            <w:tcMar>
              <w:top w:w="90" w:type="dxa"/>
              <w:bottom w:w="90" w:type="dxa"/>
              <w:left w:w="110" w:type="dxa"/>
              <w:right w:w="110" w:type="dxa"/>
            </w:tcMar>
          </w:tcPr>
          <w:p>
            <w:r>
              <w:rPr>
                <w:rFonts w:ascii="Arial" w:hAnsi="Arial"/>
                <w:color w:val="1E293B"/>
                <w:sz w:val="18"/>
              </w:rPr>
              <w:t>Deterministic Rule Engine</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Five core verification rules: duplicate deed hashes, impossible share sales, missing mutation porchas, and litigation flags.</w:t>
            </w:r>
          </w:p>
        </w:tc>
      </w:tr>
      <w:tr>
        <w:tc>
          <w:tcPr>
            <w:tcW w:type="dxa" w:w="3360"/>
            <w:shd w:fill="F8FAFC"/>
            <w:tcMar>
              <w:top w:w="90" w:type="dxa"/>
              <w:bottom w:w="90" w:type="dxa"/>
              <w:left w:w="110" w:type="dxa"/>
              <w:right w:w="110" w:type="dxa"/>
            </w:tcMar>
          </w:tcPr>
          <w:p>
            <w:r>
              <w:rPr>
                <w:rFonts w:ascii="Arial" w:hAnsi="Arial"/>
                <w:color w:val="1E293B"/>
                <w:sz w:val="18"/>
              </w:rPr>
              <w:t>Bilingual Support (EN / BN)</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Instant one-click toggle between English and Bengali across all pages, forms, and results.</w:t>
            </w:r>
          </w:p>
        </w:tc>
      </w:tr>
      <w:tr>
        <w:tc>
          <w:tcPr>
            <w:tcW w:type="dxa" w:w="3360"/>
            <w:shd w:fill="F8FAFC"/>
            <w:tcMar>
              <w:top w:w="90" w:type="dxa"/>
              <w:bottom w:w="90" w:type="dxa"/>
              <w:left w:w="110" w:type="dxa"/>
              <w:right w:w="110" w:type="dxa"/>
            </w:tcMar>
          </w:tcPr>
          <w:p>
            <w:r>
              <w:rPr>
                <w:rFonts w:ascii="Arial" w:hAnsi="Arial"/>
                <w:color w:val="1E293B"/>
                <w:sz w:val="18"/>
              </w:rPr>
              <w:t>Supabase Auth &amp; Audit Logs</w:t>
            </w:r>
          </w:p>
        </w:tc>
        <w:tc>
          <w:tcPr>
            <w:tcW w:type="dxa" w:w="3360"/>
            <w:shd w:fill="FFFFFF"/>
            <w:tcMar>
              <w:top w:w="90" w:type="dxa"/>
              <w:bottom w:w="90" w:type="dxa"/>
              <w:left w:w="110" w:type="dxa"/>
              <w:right w:w="110" w:type="dxa"/>
            </w:tcMar>
          </w:tcPr>
          <w:p>
            <w:r>
              <w:rPr>
                <w:rFonts w:ascii="Arial" w:hAnsi="Arial"/>
                <w:color w:val="1E293B"/>
                <w:sz w:val="18"/>
              </w:rPr>
              <w:t>100% Implemented</w:t>
            </w:r>
          </w:p>
        </w:tc>
        <w:tc>
          <w:tcPr>
            <w:tcW w:type="dxa" w:w="3360"/>
            <w:shd w:fill="F8FAFC"/>
            <w:tcMar>
              <w:top w:w="90" w:type="dxa"/>
              <w:bottom w:w="90" w:type="dxa"/>
              <w:left w:w="110" w:type="dxa"/>
              <w:right w:w="110" w:type="dxa"/>
            </w:tcMar>
          </w:tcPr>
          <w:p>
            <w:r>
              <w:rPr>
                <w:rFonts w:ascii="Arial" w:hAnsi="Arial"/>
                <w:color w:val="1E293B"/>
                <w:sz w:val="18"/>
              </w:rPr>
              <w:t>Secure sign-in, case creation, document uploads, and immutable audit logs.</w:t>
            </w:r>
          </w:p>
        </w:tc>
      </w:tr>
    </w:tbl>
    <w:p>
      <w:pPr>
        <w:spacing w:after="40"/>
      </w:pPr>
    </w:p>
    <w:p>
      <w:pPr>
        <w:keepNext/>
        <w:spacing w:before="240" w:after="80"/>
      </w:pPr>
      <w:r>
        <w:rPr>
          <w:rFonts w:ascii="Arial" w:hAnsi="Arial"/>
          <w:b/>
          <w:color w:val="105C38"/>
          <w:sz w:val="26"/>
        </w:rPr>
        <w:t>7 Legal Alignment and Data Protection</w:t>
      </w:r>
    </w:p>
    <w:p>
      <w:pPr>
        <w:spacing w:before="0" w:after="80" w:line="276" w:lineRule="auto"/>
      </w:pPr>
      <w:r>
        <w:rPr>
          <w:rFonts w:ascii="Arial" w:hAnsi="Arial"/>
          <w:color w:val="1E293B"/>
          <w:sz w:val="20"/>
        </w:rPr>
        <w:t>BHUMIverse is designed in strict compliance with the statutory land laws of Bangladesh:</w:t>
      </w:r>
    </w:p>
    <w:p>
      <w:pPr>
        <w:pStyle w:val="ListBullet"/>
        <w:spacing w:before="0" w:after="60" w:line="276" w:lineRule="auto"/>
      </w:pPr>
      <w:r>
        <w:rPr>
          <w:rFonts w:ascii="Arial" w:hAnsi="Arial"/>
          <w:b/>
          <w:color w:val="1E293B"/>
          <w:sz w:val="20"/>
        </w:rPr>
        <w:t xml:space="preserve">• Transfer of Property Act 1882 (Sections 53C &amp; 53D): </w:t>
      </w:r>
      <w:r>
        <w:rPr>
          <w:rFonts w:ascii="Arial" w:hAnsi="Arial"/>
          <w:color w:val="1E293B"/>
          <w:sz w:val="20"/>
        </w:rPr>
        <w:t xml:space="preserve"> Under Section 53C, a transfer is void if the seller's name is not recorded in the latest khatian (or supported by a valid succession/inheritance certificate). Under Section 53D, transferring mortgaged property without the lender bank's written consent is illegal. BHUMIverse checks both conditions automatically.</w:t>
      </w:r>
    </w:p>
    <w:p>
      <w:pPr>
        <w:pStyle w:val="ListBullet"/>
        <w:spacing w:before="0" w:after="60" w:line="276" w:lineRule="auto"/>
      </w:pPr>
      <w:r>
        <w:rPr>
          <w:rFonts w:ascii="Arial" w:hAnsi="Arial"/>
          <w:b/>
          <w:color w:val="1E293B"/>
          <w:sz w:val="20"/>
        </w:rPr>
        <w:t xml:space="preserve">• Registration Act 1908 (Section 52A &amp; 2026 Amendment): </w:t>
      </w:r>
      <w:r>
        <w:rPr>
          <w:rFonts w:ascii="Arial" w:hAnsi="Arial"/>
          <w:color w:val="1E293B"/>
          <w:sz w:val="20"/>
        </w:rPr>
        <w:t xml:space="preserve"> Mandates a complete 25-year chain of title and verified mutation porcha before any deed registration. The BHUMIverse timeline directly verifies this 25-year continuity.</w:t>
      </w:r>
    </w:p>
    <w:p>
      <w:pPr>
        <w:pStyle w:val="ListBullet"/>
        <w:spacing w:before="0" w:after="60" w:line="276" w:lineRule="auto"/>
      </w:pPr>
      <w:r>
        <w:rPr>
          <w:rFonts w:ascii="Arial" w:hAnsi="Arial"/>
          <w:b/>
          <w:color w:val="1E293B"/>
          <w:sz w:val="20"/>
        </w:rPr>
        <w:t xml:space="preserve">• State Acquisition and Tenancy Act 1950 (Section 143C): </w:t>
      </w:r>
      <w:r>
        <w:rPr>
          <w:rFonts w:ascii="Arial" w:hAnsi="Arial"/>
          <w:color w:val="1E293B"/>
          <w:sz w:val="20"/>
        </w:rPr>
        <w:t xml:space="preserve"> Requires public notice, objection periods, and reasoned orders for mutations. Our platform warns buyers if a parcel has unresolved objections.</w:t>
      </w:r>
    </w:p>
    <w:p>
      <w:pPr>
        <w:pStyle w:val="ListBullet"/>
        <w:spacing w:before="0" w:after="60" w:line="276" w:lineRule="auto"/>
      </w:pPr>
      <w:r>
        <w:rPr>
          <w:rFonts w:ascii="Arial" w:hAnsi="Arial"/>
          <w:b/>
          <w:color w:val="1E293B"/>
          <w:sz w:val="20"/>
        </w:rPr>
        <w:t xml:space="preserve">• Data Privacy &amp; Ethics: </w:t>
      </w:r>
      <w:r>
        <w:rPr>
          <w:rFonts w:ascii="Arial" w:hAnsi="Arial"/>
          <w:color w:val="1E293B"/>
          <w:sz w:val="20"/>
        </w:rPr>
        <w:t xml:space="preserve"> All current demonstration data is synthetic and non-confidential. In future production integrations, citizen data is protected with end-to-end encryption and Row-Level Security (RLS). No unauthorized scraping of government portals is performed.</w:t>
      </w:r>
    </w:p>
    <w:p>
      <w:pPr>
        <w:keepNext/>
        <w:spacing w:before="240" w:after="80"/>
      </w:pPr>
      <w:r>
        <w:rPr>
          <w:rFonts w:ascii="Arial" w:hAnsi="Arial"/>
          <w:b/>
          <w:color w:val="105C38"/>
          <w:sz w:val="26"/>
        </w:rPr>
        <w:t>8 Limitations and Mitigation</w:t>
      </w:r>
    </w:p>
    <w:tbl>
      <w:tblPr>
        <w:tblW w:type="auto" w:w="0"/>
        <w:jc w:val="center"/>
        <w:tblLayout w:type="fixed"/>
        <w:tblLook w:firstColumn="1" w:firstRow="1" w:lastColumn="0" w:lastRow="0" w:noHBand="0" w:noVBand="1" w:val="04A0"/>
      </w:tblPr>
      <w:tblGrid>
        <w:gridCol w:w="5040"/>
        <w:gridCol w:w="5040"/>
      </w:tblGrid>
      <w:tr>
        <w:tc>
          <w:tcPr>
            <w:tcW w:type="dxa" w:w="5040"/>
            <w:shd w:fill="105C38"/>
            <w:tcMar>
              <w:top w:w="120" w:type="dxa"/>
              <w:bottom w:w="120" w:type="dxa"/>
              <w:left w:w="140" w:type="dxa"/>
              <w:right w:w="140" w:type="dxa"/>
            </w:tcMar>
          </w:tcPr>
          <w:p>
            <w:r>
              <w:rPr>
                <w:rFonts w:ascii="Arial" w:hAnsi="Arial"/>
                <w:b/>
                <w:color w:val="FFFFFF"/>
                <w:sz w:val="19"/>
              </w:rPr>
              <w:t>Current Prototype Limitation</w:t>
            </w:r>
          </w:p>
        </w:tc>
        <w:tc>
          <w:tcPr>
            <w:tcW w:type="dxa" w:w="5040"/>
            <w:shd w:fill="105C38"/>
            <w:tcMar>
              <w:top w:w="120" w:type="dxa"/>
              <w:bottom w:w="120" w:type="dxa"/>
              <w:left w:w="140" w:type="dxa"/>
              <w:right w:w="140" w:type="dxa"/>
            </w:tcMar>
          </w:tcPr>
          <w:p>
            <w:r>
              <w:rPr>
                <w:rFonts w:ascii="Arial" w:hAnsi="Arial"/>
                <w:b/>
                <w:color w:val="FFFFFF"/>
                <w:sz w:val="19"/>
              </w:rPr>
              <w:t>Mitigation Strategy &amp; Future Solution</w:t>
            </w:r>
          </w:p>
        </w:tc>
      </w:tr>
      <w:tr>
        <w:tc>
          <w:tcPr>
            <w:tcW w:type="dxa" w:w="5040"/>
            <w:shd w:fill="F8FAFC"/>
            <w:tcMar>
              <w:top w:w="90" w:type="dxa"/>
              <w:bottom w:w="90" w:type="dxa"/>
              <w:left w:w="110" w:type="dxa"/>
              <w:right w:w="110" w:type="dxa"/>
            </w:tcMar>
          </w:tcPr>
          <w:p>
            <w:r>
              <w:rPr>
                <w:rFonts w:ascii="Arial" w:hAnsi="Arial"/>
                <w:color w:val="1E293B"/>
                <w:sz w:val="18"/>
              </w:rPr>
              <w:t>No public API available for live government land databases during hackathon.</w:t>
            </w:r>
          </w:p>
        </w:tc>
        <w:tc>
          <w:tcPr>
            <w:tcW w:type="dxa" w:w="5040"/>
            <w:shd w:fill="FFFFFF"/>
            <w:tcMar>
              <w:top w:w="90" w:type="dxa"/>
              <w:bottom w:w="90" w:type="dxa"/>
              <w:left w:w="110" w:type="dxa"/>
              <w:right w:w="110" w:type="dxa"/>
            </w:tcMar>
          </w:tcPr>
          <w:p>
            <w:r>
              <w:rPr>
                <w:rFonts w:ascii="Arial" w:hAnsi="Arial"/>
                <w:color w:val="1E293B"/>
                <w:sz w:val="18"/>
              </w:rPr>
              <w:t>Developed standardized JSON adapters and a realistic 8-parcel synthetic benchmark covering real-world Savar, Dhanmondi, and Mirpur scenarios.</w:t>
            </w:r>
          </w:p>
        </w:tc>
      </w:tr>
      <w:tr>
        <w:tc>
          <w:tcPr>
            <w:tcW w:type="dxa" w:w="5040"/>
            <w:shd w:fill="F8FAFC"/>
            <w:tcMar>
              <w:top w:w="90" w:type="dxa"/>
              <w:bottom w:w="90" w:type="dxa"/>
              <w:left w:w="110" w:type="dxa"/>
              <w:right w:w="110" w:type="dxa"/>
            </w:tcMar>
          </w:tcPr>
          <w:p>
            <w:r>
              <w:rPr>
                <w:rFonts w:ascii="Arial" w:hAnsi="Arial"/>
                <w:color w:val="1E293B"/>
                <w:sz w:val="18"/>
              </w:rPr>
              <w:t>Handwritten historical deeds in archaic Bangla script are difficult for raw OCR.</w:t>
            </w:r>
          </w:p>
        </w:tc>
        <w:tc>
          <w:tcPr>
            <w:tcW w:type="dxa" w:w="5040"/>
            <w:shd w:fill="FFFFFF"/>
            <w:tcMar>
              <w:top w:w="90" w:type="dxa"/>
              <w:bottom w:w="90" w:type="dxa"/>
              <w:left w:w="110" w:type="dxa"/>
              <w:right w:w="110" w:type="dxa"/>
            </w:tcMar>
          </w:tcPr>
          <w:p>
            <w:r>
              <w:rPr>
                <w:rFonts w:ascii="Arial" w:hAnsi="Arial"/>
                <w:color w:val="1E293B"/>
                <w:sz w:val="18"/>
              </w:rPr>
              <w:t>Integrated human-in-the-loop confirmation where the system extracts proposed values and prompts the user to confirm before running rules.</w:t>
            </w:r>
          </w:p>
        </w:tc>
      </w:tr>
      <w:tr>
        <w:tc>
          <w:tcPr>
            <w:tcW w:type="dxa" w:w="5040"/>
            <w:shd w:fill="F8FAFC"/>
            <w:tcMar>
              <w:top w:w="90" w:type="dxa"/>
              <w:bottom w:w="90" w:type="dxa"/>
              <w:left w:w="110" w:type="dxa"/>
              <w:right w:w="110" w:type="dxa"/>
            </w:tcMar>
          </w:tcPr>
          <w:p>
            <w:r>
              <w:rPr>
                <w:rFonts w:ascii="Arial" w:hAnsi="Arial"/>
                <w:color w:val="1E293B"/>
                <w:sz w:val="18"/>
              </w:rPr>
              <w:t>Automated software cannot replace an official legal court decree or title certificate.</w:t>
            </w:r>
          </w:p>
        </w:tc>
        <w:tc>
          <w:tcPr>
            <w:tcW w:type="dxa" w:w="5040"/>
            <w:shd w:fill="FFFFFF"/>
            <w:tcMar>
              <w:top w:w="90" w:type="dxa"/>
              <w:bottom w:w="90" w:type="dxa"/>
              <w:left w:w="110" w:type="dxa"/>
              <w:right w:w="110" w:type="dxa"/>
            </w:tcMar>
          </w:tcPr>
          <w:p>
            <w:r>
              <w:rPr>
                <w:rFonts w:ascii="Arial" w:hAnsi="Arial"/>
                <w:color w:val="1E293B"/>
                <w:sz w:val="18"/>
              </w:rPr>
              <w:t>BHUMIverse explicitly presents itself as an advisory verification tool with clear checklists, advising citizens when to hire a qualified land lawyer.</w:t>
            </w:r>
          </w:p>
        </w:tc>
      </w:tr>
    </w:tbl>
    <w:p>
      <w:pPr>
        <w:spacing w:after="40"/>
      </w:pPr>
    </w:p>
    <w:p>
      <w:pPr>
        <w:keepNext/>
        <w:spacing w:before="240" w:after="80"/>
      </w:pPr>
      <w:r>
        <w:rPr>
          <w:rFonts w:ascii="Arial" w:hAnsi="Arial"/>
          <w:b/>
          <w:color w:val="105C38"/>
          <w:sz w:val="26"/>
        </w:rPr>
        <w:t>9 Future Scope in Bangladesh</w:t>
      </w:r>
    </w:p>
    <w:p>
      <w:pPr>
        <w:pStyle w:val="ListBullet"/>
        <w:spacing w:before="0" w:after="60" w:line="276" w:lineRule="auto"/>
      </w:pPr>
      <w:r>
        <w:rPr>
          <w:rFonts w:ascii="Arial" w:hAnsi="Arial"/>
          <w:b/>
          <w:color w:val="1E293B"/>
          <w:sz w:val="20"/>
        </w:rPr>
        <w:t xml:space="preserve">1. Upazila-Level Pilot: </w:t>
      </w:r>
      <w:r>
        <w:rPr>
          <w:rFonts w:ascii="Arial" w:hAnsi="Arial"/>
          <w:color w:val="1E293B"/>
          <w:sz w:val="20"/>
        </w:rPr>
        <w:t xml:space="preserve"> Launch a controlled pilot in one Upazila (e.g., Savar or Gazipur Sadar) in collaboration with the local AC Land office and Sub-Registry.</w:t>
      </w:r>
    </w:p>
    <w:p>
      <w:pPr>
        <w:pStyle w:val="ListBullet"/>
        <w:spacing w:before="0" w:after="60" w:line="276" w:lineRule="auto"/>
      </w:pPr>
      <w:r>
        <w:rPr>
          <w:rFonts w:ascii="Arial" w:hAnsi="Arial"/>
          <w:b/>
          <w:color w:val="1E293B"/>
          <w:sz w:val="20"/>
        </w:rPr>
        <w:t xml:space="preserve">2. Official API Integrations: </w:t>
      </w:r>
      <w:r>
        <w:rPr>
          <w:rFonts w:ascii="Arial" w:hAnsi="Arial"/>
          <w:color w:val="1E293B"/>
          <w:sz w:val="20"/>
        </w:rPr>
        <w:t xml:space="preserve"> Connect directly with the Land Ministry's e-Mutation API, National ID (NID/Porichoy) verification, and the National Land Zoning database.</w:t>
      </w:r>
    </w:p>
    <w:p>
      <w:pPr>
        <w:pStyle w:val="ListBullet"/>
        <w:spacing w:before="0" w:after="60" w:line="276" w:lineRule="auto"/>
      </w:pPr>
      <w:r>
        <w:rPr>
          <w:rFonts w:ascii="Arial" w:hAnsi="Arial"/>
          <w:b/>
          <w:color w:val="1E293B"/>
          <w:sz w:val="20"/>
        </w:rPr>
        <w:t xml:space="preserve">3. Citizen Accessibility: </w:t>
      </w:r>
      <w:r>
        <w:rPr>
          <w:rFonts w:ascii="Arial" w:hAnsi="Arial"/>
          <w:color w:val="1E293B"/>
          <w:sz w:val="20"/>
        </w:rPr>
        <w:t xml:space="preserve"> Deploy offline-capable kiosks at Union Digital Centers (UDCs) and launch an Android mobile app with Bangla voice guidance for rural farmers and overseas expatriates.</w:t>
      </w:r>
    </w:p>
    <w:p>
      <w:pPr>
        <w:keepNext/>
        <w:spacing w:before="240" w:after="80"/>
      </w:pPr>
      <w:r>
        <w:rPr>
          <w:rFonts w:ascii="Arial" w:hAnsi="Arial"/>
          <w:b/>
          <w:color w:val="105C38"/>
          <w:sz w:val="26"/>
        </w:rPr>
        <w:t>10 Evaluation and Delivery Plan</w:t>
      </w:r>
    </w:p>
    <w:p>
      <w:pPr>
        <w:spacing w:before="0" w:after="80" w:line="276" w:lineRule="auto"/>
      </w:pPr>
      <w:r>
        <w:rPr>
          <w:rFonts w:ascii="Arial" w:hAnsi="Arial"/>
          <w:color w:val="1E293B"/>
          <w:sz w:val="20"/>
        </w:rPr>
        <w:t>For Round 1 of the LandTech Innovation Hackathon 2026, the BHUMIverse team delivers:</w:t>
      </w:r>
    </w:p>
    <w:p>
      <w:pPr>
        <w:pStyle w:val="ListBullet"/>
        <w:spacing w:before="0" w:after="60" w:line="276" w:lineRule="auto"/>
      </w:pPr>
      <w:r>
        <w:rPr>
          <w:rFonts w:ascii="Arial" w:hAnsi="Arial"/>
          <w:b/>
          <w:color w:val="1E293B"/>
          <w:sz w:val="20"/>
        </w:rPr>
        <w:t xml:space="preserve">1. Project Proposal: </w:t>
      </w:r>
      <w:r>
        <w:rPr>
          <w:rFonts w:ascii="Arial" w:hAnsi="Arial"/>
          <w:color w:val="1E293B"/>
          <w:sz w:val="20"/>
        </w:rPr>
        <w:t xml:space="preserve"> Complete 4-page concept note and system architecture document.</w:t>
      </w:r>
    </w:p>
    <w:p>
      <w:pPr>
        <w:pStyle w:val="ListBullet"/>
        <w:spacing w:before="0" w:after="60" w:line="276" w:lineRule="auto"/>
      </w:pPr>
      <w:r>
        <w:rPr>
          <w:rFonts w:ascii="Arial" w:hAnsi="Arial"/>
          <w:b/>
          <w:color w:val="1E293B"/>
          <w:sz w:val="20"/>
        </w:rPr>
        <w:t xml:space="preserve">2. Working Prototype: </w:t>
      </w:r>
      <w:r>
        <w:rPr>
          <w:rFonts w:ascii="Arial" w:hAnsi="Arial"/>
          <w:color w:val="1E293B"/>
          <w:sz w:val="20"/>
        </w:rPr>
        <w:t xml:space="preserve"> Live, interactive web platform featuring document diffing, fraud network visualization, rule-based verification, and instant report generation.</w:t>
      </w:r>
    </w:p>
    <w:p>
      <w:pPr>
        <w:pStyle w:val="ListBullet"/>
        <w:spacing w:before="0" w:after="60" w:line="276" w:lineRule="auto"/>
      </w:pPr>
      <w:r>
        <w:rPr>
          <w:rFonts w:ascii="Arial" w:hAnsi="Arial"/>
          <w:b/>
          <w:color w:val="1E293B"/>
          <w:sz w:val="20"/>
        </w:rPr>
        <w:t xml:space="preserve">3. Source Code Repository: </w:t>
      </w:r>
      <w:r>
        <w:rPr>
          <w:rFonts w:ascii="Arial" w:hAnsi="Arial"/>
          <w:color w:val="1E293B"/>
          <w:sz w:val="20"/>
        </w:rPr>
        <w:t xml:space="preserve"> Fully documented open-source repository with setup guides, test suites, and synthetic datasets.</w:t>
      </w:r>
    </w:p>
    <w:p>
      <w:pPr>
        <w:pStyle w:val="ListBullet"/>
        <w:spacing w:before="0" w:after="60" w:line="276" w:lineRule="auto"/>
      </w:pPr>
      <w:r>
        <w:rPr>
          <w:rFonts w:ascii="Arial" w:hAnsi="Arial"/>
          <w:b/>
          <w:color w:val="1E293B"/>
          <w:sz w:val="20"/>
        </w:rPr>
        <w:t xml:space="preserve">4. Video Demonstration: </w:t>
      </w:r>
      <w:r>
        <w:rPr>
          <w:rFonts w:ascii="Arial" w:hAnsi="Arial"/>
          <w:color w:val="1E293B"/>
          <w:sz w:val="20"/>
        </w:rPr>
        <w:t xml:space="preserve"> Comprehensive video walkthrough demonstrating all citizen verification flows within 3 minutes.</w:t>
      </w:r>
    </w:p>
    <w:p>
      <w:pPr>
        <w:keepNext/>
        <w:spacing w:before="240" w:after="80"/>
      </w:pPr>
      <w:r>
        <w:rPr>
          <w:rFonts w:ascii="Arial" w:hAnsi="Arial"/>
          <w:b/>
          <w:color w:val="105C38"/>
          <w:sz w:val="26"/>
        </w:rPr>
        <w:t>11 Team and Mentor Information</w:t>
      </w:r>
    </w:p>
    <w:p>
      <w:pPr>
        <w:spacing w:before="0" w:after="80" w:line="276" w:lineRule="auto"/>
      </w:pPr>
      <w:r>
        <w:rPr>
          <w:rFonts w:ascii="Arial" w:hAnsi="Arial"/>
          <w:color w:val="1E293B"/>
          <w:sz w:val="20"/>
        </w:rPr>
        <w:t>Team Name: BHUMIverse  |  Institution: Daffodil International University (DIU)</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05C38"/>
            <w:tcMar>
              <w:top w:w="120" w:type="dxa"/>
              <w:bottom w:w="120" w:type="dxa"/>
              <w:left w:w="140" w:type="dxa"/>
              <w:right w:w="140" w:type="dxa"/>
            </w:tcMar>
          </w:tcPr>
          <w:p>
            <w:r>
              <w:rPr>
                <w:rFonts w:ascii="Arial" w:hAnsi="Arial"/>
                <w:b/>
                <w:color w:val="FFFFFF"/>
                <w:sz w:val="19"/>
              </w:rPr>
              <w:t>Role</w:t>
            </w:r>
          </w:p>
        </w:tc>
        <w:tc>
          <w:tcPr>
            <w:tcW w:type="dxa" w:w="2520"/>
            <w:shd w:fill="105C38"/>
            <w:tcMar>
              <w:top w:w="120" w:type="dxa"/>
              <w:bottom w:w="120" w:type="dxa"/>
              <w:left w:w="140" w:type="dxa"/>
              <w:right w:w="140" w:type="dxa"/>
            </w:tcMar>
          </w:tcPr>
          <w:p>
            <w:r>
              <w:rPr>
                <w:rFonts w:ascii="Arial" w:hAnsi="Arial"/>
                <w:b/>
                <w:color w:val="FFFFFF"/>
                <w:sz w:val="19"/>
              </w:rPr>
              <w:t>Name</w:t>
            </w:r>
          </w:p>
        </w:tc>
        <w:tc>
          <w:tcPr>
            <w:tcW w:type="dxa" w:w="2520"/>
            <w:shd w:fill="105C38"/>
            <w:tcMar>
              <w:top w:w="120" w:type="dxa"/>
              <w:bottom w:w="120" w:type="dxa"/>
              <w:left w:w="140" w:type="dxa"/>
              <w:right w:w="140" w:type="dxa"/>
            </w:tcMar>
          </w:tcPr>
          <w:p>
            <w:r>
              <w:rPr>
                <w:rFonts w:ascii="Arial" w:hAnsi="Arial"/>
                <w:b/>
                <w:color w:val="FFFFFF"/>
                <w:sz w:val="19"/>
              </w:rPr>
              <w:t>Student ID / Affiliation</w:t>
            </w:r>
          </w:p>
        </w:tc>
        <w:tc>
          <w:tcPr>
            <w:tcW w:type="dxa" w:w="2520"/>
            <w:shd w:fill="105C38"/>
            <w:tcMar>
              <w:top w:w="120" w:type="dxa"/>
              <w:bottom w:w="120" w:type="dxa"/>
              <w:left w:w="140" w:type="dxa"/>
              <w:right w:w="140" w:type="dxa"/>
            </w:tcMar>
          </w:tcPr>
          <w:p>
            <w:r>
              <w:rPr>
                <w:rFonts w:ascii="Arial" w:hAnsi="Arial"/>
                <w:b/>
                <w:color w:val="FFFFFF"/>
                <w:sz w:val="19"/>
              </w:rPr>
              <w:t>Email Contact</w:t>
            </w:r>
          </w:p>
        </w:tc>
      </w:tr>
      <w:tr>
        <w:tc>
          <w:tcPr>
            <w:tcW w:type="dxa" w:w="2520"/>
            <w:shd w:fill="F8FAFC"/>
            <w:tcMar>
              <w:top w:w="90" w:type="dxa"/>
              <w:bottom w:w="90" w:type="dxa"/>
              <w:left w:w="110" w:type="dxa"/>
              <w:right w:w="110" w:type="dxa"/>
            </w:tcMar>
          </w:tcPr>
          <w:p>
            <w:r>
              <w:rPr>
                <w:rFonts w:ascii="Arial" w:hAnsi="Arial"/>
                <w:color w:val="1E293B"/>
                <w:sz w:val="18"/>
              </w:rPr>
              <w:t>Student Leader</w:t>
            </w:r>
          </w:p>
        </w:tc>
        <w:tc>
          <w:tcPr>
            <w:tcW w:type="dxa" w:w="2520"/>
            <w:shd w:fill="FFFFFF"/>
            <w:tcMar>
              <w:top w:w="90" w:type="dxa"/>
              <w:bottom w:w="90" w:type="dxa"/>
              <w:left w:w="110" w:type="dxa"/>
              <w:right w:w="110" w:type="dxa"/>
            </w:tcMar>
          </w:tcPr>
          <w:p>
            <w:r>
              <w:rPr>
                <w:rFonts w:ascii="Arial" w:hAnsi="Arial"/>
                <w:color w:val="1E293B"/>
                <w:sz w:val="18"/>
              </w:rPr>
              <w:t>MD Parvez Hasan</w:t>
            </w:r>
          </w:p>
        </w:tc>
        <w:tc>
          <w:tcPr>
            <w:tcW w:type="dxa" w:w="2520"/>
            <w:shd w:fill="F8FAFC"/>
            <w:tcMar>
              <w:top w:w="90" w:type="dxa"/>
              <w:bottom w:w="90" w:type="dxa"/>
              <w:left w:w="110" w:type="dxa"/>
              <w:right w:w="110" w:type="dxa"/>
            </w:tcMar>
          </w:tcPr>
          <w:p>
            <w:r>
              <w:rPr>
                <w:rFonts w:ascii="Arial" w:hAnsi="Arial"/>
                <w:color w:val="1E293B"/>
                <w:sz w:val="18"/>
              </w:rPr>
              <w:t>ID: 241-15-484 (Dept. of CSE, DIU)</w:t>
            </w:r>
          </w:p>
        </w:tc>
        <w:tc>
          <w:tcPr>
            <w:tcW w:type="dxa" w:w="2520"/>
            <w:shd w:fill="FFFFFF"/>
            <w:tcMar>
              <w:top w:w="90" w:type="dxa"/>
              <w:bottom w:w="90" w:type="dxa"/>
              <w:left w:w="110" w:type="dxa"/>
              <w:right w:w="110" w:type="dxa"/>
            </w:tcMar>
          </w:tcPr>
          <w:p>
            <w:r>
              <w:rPr>
                <w:rFonts w:ascii="Arial" w:hAnsi="Arial"/>
                <w:color w:val="1E293B"/>
                <w:sz w:val="18"/>
              </w:rPr>
              <w:t>parvez241-15-484@diu.edu.bd</w:t>
            </w:r>
          </w:p>
        </w:tc>
      </w:tr>
      <w:tr>
        <w:tc>
          <w:tcPr>
            <w:tcW w:type="dxa" w:w="2520"/>
            <w:shd w:fill="F8FAFC"/>
            <w:tcMar>
              <w:top w:w="90" w:type="dxa"/>
              <w:bottom w:w="90" w:type="dxa"/>
              <w:left w:w="110" w:type="dxa"/>
              <w:right w:w="110" w:type="dxa"/>
            </w:tcMar>
          </w:tcPr>
          <w:p>
            <w:r>
              <w:rPr>
                <w:rFonts w:ascii="Arial" w:hAnsi="Arial"/>
                <w:color w:val="1E293B"/>
                <w:sz w:val="18"/>
              </w:rPr>
              <w:t>Student Member</w:t>
            </w:r>
          </w:p>
        </w:tc>
        <w:tc>
          <w:tcPr>
            <w:tcW w:type="dxa" w:w="2520"/>
            <w:shd w:fill="FFFFFF"/>
            <w:tcMar>
              <w:top w:w="90" w:type="dxa"/>
              <w:bottom w:w="90" w:type="dxa"/>
              <w:left w:w="110" w:type="dxa"/>
              <w:right w:w="110" w:type="dxa"/>
            </w:tcMar>
          </w:tcPr>
          <w:p>
            <w:r>
              <w:rPr>
                <w:rFonts w:ascii="Arial" w:hAnsi="Arial"/>
                <w:color w:val="1E293B"/>
                <w:sz w:val="18"/>
              </w:rPr>
              <w:t>MD FARHAN MAHAMUD</w:t>
            </w:r>
          </w:p>
        </w:tc>
        <w:tc>
          <w:tcPr>
            <w:tcW w:type="dxa" w:w="2520"/>
            <w:shd w:fill="F8FAFC"/>
            <w:tcMar>
              <w:top w:w="90" w:type="dxa"/>
              <w:bottom w:w="90" w:type="dxa"/>
              <w:left w:w="110" w:type="dxa"/>
              <w:right w:w="110" w:type="dxa"/>
            </w:tcMar>
          </w:tcPr>
          <w:p>
            <w:r>
              <w:rPr>
                <w:rFonts w:ascii="Arial" w:hAnsi="Arial"/>
                <w:color w:val="1E293B"/>
                <w:sz w:val="18"/>
              </w:rPr>
              <w:t>ID: 241-15-497 (Dept. of CSE, DIU)</w:t>
            </w:r>
          </w:p>
        </w:tc>
        <w:tc>
          <w:tcPr>
            <w:tcW w:type="dxa" w:w="2520"/>
            <w:shd w:fill="FFFFFF"/>
            <w:tcMar>
              <w:top w:w="90" w:type="dxa"/>
              <w:bottom w:w="90" w:type="dxa"/>
              <w:left w:w="110" w:type="dxa"/>
              <w:right w:w="110" w:type="dxa"/>
            </w:tcMar>
          </w:tcPr>
          <w:p>
            <w:r>
              <w:rPr>
                <w:rFonts w:ascii="Arial" w:hAnsi="Arial"/>
                <w:color w:val="1E293B"/>
                <w:sz w:val="18"/>
              </w:rPr>
              <w:t>farhan241-15-497@diu.edu.bd</w:t>
            </w:r>
          </w:p>
        </w:tc>
      </w:tr>
      <w:tr>
        <w:tc>
          <w:tcPr>
            <w:tcW w:type="dxa" w:w="2520"/>
            <w:shd w:fill="F8FAFC"/>
            <w:tcMar>
              <w:top w:w="90" w:type="dxa"/>
              <w:bottom w:w="90" w:type="dxa"/>
              <w:left w:w="110" w:type="dxa"/>
              <w:right w:w="110" w:type="dxa"/>
            </w:tcMar>
          </w:tcPr>
          <w:p>
            <w:r>
              <w:rPr>
                <w:rFonts w:ascii="Arial" w:hAnsi="Arial"/>
                <w:color w:val="1E293B"/>
                <w:sz w:val="18"/>
              </w:rPr>
              <w:t>Faculty Mentor</w:t>
            </w:r>
          </w:p>
        </w:tc>
        <w:tc>
          <w:tcPr>
            <w:tcW w:type="dxa" w:w="2520"/>
            <w:shd w:fill="FFFFFF"/>
            <w:tcMar>
              <w:top w:w="90" w:type="dxa"/>
              <w:bottom w:w="90" w:type="dxa"/>
              <w:left w:w="110" w:type="dxa"/>
              <w:right w:w="110" w:type="dxa"/>
            </w:tcMar>
          </w:tcPr>
          <w:p>
            <w:r>
              <w:rPr>
                <w:rFonts w:ascii="Arial" w:hAnsi="Arial"/>
                <w:color w:val="1E293B"/>
                <w:sz w:val="18"/>
              </w:rPr>
              <w:t>Jawad Ibn Ahad</w:t>
            </w:r>
          </w:p>
        </w:tc>
        <w:tc>
          <w:tcPr>
            <w:tcW w:type="dxa" w:w="2520"/>
            <w:shd w:fill="F8FAFC"/>
            <w:tcMar>
              <w:top w:w="90" w:type="dxa"/>
              <w:bottom w:w="90" w:type="dxa"/>
              <w:left w:w="110" w:type="dxa"/>
              <w:right w:w="110" w:type="dxa"/>
            </w:tcMar>
          </w:tcPr>
          <w:p>
            <w:r>
              <w:rPr>
                <w:rFonts w:ascii="Arial" w:hAnsi="Arial"/>
                <w:color w:val="1E293B"/>
                <w:sz w:val="18"/>
              </w:rPr>
              <w:t>Lecturer, Dept. of CSE, DIU</w:t>
            </w:r>
          </w:p>
        </w:tc>
        <w:tc>
          <w:tcPr>
            <w:tcW w:type="dxa" w:w="2520"/>
            <w:shd w:fill="FFFFFF"/>
            <w:tcMar>
              <w:top w:w="90" w:type="dxa"/>
              <w:bottom w:w="90" w:type="dxa"/>
              <w:left w:w="110" w:type="dxa"/>
              <w:right w:w="110" w:type="dxa"/>
            </w:tcMar>
          </w:tcPr>
          <w:p>
            <w:r>
              <w:rPr>
                <w:rFonts w:ascii="Arial" w:hAnsi="Arial"/>
                <w:color w:val="1E293B"/>
                <w:sz w:val="18"/>
              </w:rPr>
              <w:t>jawad.cse@diu.edu.bd</w:t>
            </w:r>
          </w:p>
        </w:tc>
      </w:tr>
      <w:tr>
        <w:tc>
          <w:tcPr>
            <w:tcW w:type="dxa" w:w="2520"/>
            <w:shd w:fill="F8FAFC"/>
            <w:tcMar>
              <w:top w:w="90" w:type="dxa"/>
              <w:bottom w:w="90" w:type="dxa"/>
              <w:left w:w="110" w:type="dxa"/>
              <w:right w:w="110" w:type="dxa"/>
            </w:tcMar>
          </w:tcPr>
          <w:p>
            <w:r>
              <w:rPr>
                <w:rFonts w:ascii="Arial" w:hAnsi="Arial"/>
                <w:color w:val="1E293B"/>
                <w:sz w:val="18"/>
              </w:rPr>
              <w:t>Industry Mentor</w:t>
            </w:r>
          </w:p>
        </w:tc>
        <w:tc>
          <w:tcPr>
            <w:tcW w:type="dxa" w:w="2520"/>
            <w:shd w:fill="FFFFFF"/>
            <w:tcMar>
              <w:top w:w="90" w:type="dxa"/>
              <w:bottom w:w="90" w:type="dxa"/>
              <w:left w:w="110" w:type="dxa"/>
              <w:right w:w="110" w:type="dxa"/>
            </w:tcMar>
          </w:tcPr>
          <w:p>
            <w:r>
              <w:rPr>
                <w:rFonts w:ascii="Arial" w:hAnsi="Arial"/>
                <w:color w:val="1E293B"/>
                <w:sz w:val="18"/>
              </w:rPr>
              <w:t>Fateha Hossain Anushka</w:t>
            </w:r>
          </w:p>
        </w:tc>
        <w:tc>
          <w:tcPr>
            <w:tcW w:type="dxa" w:w="2520"/>
            <w:shd w:fill="F8FAFC"/>
            <w:tcMar>
              <w:top w:w="90" w:type="dxa"/>
              <w:bottom w:w="90" w:type="dxa"/>
              <w:left w:w="110" w:type="dxa"/>
              <w:right w:w="110" w:type="dxa"/>
            </w:tcMar>
          </w:tcPr>
          <w:p>
            <w:r>
              <w:rPr>
                <w:rFonts w:ascii="Arial" w:hAnsi="Arial"/>
                <w:color w:val="1E293B"/>
                <w:sz w:val="18"/>
              </w:rPr>
              <w:t>Industry Specialist, Software Engineering</w:t>
            </w:r>
          </w:p>
        </w:tc>
        <w:tc>
          <w:tcPr>
            <w:tcW w:type="dxa" w:w="2520"/>
            <w:shd w:fill="FFFFFF"/>
            <w:tcMar>
              <w:top w:w="90" w:type="dxa"/>
              <w:bottom w:w="90" w:type="dxa"/>
              <w:left w:w="110" w:type="dxa"/>
              <w:right w:w="110" w:type="dxa"/>
            </w:tcMar>
          </w:tcPr>
          <w:p>
            <w:r>
              <w:rPr>
                <w:rFonts w:ascii="Arial" w:hAnsi="Arial"/>
                <w:color w:val="1E293B"/>
                <w:sz w:val="18"/>
              </w:rPr>
              <w:t>fateha.industry@mentor.bd</w:t>
            </w:r>
          </w:p>
        </w:tc>
      </w:tr>
    </w:tbl>
    <w:p>
      <w:pPr>
        <w:spacing w:after="40"/>
      </w:pPr>
    </w:p>
    <w:p>
      <w:pPr>
        <w:keepNext/>
        <w:spacing w:before="240" w:after="80"/>
      </w:pPr>
      <w:r>
        <w:rPr>
          <w:rFonts w:ascii="Arial" w:hAnsi="Arial"/>
          <w:b/>
          <w:color w:val="105C38"/>
          <w:sz w:val="26"/>
        </w:rPr>
        <w:t>12 References and Prototype</w:t>
      </w:r>
    </w:p>
    <w:p>
      <w:pPr>
        <w:pStyle w:val="ListBullet"/>
        <w:spacing w:before="0" w:after="60" w:line="276" w:lineRule="auto"/>
      </w:pPr>
      <w:r>
        <w:rPr>
          <w:rFonts w:ascii="Arial" w:hAnsi="Arial"/>
          <w:b/>
          <w:color w:val="1E293B"/>
          <w:sz w:val="20"/>
        </w:rPr>
        <w:t xml:space="preserve">[1] DIU CSE and CSE-TECH: </w:t>
      </w:r>
      <w:r>
        <w:rPr>
          <w:rFonts w:ascii="Arial" w:hAnsi="Arial"/>
          <w:color w:val="1E293B"/>
          <w:sz w:val="20"/>
        </w:rPr>
        <w:t xml:space="preserve"> LandTech 2026 Rule Book v1.2, Department of CSE &amp; CSE-TECH, Daffodil International University.</w:t>
      </w:r>
    </w:p>
    <w:p>
      <w:pPr>
        <w:pStyle w:val="ListBullet"/>
        <w:spacing w:before="0" w:after="60" w:line="276" w:lineRule="auto"/>
      </w:pPr>
      <w:r>
        <w:rPr>
          <w:rFonts w:ascii="Arial" w:hAnsi="Arial"/>
          <w:b/>
          <w:color w:val="1E293B"/>
          <w:sz w:val="20"/>
        </w:rPr>
        <w:t xml:space="preserve">[2] Ministry of Land, Bangladesh: </w:t>
      </w:r>
      <w:r>
        <w:rPr>
          <w:rFonts w:ascii="Arial" w:hAnsi="Arial"/>
          <w:color w:val="1E293B"/>
          <w:sz w:val="20"/>
        </w:rPr>
        <w:t xml:space="preserve"> e-Mutation, e-Porcha, and Land Development Tax Portals (land.gov.bd).</w:t>
      </w:r>
    </w:p>
    <w:p>
      <w:pPr>
        <w:pStyle w:val="ListBullet"/>
        <w:spacing w:before="0" w:after="60" w:line="276" w:lineRule="auto"/>
      </w:pPr>
      <w:r>
        <w:rPr>
          <w:rFonts w:ascii="Arial" w:hAnsi="Arial"/>
          <w:b/>
          <w:color w:val="1E293B"/>
          <w:sz w:val="20"/>
        </w:rPr>
        <w:t xml:space="preserve">[3] Transfer of Property Act 1882: </w:t>
      </w:r>
      <w:r>
        <w:rPr>
          <w:rFonts w:ascii="Arial" w:hAnsi="Arial"/>
          <w:color w:val="1E293B"/>
          <w:sz w:val="20"/>
        </w:rPr>
        <w:t xml:space="preserve"> Sections 53C &amp; 53D (Transfer restrictions, khatian recording, mortgage consent).</w:t>
      </w:r>
    </w:p>
    <w:p>
      <w:pPr>
        <w:pStyle w:val="ListBullet"/>
        <w:spacing w:before="0" w:after="60" w:line="276" w:lineRule="auto"/>
      </w:pPr>
      <w:r>
        <w:rPr>
          <w:rFonts w:ascii="Arial" w:hAnsi="Arial"/>
          <w:b/>
          <w:color w:val="1E293B"/>
          <w:sz w:val="20"/>
        </w:rPr>
        <w:t xml:space="preserve">[4] Registration Act 1908 &amp; 2026 Amendment: </w:t>
      </w:r>
      <w:r>
        <w:rPr>
          <w:rFonts w:ascii="Arial" w:hAnsi="Arial"/>
          <w:color w:val="1E293B"/>
          <w:sz w:val="20"/>
        </w:rPr>
        <w:t xml:space="preserve"> Section 52A (Mandatory 25-year title chain check and deed format).</w:t>
      </w:r>
    </w:p>
    <w:p>
      <w:pPr>
        <w:pStyle w:val="ListBullet"/>
        <w:spacing w:before="0" w:after="60" w:line="276" w:lineRule="auto"/>
      </w:pPr>
      <w:r>
        <w:rPr>
          <w:rFonts w:ascii="Arial" w:hAnsi="Arial"/>
          <w:b/>
          <w:color w:val="1E293B"/>
          <w:sz w:val="20"/>
        </w:rPr>
        <w:t xml:space="preserve">[5] State Acquisition and Tenancy Act 1950: </w:t>
      </w:r>
      <w:r>
        <w:rPr>
          <w:rFonts w:ascii="Arial" w:hAnsi="Arial"/>
          <w:color w:val="1E293B"/>
          <w:sz w:val="20"/>
        </w:rPr>
        <w:t xml:space="preserve"> Section 143C (Mutation procedure, hearing notices, and record correction).</w:t>
      </w:r>
    </w:p>
    <w:p>
      <w:pPr>
        <w:pStyle w:val="ListBullet"/>
        <w:spacing w:before="0" w:after="60" w:line="276" w:lineRule="auto"/>
      </w:pPr>
      <w:r>
        <w:rPr>
          <w:rFonts w:ascii="Arial" w:hAnsi="Arial"/>
          <w:b/>
          <w:color w:val="1E293B"/>
          <w:sz w:val="20"/>
        </w:rPr>
        <w:t xml:space="preserve">[6] BHUMIverse Open-Source Repository: </w:t>
      </w:r>
      <w:r>
        <w:rPr>
          <w:rFonts w:ascii="Arial" w:hAnsi="Arial"/>
          <w:color w:val="1E293B"/>
          <w:sz w:val="20"/>
        </w:rPr>
        <w:t xml:space="preserve"> https://github.com/parvezrepository/bhumiverse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