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52" w:lineRule="auto"/>
        <w:jc w:val="center"/>
      </w:pPr>
      <w:r>
        <w:rPr>
          <w:rFonts w:ascii="Times New Roman" w:hAnsi="Times New Roman"/>
          <w:b/>
          <w:color w:val="000000"/>
          <w:sz w:val="32"/>
        </w:rPr>
        <w:t>BHUMIverse Project Proposal</w:t>
      </w:r>
    </w:p>
    <w:p>
      <w:pPr>
        <w:spacing w:before="0" w:after="60" w:line="252" w:lineRule="auto"/>
        <w:jc w:val="center"/>
      </w:pPr>
      <w:r>
        <w:rPr>
          <w:rFonts w:ascii="Times New Roman" w:hAnsi="Times New Roman"/>
          <w:b w:val="0"/>
          <w:color w:val="000000"/>
          <w:sz w:val="26"/>
        </w:rPr>
        <w:t>Intelligent Land Record Verification &amp; Fraud Prevention Platform</w:t>
      </w:r>
    </w:p>
    <w:p>
      <w:pPr>
        <w:spacing w:before="0" w:after="40" w:line="252" w:lineRule="auto"/>
        <w:jc w:val="center"/>
      </w:pPr>
      <w:r>
        <w:rPr>
          <w:rFonts w:ascii="Times New Roman" w:hAnsi="Times New Roman"/>
          <w:b/>
          <w:i w:val="0"/>
          <w:color w:val="000000"/>
          <w:sz w:val="21"/>
        </w:rPr>
        <w:t>LandTech Innovation Hackathon 2026 | Four Page Concept Note</w:t>
      </w:r>
    </w:p>
    <w:p>
      <w:pPr>
        <w:spacing w:before="0" w:after="40" w:line="252" w:lineRule="auto"/>
        <w:jc w:val="center"/>
      </w:pPr>
      <w:r>
        <w:rPr>
          <w:rFonts w:ascii="Times New Roman" w:hAnsi="Times New Roman"/>
          <w:b/>
          <w:i w:val="0"/>
          <w:color w:val="000000"/>
          <w:sz w:val="20"/>
        </w:rPr>
        <w:t>Team name: BHUMIverse | Primary category: P3 Catch Fraud &amp; Double-Selling</w:t>
      </w:r>
    </w:p>
    <w:p>
      <w:pPr>
        <w:spacing w:before="0" w:after="40" w:line="252" w:lineRule="auto"/>
        <w:jc w:val="center"/>
      </w:pPr>
      <w:r>
        <w:rPr>
          <w:rFonts w:ascii="Times New Roman" w:hAnsi="Times New Roman"/>
          <w:b w:val="0"/>
          <w:i w:val="0"/>
          <w:color w:val="000000"/>
          <w:sz w:val="20"/>
        </w:rPr>
        <w:t>Track: Digital Land Records, Verification and Digitization | Date: 18 October 2026</w:t>
      </w:r>
    </w:p>
    <w:p>
      <w:pPr>
        <w:spacing w:before="0" w:after="120" w:line="252" w:lineRule="auto"/>
        <w:jc w:val="center"/>
      </w:pPr>
      <w:r>
        <w:rPr>
          <w:rFonts w:ascii="Times New Roman" w:hAnsi="Times New Roman"/>
          <w:b w:val="0"/>
          <w:i/>
          <w:color w:val="000000"/>
          <w:sz w:val="19"/>
        </w:rPr>
        <w:t>Submitted to: Department of CSE and CSE-TECH, Daffodil International University</w:t>
      </w:r>
    </w:p>
    <w:p>
      <w:pPr>
        <w:keepNext/>
        <w:spacing w:before="120" w:after="40" w:line="252" w:lineRule="auto"/>
      </w:pPr>
      <w:r>
        <w:rPr>
          <w:rFonts w:ascii="Times New Roman" w:hAnsi="Times New Roman"/>
          <w:b/>
          <w:color w:val="000000"/>
          <w:sz w:val="24"/>
        </w:rPr>
        <w:t>1 Project Summary</w:t>
      </w:r>
    </w:p>
    <w:p>
      <w:pPr>
        <w:spacing w:before="0" w:after="60" w:line="254" w:lineRule="auto"/>
      </w:pPr>
      <w:r>
        <w:rPr>
          <w:rFonts w:ascii="Times New Roman" w:hAnsi="Times New Roman"/>
          <w:color w:val="000000"/>
          <w:sz w:val="24"/>
        </w:rPr>
        <w:t>BHUMIverse is an intelligent land fraud detection and double-selling prevention platform engineered specifically for Bangladesh. Our platform solves Hackathon category P3 ('Catch Fraud &amp; Double-Selling') by identifying fake and tampered documents, catching cases where the same land is sold to more than one buyer, and revealing dangerous record mismatches between deed registration (Sub-Registry) and mutation (AC Land offices). Citizens and buyers can search by parcel or upload deeds to inspect altered text, verify seller decimal limits, and uncover organized fraud syndicates. The platform delivers an explainable Land Verification Report with an instant Risk Score (Low, Medium, High) and clear next steps in both English and Bengali.</w:t>
      </w:r>
    </w:p>
    <w:p>
      <w:pPr>
        <w:keepNext/>
        <w:spacing w:before="120" w:after="40" w:line="252" w:lineRule="auto"/>
      </w:pPr>
      <w:r>
        <w:rPr>
          <w:rFonts w:ascii="Times New Roman" w:hAnsi="Times New Roman"/>
          <w:b/>
          <w:color w:val="000000"/>
          <w:sz w:val="24"/>
        </w:rPr>
        <w:t>2 Selected Problem and Objectives</w:t>
      </w:r>
    </w:p>
    <w:p>
      <w:pPr>
        <w:spacing w:before="0" w:after="60" w:line="254" w:lineRule="auto"/>
      </w:pPr>
      <w:r>
        <w:rPr>
          <w:rFonts w:ascii="Times New Roman" w:hAnsi="Times New Roman"/>
          <w:color w:val="000000"/>
          <w:sz w:val="24"/>
        </w:rPr>
        <w:t>Primary Category: P3 Catch Fraud &amp; Double-Selling (Spot fake documents, double-selling, and registration-mutation mismatches).</w:t>
      </w:r>
    </w:p>
    <w:p>
      <w:pPr>
        <w:spacing w:before="0" w:after="60" w:line="254" w:lineRule="auto"/>
      </w:pPr>
      <w:r>
        <w:rPr>
          <w:rFonts w:ascii="Times New Roman" w:hAnsi="Times New Roman"/>
          <w:color w:val="000000"/>
          <w:sz w:val="24"/>
        </w:rPr>
        <w:t>According to empirical studies by the Law Commission of Bangladesh and the World Bank, over 70% of all civil disputes arise from fraudulent land transactions and ownership conflicts [7]. Citizens face four severe fraud threats: (1) Fake and tampered deeds where photocopy text, dates, or plot sizes are digitally altered; (2) Double-selling where dishonest sellers sell the same plot to multiple buyers before any mutation is recorded; (3) Registration-mutation mismatch where registered deeds never get mutated at the AC Land office, leaving the seller's name in official records to enable second illegal sales; and (4) Fraud syndicates that exploit loopholes across disjointed government offices.</w:t>
      </w:r>
    </w:p>
    <w:p>
      <w:pPr>
        <w:spacing w:before="0" w:after="60" w:line="254" w:lineRule="auto"/>
      </w:pPr>
      <w:r>
        <w:rPr>
          <w:rFonts w:ascii="Times New Roman" w:hAnsi="Times New Roman"/>
          <w:color w:val="000000"/>
          <w:sz w:val="24"/>
        </w:rPr>
        <w:t>Core Objectives: (a) Spot fake and altered documents using automated Smart Document Diffing; (b) Mathematically detect double-selling and over-selling by tracking seller remaining decimals; (c) Reconcile deed registration records with mutation khatians to flag broken ownership chains; and (d) Map repeat fraud actors and disputed plots on an interactive fraud network graph.</w:t>
      </w:r>
    </w:p>
    <w:p>
      <w:pPr>
        <w:keepNext/>
        <w:spacing w:before="120" w:after="40" w:line="252" w:lineRule="auto"/>
      </w:pPr>
      <w:r>
        <w:rPr>
          <w:rFonts w:ascii="Times New Roman" w:hAnsi="Times New Roman"/>
          <w:b/>
          <w:color w:val="000000"/>
          <w:sz w:val="24"/>
        </w:rPr>
        <w:t>3 Existing Services and Main Contribution</w:t>
      </w:r>
    </w:p>
    <w:p>
      <w:pPr>
        <w:spacing w:before="0" w:after="60" w:line="254" w:lineRule="auto"/>
      </w:pPr>
      <w:r>
        <w:rPr>
          <w:rFonts w:ascii="Times New Roman" w:hAnsi="Times New Roman"/>
          <w:color w:val="000000"/>
          <w:sz w:val="24"/>
        </w:rPr>
        <w:t>Current government services like e-Porcha, e-Mutation, and online Land Tax operate in silos. Sub-Registry offices record deeds without real-time verification of the seller's live remaining balance at the AC Land office. This gap allows dishonest sellers to sell the same plot multiple times. BHUMIverse connects these separated records into an explained fraud-detection matrix.</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CCCCCC"/>
          <w:insideV w:val="none"/>
          <w:left w:val="none"/>
          <w:right w:val="none"/>
        </w:tblBorders>
      </w:tblPr>
      <w:tblGrid>
        <w:gridCol w:w="3456"/>
        <w:gridCol w:w="3456"/>
        <w:gridCol w:w="3456"/>
      </w:tblGrid>
      <w:tr>
        <w:tc>
          <w:tcPr>
            <w:tcW w:type="dxa" w:w="2592"/>
            <w:tcMar>
              <w:top w:w="50" w:type="dxa"/>
              <w:bottom w:w="50" w:type="dxa"/>
              <w:left w:w="70" w:type="dxa"/>
              <w:right w:w="70" w:type="dxa"/>
            </w:tcMar>
          </w:tcPr>
          <w:p>
            <w:pPr>
              <w:spacing w:before="0" w:after="0" w:line="252" w:lineRule="auto"/>
            </w:pPr>
            <w:r>
              <w:rPr>
                <w:rFonts w:ascii="Times New Roman" w:hAnsi="Times New Roman"/>
                <w:b/>
                <w:color w:val="000000"/>
                <w:sz w:val="21"/>
              </w:rPr>
              <w:t>Existing Government Baseline</w:t>
            </w:r>
          </w:p>
        </w:tc>
        <w:tc>
          <w:tcPr>
            <w:tcW w:type="dxa" w:w="3168"/>
            <w:tcMar>
              <w:top w:w="50" w:type="dxa"/>
              <w:bottom w:w="50" w:type="dxa"/>
              <w:left w:w="70" w:type="dxa"/>
              <w:right w:w="70" w:type="dxa"/>
            </w:tcMar>
          </w:tcPr>
          <w:p>
            <w:pPr>
              <w:spacing w:before="0" w:after="0" w:line="252" w:lineRule="auto"/>
            </w:pPr>
            <w:r>
              <w:rPr>
                <w:rFonts w:ascii="Times New Roman" w:hAnsi="Times New Roman"/>
                <w:b/>
                <w:color w:val="000000"/>
                <w:sz w:val="21"/>
              </w:rPr>
              <w:t>Limitations in Catching Fraud</w:t>
            </w:r>
          </w:p>
        </w:tc>
        <w:tc>
          <w:tcPr>
            <w:tcW w:type="dxa" w:w="4608"/>
            <w:tcMar>
              <w:top w:w="50" w:type="dxa"/>
              <w:bottom w:w="50" w:type="dxa"/>
              <w:left w:w="70" w:type="dxa"/>
              <w:right w:w="70" w:type="dxa"/>
            </w:tcMar>
          </w:tcPr>
          <w:p>
            <w:pPr>
              <w:spacing w:before="0" w:after="0" w:line="252" w:lineRule="auto"/>
            </w:pPr>
            <w:r>
              <w:rPr>
                <w:rFonts w:ascii="Times New Roman" w:hAnsi="Times New Roman"/>
                <w:b/>
                <w:color w:val="000000"/>
                <w:sz w:val="21"/>
              </w:rPr>
              <w:t>BHUMIverse Platform Contribution</w:t>
            </w:r>
          </w:p>
        </w:tc>
      </w:tr>
      <w:tr>
        <w:tc>
          <w:tcPr>
            <w:tcW w:type="dxa" w:w="2592"/>
            <w:tcMar>
              <w:top w:w="40" w:type="dxa"/>
              <w:bottom w:w="40" w:type="dxa"/>
              <w:left w:w="70" w:type="dxa"/>
              <w:right w:w="70" w:type="dxa"/>
            </w:tcMar>
          </w:tcPr>
          <w:p>
            <w:pPr>
              <w:spacing w:before="0" w:after="0" w:line="252" w:lineRule="auto"/>
            </w:pPr>
            <w:r>
              <w:rPr>
                <w:rFonts w:ascii="Times New Roman" w:hAnsi="Times New Roman"/>
                <w:color w:val="000000"/>
                <w:sz w:val="20"/>
              </w:rPr>
              <w:t>e-Porcha &amp; Record Lookup (land.gov.bd)</w:t>
            </w:r>
          </w:p>
        </w:tc>
        <w:tc>
          <w:tcPr>
            <w:tcW w:type="dxa" w:w="3168"/>
            <w:tcMar>
              <w:top w:w="40" w:type="dxa"/>
              <w:bottom w:w="40" w:type="dxa"/>
              <w:left w:w="70" w:type="dxa"/>
              <w:right w:w="70" w:type="dxa"/>
            </w:tcMar>
          </w:tcPr>
          <w:p>
            <w:pPr>
              <w:spacing w:before="0" w:after="0" w:line="252" w:lineRule="auto"/>
            </w:pPr>
            <w:r>
              <w:rPr>
                <w:rFonts w:ascii="Times New Roman" w:hAnsi="Times New Roman"/>
                <w:color w:val="000000"/>
                <w:sz w:val="20"/>
              </w:rPr>
              <w:t>Shows individual survey records but cannot verify whether the seller has already sold their share to someone else.</w:t>
            </w:r>
          </w:p>
        </w:tc>
        <w:tc>
          <w:tcPr>
            <w:tcW w:type="dxa" w:w="4608"/>
            <w:tcMar>
              <w:top w:w="40" w:type="dxa"/>
              <w:bottom w:w="40" w:type="dxa"/>
              <w:left w:w="70" w:type="dxa"/>
              <w:right w:w="70" w:type="dxa"/>
            </w:tcMar>
          </w:tcPr>
          <w:p>
            <w:pPr>
              <w:spacing w:before="0" w:after="0" w:line="252" w:lineRule="auto"/>
            </w:pPr>
            <w:r>
              <w:rPr>
                <w:rFonts w:ascii="Times New Roman" w:hAnsi="Times New Roman"/>
                <w:color w:val="000000"/>
                <w:sz w:val="20"/>
              </w:rPr>
              <w:t>Builds an automated Transaction Timeline connecting CS-SA-RS-BS and tracking live remaining seller decimals.</w:t>
            </w:r>
          </w:p>
        </w:tc>
      </w:tr>
      <w:tr>
        <w:tc>
          <w:tcPr>
            <w:tcW w:type="dxa" w:w="2592"/>
            <w:tcMar>
              <w:top w:w="40" w:type="dxa"/>
              <w:bottom w:w="40" w:type="dxa"/>
              <w:left w:w="70" w:type="dxa"/>
              <w:right w:w="70" w:type="dxa"/>
            </w:tcMar>
          </w:tcPr>
          <w:p>
            <w:pPr>
              <w:spacing w:before="0" w:after="0" w:line="252" w:lineRule="auto"/>
            </w:pPr>
            <w:r>
              <w:rPr>
                <w:rFonts w:ascii="Times New Roman" w:hAnsi="Times New Roman"/>
                <w:color w:val="000000"/>
                <w:sz w:val="20"/>
              </w:rPr>
              <w:t>Sub-Registry Deed Registration</w:t>
            </w:r>
          </w:p>
        </w:tc>
        <w:tc>
          <w:tcPr>
            <w:tcW w:type="dxa" w:w="3168"/>
            <w:tcMar>
              <w:top w:w="40" w:type="dxa"/>
              <w:bottom w:w="40" w:type="dxa"/>
              <w:left w:w="70" w:type="dxa"/>
              <w:right w:w="70" w:type="dxa"/>
            </w:tcMar>
          </w:tcPr>
          <w:p>
            <w:pPr>
              <w:spacing w:before="0" w:after="0" w:line="252" w:lineRule="auto"/>
            </w:pPr>
            <w:r>
              <w:rPr>
                <w:rFonts w:ascii="Times New Roman" w:hAnsi="Times New Roman"/>
                <w:color w:val="000000"/>
                <w:sz w:val="20"/>
              </w:rPr>
              <w:t>Registers deeds based on presented papers without verifying live mutation records or checking duplicate sales.</w:t>
            </w:r>
          </w:p>
        </w:tc>
        <w:tc>
          <w:tcPr>
            <w:tcW w:type="dxa" w:w="4608"/>
            <w:tcMar>
              <w:top w:w="40" w:type="dxa"/>
              <w:bottom w:w="40" w:type="dxa"/>
              <w:left w:w="70" w:type="dxa"/>
              <w:right w:w="70" w:type="dxa"/>
            </w:tcMar>
          </w:tcPr>
          <w:p>
            <w:pPr>
              <w:spacing w:before="0" w:after="0" w:line="252" w:lineRule="auto"/>
            </w:pPr>
            <w:r>
              <w:rPr>
                <w:rFonts w:ascii="Times New Roman" w:hAnsi="Times New Roman"/>
                <w:color w:val="000000"/>
                <w:sz w:val="20"/>
              </w:rPr>
              <w:t>Deterministic Rule Engine cross-checks past deeds, catches duplicate sales, and identifies registered deeds lacking mutation.</w:t>
            </w:r>
          </w:p>
        </w:tc>
      </w:tr>
      <w:tr>
        <w:tc>
          <w:tcPr>
            <w:tcW w:type="dxa" w:w="2592"/>
            <w:tcMar>
              <w:top w:w="40" w:type="dxa"/>
              <w:bottom w:w="40" w:type="dxa"/>
              <w:left w:w="70" w:type="dxa"/>
              <w:right w:w="70" w:type="dxa"/>
            </w:tcMar>
          </w:tcPr>
          <w:p>
            <w:pPr>
              <w:spacing w:before="0" w:after="0" w:line="252" w:lineRule="auto"/>
            </w:pPr>
            <w:r>
              <w:rPr>
                <w:rFonts w:ascii="Times New Roman" w:hAnsi="Times New Roman"/>
                <w:color w:val="000000"/>
                <w:sz w:val="20"/>
              </w:rPr>
              <w:t>Photocopy Document Verification</w:t>
            </w:r>
          </w:p>
        </w:tc>
        <w:tc>
          <w:tcPr>
            <w:tcW w:type="dxa" w:w="3168"/>
            <w:tcMar>
              <w:top w:w="40" w:type="dxa"/>
              <w:bottom w:w="40" w:type="dxa"/>
              <w:left w:w="70" w:type="dxa"/>
              <w:right w:w="70" w:type="dxa"/>
            </w:tcMar>
          </w:tcPr>
          <w:p>
            <w:pPr>
              <w:spacing w:before="0" w:after="0" w:line="252" w:lineRule="auto"/>
            </w:pPr>
            <w:r>
              <w:rPr>
                <w:rFonts w:ascii="Times New Roman" w:hAnsi="Times New Roman"/>
                <w:color w:val="000000"/>
                <w:sz w:val="20"/>
              </w:rPr>
              <w:t>Officers and buyers have no automated tool to detect altered numbers, dates, or names on photocopy deeds.</w:t>
            </w:r>
          </w:p>
        </w:tc>
        <w:tc>
          <w:tcPr>
            <w:tcW w:type="dxa" w:w="4608"/>
            <w:tcMar>
              <w:top w:w="40" w:type="dxa"/>
              <w:bottom w:w="40" w:type="dxa"/>
              <w:left w:w="70" w:type="dxa"/>
              <w:right w:w="70" w:type="dxa"/>
            </w:tcMar>
          </w:tcPr>
          <w:p>
            <w:pPr>
              <w:spacing w:before="0" w:after="0" w:line="252" w:lineRule="auto"/>
            </w:pPr>
            <w:r>
              <w:rPr>
                <w:rFonts w:ascii="Times New Roman" w:hAnsi="Times New Roman"/>
                <w:color w:val="000000"/>
                <w:sz w:val="20"/>
              </w:rPr>
              <w:t>Smart Document Diff tool provides side-by-side visual and OCR comparison to highlight tampered text and numbers in red.</w:t>
            </w:r>
          </w:p>
        </w:tc>
      </w:tr>
      <w:tr>
        <w:tc>
          <w:tcPr>
            <w:tcW w:type="dxa" w:w="2592"/>
            <w:tcMar>
              <w:top w:w="40" w:type="dxa"/>
              <w:bottom w:w="40" w:type="dxa"/>
              <w:left w:w="70" w:type="dxa"/>
              <w:right w:w="70" w:type="dxa"/>
            </w:tcMar>
          </w:tcPr>
          <w:p>
            <w:pPr>
              <w:spacing w:before="0" w:after="0" w:line="252" w:lineRule="auto"/>
            </w:pPr>
            <w:r>
              <w:rPr>
                <w:rFonts w:ascii="Times New Roman" w:hAnsi="Times New Roman"/>
                <w:color w:val="000000"/>
                <w:sz w:val="20"/>
              </w:rPr>
              <w:t>Fraud Syndicate Monitoring</w:t>
            </w:r>
          </w:p>
        </w:tc>
        <w:tc>
          <w:tcPr>
            <w:tcW w:type="dxa" w:w="3168"/>
            <w:tcMar>
              <w:top w:w="40" w:type="dxa"/>
              <w:bottom w:w="40" w:type="dxa"/>
              <w:left w:w="70" w:type="dxa"/>
              <w:right w:w="70" w:type="dxa"/>
            </w:tcMar>
          </w:tcPr>
          <w:p>
            <w:pPr>
              <w:spacing w:before="0" w:after="0" w:line="252" w:lineRule="auto"/>
            </w:pPr>
            <w:r>
              <w:rPr>
                <w:rFonts w:ascii="Times New Roman" w:hAnsi="Times New Roman"/>
                <w:color w:val="000000"/>
                <w:sz w:val="20"/>
              </w:rPr>
              <w:t>No government system connects repeat fraudsters across different sub-registries and AC land jurisdictions.</w:t>
            </w:r>
          </w:p>
        </w:tc>
        <w:tc>
          <w:tcPr>
            <w:tcW w:type="dxa" w:w="4608"/>
            <w:tcMar>
              <w:top w:w="40" w:type="dxa"/>
              <w:bottom w:w="40" w:type="dxa"/>
              <w:left w:w="70" w:type="dxa"/>
              <w:right w:w="70" w:type="dxa"/>
            </w:tcMar>
          </w:tcPr>
          <w:p>
            <w:pPr>
              <w:spacing w:before="0" w:after="0" w:line="252" w:lineRule="auto"/>
            </w:pPr>
            <w:r>
              <w:rPr>
                <w:rFonts w:ascii="Times New Roman" w:hAnsi="Times New Roman"/>
                <w:color w:val="000000"/>
                <w:sz w:val="20"/>
              </w:rPr>
              <w:t>Fraud Network Graph visually models buyers, sellers, brokers, and disputed plots on an interactive node-link graph.</w:t>
            </w:r>
          </w:p>
        </w:tc>
      </w:tr>
    </w:tbl>
    <w:p>
      <w:pPr>
        <w:keepNext/>
        <w:spacing w:before="120" w:after="40" w:line="252" w:lineRule="auto"/>
      </w:pPr>
      <w:r>
        <w:rPr>
          <w:rFonts w:ascii="Times New Roman" w:hAnsi="Times New Roman"/>
          <w:b/>
          <w:color w:val="000000"/>
          <w:sz w:val="24"/>
        </w:rPr>
        <w:t>4 System Workflow</w:t>
      </w:r>
    </w:p>
    <w:p>
      <w:pPr>
        <w:spacing w:before="0" w:after="60" w:line="254" w:lineRule="auto"/>
      </w:pPr>
      <w:r>
        <w:rPr>
          <w:rFonts w:ascii="Times New Roman" w:hAnsi="Times New Roman"/>
          <w:color w:val="000000"/>
          <w:sz w:val="24"/>
        </w:rPr>
        <w:t>The BHUMIverse platform follows a structured 7-step fraud detection workflow:</w:t>
      </w:r>
    </w:p>
    <w:p>
      <w:pPr>
        <w:pStyle w:val="ListBullet"/>
        <w:spacing w:before="0" w:after="40" w:line="252" w:lineRule="auto"/>
      </w:pPr>
      <w:r>
        <w:rPr>
          <w:rFonts w:ascii="Times New Roman" w:hAnsi="Times New Roman"/>
          <w:b/>
          <w:color w:val="000000"/>
          <w:sz w:val="24"/>
        </w:rPr>
        <w:t xml:space="preserve">Step 1 (Access Platform): </w:t>
      </w:r>
      <w:r>
        <w:rPr>
          <w:rFonts w:ascii="Times New Roman" w:hAnsi="Times New Roman"/>
          <w:color w:val="000000"/>
          <w:sz w:val="24"/>
        </w:rPr>
        <w:t>Citizen accesses the web portal and logs in (or tests pre-loaded benchmark fraud cases).</w:t>
      </w:r>
    </w:p>
    <w:p>
      <w:pPr>
        <w:pStyle w:val="ListBullet"/>
        <w:spacing w:before="0" w:after="40" w:line="252" w:lineRule="auto"/>
      </w:pPr>
      <w:r>
        <w:rPr>
          <w:rFonts w:ascii="Times New Roman" w:hAnsi="Times New Roman"/>
          <w:b/>
          <w:color w:val="000000"/>
          <w:sz w:val="24"/>
        </w:rPr>
        <w:t xml:space="preserve">Step 2 (Select Land Parcel): </w:t>
      </w:r>
      <w:r>
        <w:rPr>
          <w:rFonts w:ascii="Times New Roman" w:hAnsi="Times New Roman"/>
          <w:color w:val="000000"/>
          <w:sz w:val="24"/>
        </w:rPr>
        <w:t>User enters District, Upazila, Mouza, JL Number, Dag, and Khatian number to retrieve historical records.</w:t>
      </w:r>
    </w:p>
    <w:p>
      <w:pPr>
        <w:pStyle w:val="ListBullet"/>
        <w:spacing w:before="0" w:after="40" w:line="252" w:lineRule="auto"/>
      </w:pPr>
      <w:r>
        <w:rPr>
          <w:rFonts w:ascii="Times New Roman" w:hAnsi="Times New Roman"/>
          <w:b/>
          <w:color w:val="000000"/>
          <w:sz w:val="24"/>
        </w:rPr>
        <w:t xml:space="preserve">Step 3 (Upload Evidence): </w:t>
      </w:r>
      <w:r>
        <w:rPr>
          <w:rFonts w:ascii="Times New Roman" w:hAnsi="Times New Roman"/>
          <w:color w:val="000000"/>
          <w:sz w:val="24"/>
        </w:rPr>
        <w:t>User uploads scanned deeds or porchas. The system generates a cryptographic SHA-256 fingerprint to immediately flag duplicate file submissions.</w:t>
      </w:r>
    </w:p>
    <w:p>
      <w:pPr>
        <w:pStyle w:val="ListBullet"/>
        <w:spacing w:before="0" w:after="40" w:line="252" w:lineRule="auto"/>
      </w:pPr>
      <w:r>
        <w:rPr>
          <w:rFonts w:ascii="Times New Roman" w:hAnsi="Times New Roman"/>
          <w:b/>
          <w:color w:val="000000"/>
          <w:sz w:val="24"/>
        </w:rPr>
        <w:t xml:space="preserve">Step 4 (Run Fraud Engine): </w:t>
      </w:r>
      <w:r>
        <w:rPr>
          <w:rFonts w:ascii="Times New Roman" w:hAnsi="Times New Roman"/>
          <w:color w:val="000000"/>
          <w:sz w:val="24"/>
        </w:rPr>
        <w:t>User enters proposed purchase area. The engine runs 5 deterministic fraud rules: remaining seller share, survey continuity, registered mortgage, court litigation, and khas/acquisition status.</w:t>
      </w:r>
    </w:p>
    <w:p>
      <w:pPr>
        <w:pStyle w:val="ListBullet"/>
        <w:spacing w:before="0" w:after="40" w:line="252" w:lineRule="auto"/>
      </w:pPr>
      <w:r>
        <w:rPr>
          <w:rFonts w:ascii="Times New Roman" w:hAnsi="Times New Roman"/>
          <w:b/>
          <w:color w:val="000000"/>
          <w:sz w:val="24"/>
        </w:rPr>
        <w:t xml:space="preserve">Step 5 (Visual Diagnostics): </w:t>
      </w:r>
      <w:r>
        <w:rPr>
          <w:rFonts w:ascii="Times New Roman" w:hAnsi="Times New Roman"/>
          <w:color w:val="000000"/>
          <w:sz w:val="24"/>
        </w:rPr>
        <w:t>Results are displayed on an Explainable Radar Chart (covering Authenticity, Continuity, Custody, Encumbrance, and Consistency) and an interactive Fraud Network Graph.</w:t>
      </w:r>
    </w:p>
    <w:p>
      <w:pPr>
        <w:pStyle w:val="ListBullet"/>
        <w:spacing w:before="0" w:after="40" w:line="252" w:lineRule="auto"/>
      </w:pPr>
      <w:r>
        <w:rPr>
          <w:rFonts w:ascii="Times New Roman" w:hAnsi="Times New Roman"/>
          <w:b/>
          <w:color w:val="000000"/>
          <w:sz w:val="24"/>
        </w:rPr>
        <w:t xml:space="preserve">Step 6 (Download Audit Report): </w:t>
      </w:r>
      <w:r>
        <w:rPr>
          <w:rFonts w:ascii="Times New Roman" w:hAnsi="Times New Roman"/>
          <w:color w:val="000000"/>
          <w:sz w:val="24"/>
        </w:rPr>
        <w:t>Platform generates a comprehensive Land Verification Report with an overall Risk Score (Low, Medium, High), audit verification hash, and downloadable PDF report.</w:t>
      </w:r>
    </w:p>
    <w:p>
      <w:pPr>
        <w:pStyle w:val="ListBullet"/>
        <w:spacing w:before="0" w:after="40" w:line="252" w:lineRule="auto"/>
      </w:pPr>
      <w:r>
        <w:rPr>
          <w:rFonts w:ascii="Times New Roman" w:hAnsi="Times New Roman"/>
          <w:b/>
          <w:color w:val="000000"/>
          <w:sz w:val="24"/>
        </w:rPr>
        <w:t xml:space="preserve">Step 7 (Case Review &amp; Next Steps): </w:t>
      </w:r>
      <w:r>
        <w:rPr>
          <w:rFonts w:ascii="Times New Roman" w:hAnsi="Times New Roman"/>
          <w:color w:val="000000"/>
          <w:sz w:val="24"/>
        </w:rPr>
        <w:t>Citizens or reviewers can flag contested records for secondary human review and log immutable audit events.</w:t>
      </w:r>
    </w:p>
    <w:p>
      <w:pPr>
        <w:spacing w:before="0" w:after="60" w:line="254" w:lineRule="auto"/>
      </w:pPr>
      <w:r>
        <w:rPr>
          <w:rFonts w:ascii="Times New Roman" w:hAnsi="Times New Roman"/>
          <w:b/>
          <w:color w:val="000000"/>
          <w:sz w:val="24"/>
        </w:rPr>
        <w:t xml:space="preserve">Real-World Double-Selling Example: </w:t>
      </w:r>
      <w:r>
        <w:rPr>
          <w:rFonts w:ascii="Times New Roman" w:hAnsi="Times New Roman"/>
          <w:color w:val="000000"/>
          <w:sz w:val="24"/>
        </w:rPr>
        <w:t>A seller owns 10 decimal in Savar Mouza (Dag 10482). In 2021, the seller sold 6 decimal to Buyer A via Deed No. 4821. Buyer A delayed filing for mutation. In 2023, the seller produces an old khatian copy showing 10 decimal and attempts to sell 8 decimal to Buyer B. The BHUMIverse rule engine analyzes past deed transfers and discovers that only 4 decimal remain. When 8 decimal is entered, the system triggers a Critical Double-Selling Alert (6 + 8 = 14 &gt; 10 decimal), stopping the fraudulent sale immediately.</w:t>
      </w:r>
    </w:p>
    <w:p>
      <w:pPr>
        <w:keepNext/>
        <w:spacing w:before="120" w:after="40" w:line="252" w:lineRule="auto"/>
      </w:pPr>
      <w:r>
        <w:rPr>
          <w:rFonts w:ascii="Times New Roman" w:hAnsi="Times New Roman"/>
          <w:b/>
          <w:color w:val="000000"/>
          <w:sz w:val="24"/>
        </w:rPr>
        <w:t>5 Architecture and Implementation Method</w:t>
      </w:r>
    </w:p>
    <w:p>
      <w:pPr>
        <w:spacing w:before="0" w:after="60" w:line="254" w:lineRule="auto"/>
      </w:pPr>
      <w:r>
        <w:rPr>
          <w:rFonts w:ascii="Times New Roman" w:hAnsi="Times New Roman"/>
          <w:color w:val="000000"/>
          <w:sz w:val="24"/>
        </w:rPr>
        <w:t>BHUMIverse is engineered with modern, robust, scalable technologies:</w:t>
      </w:r>
    </w:p>
    <w:p>
      <w:pPr>
        <w:pStyle w:val="ListBullet"/>
        <w:spacing w:before="0" w:after="40" w:line="252" w:lineRule="auto"/>
      </w:pPr>
      <w:r>
        <w:rPr>
          <w:rFonts w:ascii="Times New Roman" w:hAnsi="Times New Roman"/>
          <w:b/>
          <w:color w:val="000000"/>
          <w:sz w:val="24"/>
        </w:rPr>
        <w:t xml:space="preserve">Frontend Web Application: </w:t>
      </w:r>
      <w:r>
        <w:rPr>
          <w:rFonts w:ascii="Times New Roman" w:hAnsi="Times New Roman"/>
          <w:color w:val="000000"/>
          <w:sz w:val="24"/>
        </w:rPr>
        <w:t>Next.js 16 (App Router), React 19, TypeScript, and Tailwind CSS. Features Vis-network for interactive fraud syndicate graphs, Chart.js/SVG for explainable radar charts, and full dual-language support (English and Bengali).</w:t>
      </w:r>
    </w:p>
    <w:p>
      <w:pPr>
        <w:pStyle w:val="ListBullet"/>
        <w:spacing w:before="0" w:after="40" w:line="252" w:lineRule="auto"/>
      </w:pPr>
      <w:r>
        <w:rPr>
          <w:rFonts w:ascii="Times New Roman" w:hAnsi="Times New Roman"/>
          <w:b/>
          <w:color w:val="000000"/>
          <w:sz w:val="24"/>
        </w:rPr>
        <w:t xml:space="preserve">Backend REST API: </w:t>
      </w:r>
      <w:r>
        <w:rPr>
          <w:rFonts w:ascii="Times New Roman" w:hAnsi="Times New Roman"/>
          <w:color w:val="000000"/>
          <w:sz w:val="24"/>
        </w:rPr>
        <w:t>FastAPI (Python 3.11) with Pydantic v2 schemas. Implements deterministic rule engines, SHA-256 file fingerprinting, and audit logging services.</w:t>
      </w:r>
    </w:p>
    <w:p>
      <w:pPr>
        <w:pStyle w:val="ListBullet"/>
        <w:spacing w:before="0" w:after="40" w:line="252" w:lineRule="auto"/>
      </w:pPr>
      <w:r>
        <w:rPr>
          <w:rFonts w:ascii="Times New Roman" w:hAnsi="Times New Roman"/>
          <w:b/>
          <w:color w:val="000000"/>
          <w:sz w:val="24"/>
        </w:rPr>
        <w:t xml:space="preserve">Database &amp; Authentication: </w:t>
      </w:r>
      <w:r>
        <w:rPr>
          <w:rFonts w:ascii="Times New Roman" w:hAnsi="Times New Roman"/>
          <w:color w:val="000000"/>
          <w:sz w:val="24"/>
        </w:rPr>
        <w:t>Supabase (PostgreSQL with Row-Level Security) managing user accounts, parcel metadata, case histories, and audit trails.</w:t>
      </w:r>
    </w:p>
    <w:p>
      <w:pPr>
        <w:pStyle w:val="ListBullet"/>
        <w:spacing w:before="0" w:after="40" w:line="252" w:lineRule="auto"/>
      </w:pPr>
      <w:r>
        <w:rPr>
          <w:rFonts w:ascii="Times New Roman" w:hAnsi="Times New Roman"/>
          <w:b/>
          <w:color w:val="000000"/>
          <w:sz w:val="24"/>
        </w:rPr>
        <w:t xml:space="preserve">Smart Document Diff Engine: </w:t>
      </w:r>
      <w:r>
        <w:rPr>
          <w:rFonts w:ascii="Times New Roman" w:hAnsi="Times New Roman"/>
          <w:color w:val="000000"/>
          <w:sz w:val="24"/>
        </w:rPr>
        <w:t>Side-by-side visual difference tool that compares original deed templates against altered uploaded documents to highlight modified text or numbers.</w:t>
      </w:r>
    </w:p>
    <w:p>
      <w:pPr>
        <w:pStyle w:val="ListBullet"/>
        <w:spacing w:before="0" w:after="40" w:line="252" w:lineRule="auto"/>
      </w:pPr>
      <w:r>
        <w:rPr>
          <w:rFonts w:ascii="Times New Roman" w:hAnsi="Times New Roman"/>
          <w:b/>
          <w:color w:val="000000"/>
          <w:sz w:val="24"/>
        </w:rPr>
        <w:t xml:space="preserve">Deployment: </w:t>
      </w:r>
      <w:r>
        <w:rPr>
          <w:rFonts w:ascii="Times New Roman" w:hAnsi="Times New Roman"/>
          <w:color w:val="000000"/>
          <w:sz w:val="24"/>
        </w:rPr>
        <w:t>Vercel production build for frontend and cloud-ready Dockerized backend architecture.</w:t>
      </w:r>
    </w:p>
    <w:p>
      <w:pPr>
        <w:keepNext/>
        <w:spacing w:before="120" w:after="40" w:line="252" w:lineRule="auto"/>
      </w:pPr>
      <w:r>
        <w:rPr>
          <w:rFonts w:ascii="Times New Roman" w:hAnsi="Times New Roman"/>
          <w:b/>
          <w:color w:val="000000"/>
          <w:sz w:val="24"/>
        </w:rPr>
        <w:t>6 Actual Development Progress</w:t>
      </w:r>
    </w:p>
    <w:p>
      <w:pPr>
        <w:spacing w:before="0" w:after="60" w:line="254" w:lineRule="auto"/>
      </w:pPr>
      <w:r>
        <w:rPr>
          <w:rFonts w:ascii="Times New Roman" w:hAnsi="Times New Roman"/>
          <w:color w:val="000000"/>
          <w:sz w:val="24"/>
        </w:rPr>
        <w:t>Status as of 18 October 2026: The BHUMIverse prototype is fully built, tested, and operational. All core features can be tested live.</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CCCCCC"/>
          <w:insideV w:val="none"/>
          <w:left w:val="none"/>
          <w:right w:val="none"/>
        </w:tblBorders>
      </w:tblPr>
      <w:tblGrid>
        <w:gridCol w:w="3456"/>
        <w:gridCol w:w="3456"/>
        <w:gridCol w:w="3456"/>
      </w:tblGrid>
      <w:tr>
        <w:tc>
          <w:tcPr>
            <w:tcW w:type="dxa" w:w="2592"/>
            <w:tcMar>
              <w:top w:w="50" w:type="dxa"/>
              <w:bottom w:w="50" w:type="dxa"/>
              <w:left w:w="70" w:type="dxa"/>
              <w:right w:w="70" w:type="dxa"/>
            </w:tcMar>
          </w:tcPr>
          <w:p>
            <w:pPr>
              <w:spacing w:before="0" w:after="0" w:line="252" w:lineRule="auto"/>
            </w:pPr>
            <w:r>
              <w:rPr>
                <w:rFonts w:ascii="Times New Roman" w:hAnsi="Times New Roman"/>
                <w:b/>
                <w:color w:val="000000"/>
                <w:sz w:val="21"/>
              </w:rPr>
              <w:t>P3 Fraud Module</w:t>
            </w:r>
          </w:p>
        </w:tc>
        <w:tc>
          <w:tcPr>
            <w:tcW w:type="dxa" w:w="2592"/>
            <w:tcMar>
              <w:top w:w="50" w:type="dxa"/>
              <w:bottom w:w="50" w:type="dxa"/>
              <w:left w:w="70" w:type="dxa"/>
              <w:right w:w="70" w:type="dxa"/>
            </w:tcMar>
          </w:tcPr>
          <w:p>
            <w:pPr>
              <w:spacing w:before="0" w:after="0" w:line="252" w:lineRule="auto"/>
            </w:pPr>
            <w:r>
              <w:rPr>
                <w:rFonts w:ascii="Times New Roman" w:hAnsi="Times New Roman"/>
                <w:b/>
                <w:color w:val="000000"/>
                <w:sz w:val="21"/>
              </w:rPr>
              <w:t>Development Status</w:t>
            </w:r>
          </w:p>
        </w:tc>
        <w:tc>
          <w:tcPr>
            <w:tcW w:type="dxa" w:w="5184"/>
            <w:tcMar>
              <w:top w:w="50" w:type="dxa"/>
              <w:bottom w:w="50" w:type="dxa"/>
              <w:left w:w="70" w:type="dxa"/>
              <w:right w:w="70" w:type="dxa"/>
            </w:tcMar>
          </w:tcPr>
          <w:p>
            <w:pPr>
              <w:spacing w:before="0" w:after="0" w:line="252" w:lineRule="auto"/>
            </w:pPr>
            <w:r>
              <w:rPr>
                <w:rFonts w:ascii="Times New Roman" w:hAnsi="Times New Roman"/>
                <w:b/>
                <w:color w:val="000000"/>
                <w:sz w:val="21"/>
              </w:rPr>
              <w:t>Demonstrated Capabilities in Prototype</w:t>
            </w:r>
          </w:p>
        </w:tc>
      </w:tr>
      <w:tr>
        <w:tc>
          <w:tcPr>
            <w:tcW w:type="dxa" w:w="2592"/>
            <w:tcMar>
              <w:top w:w="40" w:type="dxa"/>
              <w:bottom w:w="40" w:type="dxa"/>
              <w:left w:w="70" w:type="dxa"/>
              <w:right w:w="70" w:type="dxa"/>
            </w:tcMar>
          </w:tcPr>
          <w:p>
            <w:pPr>
              <w:spacing w:before="0" w:after="0" w:line="252" w:lineRule="auto"/>
            </w:pPr>
            <w:r>
              <w:rPr>
                <w:rFonts w:ascii="Times New Roman" w:hAnsi="Times New Roman"/>
                <w:color w:val="000000"/>
                <w:sz w:val="20"/>
              </w:rPr>
              <w:t>Double-Selling Detection Engine</w:t>
            </w:r>
          </w:p>
        </w:tc>
        <w:tc>
          <w:tcPr>
            <w:tcW w:type="dxa" w:w="2592"/>
            <w:tcMar>
              <w:top w:w="40" w:type="dxa"/>
              <w:bottom w:w="40" w:type="dxa"/>
              <w:left w:w="70" w:type="dxa"/>
              <w:right w:w="70" w:type="dxa"/>
            </w:tcMar>
          </w:tcPr>
          <w:p>
            <w:pPr>
              <w:spacing w:before="0" w:after="0" w:line="252" w:lineRule="auto"/>
            </w:pPr>
            <w:r>
              <w:rPr>
                <w:rFonts w:ascii="Times New Roman" w:hAnsi="Times New Roman"/>
                <w:color w:val="000000"/>
                <w:sz w:val="20"/>
              </w:rPr>
              <w:t>100% Implemented</w:t>
            </w:r>
          </w:p>
        </w:tc>
        <w:tc>
          <w:tcPr>
            <w:tcW w:type="dxa" w:w="5184"/>
            <w:tcMar>
              <w:top w:w="40" w:type="dxa"/>
              <w:bottom w:w="40" w:type="dxa"/>
              <w:left w:w="70" w:type="dxa"/>
              <w:right w:w="70" w:type="dxa"/>
            </w:tcMar>
          </w:tcPr>
          <w:p>
            <w:pPr>
              <w:spacing w:before="0" w:after="0" w:line="252" w:lineRule="auto"/>
            </w:pPr>
            <w:r>
              <w:rPr>
                <w:rFonts w:ascii="Times New Roman" w:hAnsi="Times New Roman"/>
                <w:color w:val="000000"/>
                <w:sz w:val="20"/>
              </w:rPr>
              <w:t>Computes remaining seller share balance; alerts when proposed sale exceeds owned decimals.</w:t>
            </w:r>
          </w:p>
        </w:tc>
      </w:tr>
      <w:tr>
        <w:tc>
          <w:tcPr>
            <w:tcW w:type="dxa" w:w="2592"/>
            <w:tcMar>
              <w:top w:w="40" w:type="dxa"/>
              <w:bottom w:w="40" w:type="dxa"/>
              <w:left w:w="70" w:type="dxa"/>
              <w:right w:w="70" w:type="dxa"/>
            </w:tcMar>
          </w:tcPr>
          <w:p>
            <w:pPr>
              <w:spacing w:before="0" w:after="0" w:line="252" w:lineRule="auto"/>
            </w:pPr>
            <w:r>
              <w:rPr>
                <w:rFonts w:ascii="Times New Roman" w:hAnsi="Times New Roman"/>
                <w:color w:val="000000"/>
                <w:sz w:val="20"/>
              </w:rPr>
              <w:t>Smart Document Diff Tool</w:t>
            </w:r>
          </w:p>
        </w:tc>
        <w:tc>
          <w:tcPr>
            <w:tcW w:type="dxa" w:w="2592"/>
            <w:tcMar>
              <w:top w:w="40" w:type="dxa"/>
              <w:bottom w:w="40" w:type="dxa"/>
              <w:left w:w="70" w:type="dxa"/>
              <w:right w:w="70" w:type="dxa"/>
            </w:tcMar>
          </w:tcPr>
          <w:p>
            <w:pPr>
              <w:spacing w:before="0" w:after="0" w:line="252" w:lineRule="auto"/>
            </w:pPr>
            <w:r>
              <w:rPr>
                <w:rFonts w:ascii="Times New Roman" w:hAnsi="Times New Roman"/>
                <w:color w:val="000000"/>
                <w:sz w:val="20"/>
              </w:rPr>
              <w:t>100% Implemented</w:t>
            </w:r>
          </w:p>
        </w:tc>
        <w:tc>
          <w:tcPr>
            <w:tcW w:type="dxa" w:w="5184"/>
            <w:tcMar>
              <w:top w:w="40" w:type="dxa"/>
              <w:bottom w:w="40" w:type="dxa"/>
              <w:left w:w="70" w:type="dxa"/>
              <w:right w:w="70" w:type="dxa"/>
            </w:tcMar>
          </w:tcPr>
          <w:p>
            <w:pPr>
              <w:spacing w:before="0" w:after="0" w:line="252" w:lineRule="auto"/>
            </w:pPr>
            <w:r>
              <w:rPr>
                <w:rFonts w:ascii="Times New Roman" w:hAnsi="Times New Roman"/>
                <w:color w:val="000000"/>
                <w:sz w:val="20"/>
              </w:rPr>
              <w:t>Side-by-side deed diffing; visual red-highlighting of altered text and dates; confidence scoring.</w:t>
            </w:r>
          </w:p>
        </w:tc>
      </w:tr>
      <w:tr>
        <w:tc>
          <w:tcPr>
            <w:tcW w:type="dxa" w:w="2592"/>
            <w:tcMar>
              <w:top w:w="40" w:type="dxa"/>
              <w:bottom w:w="40" w:type="dxa"/>
              <w:left w:w="70" w:type="dxa"/>
              <w:right w:w="70" w:type="dxa"/>
            </w:tcMar>
          </w:tcPr>
          <w:p>
            <w:pPr>
              <w:spacing w:before="0" w:after="0" w:line="252" w:lineRule="auto"/>
            </w:pPr>
            <w:r>
              <w:rPr>
                <w:rFonts w:ascii="Times New Roman" w:hAnsi="Times New Roman"/>
                <w:color w:val="000000"/>
                <w:sz w:val="20"/>
              </w:rPr>
              <w:t>Fraud Network Graph</w:t>
            </w:r>
          </w:p>
        </w:tc>
        <w:tc>
          <w:tcPr>
            <w:tcW w:type="dxa" w:w="2592"/>
            <w:tcMar>
              <w:top w:w="40" w:type="dxa"/>
              <w:bottom w:w="40" w:type="dxa"/>
              <w:left w:w="70" w:type="dxa"/>
              <w:right w:w="70" w:type="dxa"/>
            </w:tcMar>
          </w:tcPr>
          <w:p>
            <w:pPr>
              <w:spacing w:before="0" w:after="0" w:line="252" w:lineRule="auto"/>
            </w:pPr>
            <w:r>
              <w:rPr>
                <w:rFonts w:ascii="Times New Roman" w:hAnsi="Times New Roman"/>
                <w:color w:val="000000"/>
                <w:sz w:val="20"/>
              </w:rPr>
              <w:t>100% Implemented</w:t>
            </w:r>
          </w:p>
        </w:tc>
        <w:tc>
          <w:tcPr>
            <w:tcW w:type="dxa" w:w="5184"/>
            <w:tcMar>
              <w:top w:w="40" w:type="dxa"/>
              <w:bottom w:w="40" w:type="dxa"/>
              <w:left w:w="70" w:type="dxa"/>
              <w:right w:w="70" w:type="dxa"/>
            </w:tcMar>
          </w:tcPr>
          <w:p>
            <w:pPr>
              <w:spacing w:before="0" w:after="0" w:line="252" w:lineRule="auto"/>
            </w:pPr>
            <w:r>
              <w:rPr>
                <w:rFonts w:ascii="Times New Roman" w:hAnsi="Times New Roman"/>
                <w:color w:val="000000"/>
                <w:sz w:val="20"/>
              </w:rPr>
              <w:t>Interactive physics-based node graph showing linked buyers, sellers, disputed plots, and fraud syndicates.</w:t>
            </w:r>
          </w:p>
        </w:tc>
      </w:tr>
      <w:tr>
        <w:tc>
          <w:tcPr>
            <w:tcW w:type="dxa" w:w="2592"/>
            <w:tcMar>
              <w:top w:w="40" w:type="dxa"/>
              <w:bottom w:w="40" w:type="dxa"/>
              <w:left w:w="70" w:type="dxa"/>
              <w:right w:w="70" w:type="dxa"/>
            </w:tcMar>
          </w:tcPr>
          <w:p>
            <w:pPr>
              <w:spacing w:before="0" w:after="0" w:line="252" w:lineRule="auto"/>
            </w:pPr>
            <w:r>
              <w:rPr>
                <w:rFonts w:ascii="Times New Roman" w:hAnsi="Times New Roman"/>
                <w:color w:val="000000"/>
                <w:sz w:val="20"/>
              </w:rPr>
              <w:t>Registration-Mutation Mismatch</w:t>
            </w:r>
          </w:p>
        </w:tc>
        <w:tc>
          <w:tcPr>
            <w:tcW w:type="dxa" w:w="2592"/>
            <w:tcMar>
              <w:top w:w="40" w:type="dxa"/>
              <w:bottom w:w="40" w:type="dxa"/>
              <w:left w:w="70" w:type="dxa"/>
              <w:right w:w="70" w:type="dxa"/>
            </w:tcMar>
          </w:tcPr>
          <w:p>
            <w:pPr>
              <w:spacing w:before="0" w:after="0" w:line="252" w:lineRule="auto"/>
            </w:pPr>
            <w:r>
              <w:rPr>
                <w:rFonts w:ascii="Times New Roman" w:hAnsi="Times New Roman"/>
                <w:color w:val="000000"/>
                <w:sz w:val="20"/>
              </w:rPr>
              <w:t>100% Implemented</w:t>
            </w:r>
          </w:p>
        </w:tc>
        <w:tc>
          <w:tcPr>
            <w:tcW w:type="dxa" w:w="5184"/>
            <w:tcMar>
              <w:top w:w="40" w:type="dxa"/>
              <w:bottom w:w="40" w:type="dxa"/>
              <w:left w:w="70" w:type="dxa"/>
              <w:right w:w="70" w:type="dxa"/>
            </w:tcMar>
          </w:tcPr>
          <w:p>
            <w:pPr>
              <w:spacing w:before="0" w:after="0" w:line="252" w:lineRule="auto"/>
            </w:pPr>
            <w:r>
              <w:rPr>
                <w:rFonts w:ascii="Times New Roman" w:hAnsi="Times New Roman"/>
                <w:color w:val="000000"/>
                <w:sz w:val="20"/>
              </w:rPr>
              <w:t>Cross-checks registered deeds against AC Land mutation khatians to flag non-mutated ghost titles.</w:t>
            </w:r>
          </w:p>
        </w:tc>
      </w:tr>
      <w:tr>
        <w:tc>
          <w:tcPr>
            <w:tcW w:type="dxa" w:w="2592"/>
            <w:tcMar>
              <w:top w:w="40" w:type="dxa"/>
              <w:bottom w:w="40" w:type="dxa"/>
              <w:left w:w="70" w:type="dxa"/>
              <w:right w:w="70" w:type="dxa"/>
            </w:tcMar>
          </w:tcPr>
          <w:p>
            <w:pPr>
              <w:spacing w:before="0" w:after="0" w:line="252" w:lineRule="auto"/>
            </w:pPr>
            <w:r>
              <w:rPr>
                <w:rFonts w:ascii="Times New Roman" w:hAnsi="Times New Roman"/>
                <w:color w:val="000000"/>
                <w:sz w:val="20"/>
              </w:rPr>
              <w:t>Explainable Radar Chart</w:t>
            </w:r>
          </w:p>
        </w:tc>
        <w:tc>
          <w:tcPr>
            <w:tcW w:type="dxa" w:w="2592"/>
            <w:tcMar>
              <w:top w:w="40" w:type="dxa"/>
              <w:bottom w:w="40" w:type="dxa"/>
              <w:left w:w="70" w:type="dxa"/>
              <w:right w:w="70" w:type="dxa"/>
            </w:tcMar>
          </w:tcPr>
          <w:p>
            <w:pPr>
              <w:spacing w:before="0" w:after="0" w:line="252" w:lineRule="auto"/>
            </w:pPr>
            <w:r>
              <w:rPr>
                <w:rFonts w:ascii="Times New Roman" w:hAnsi="Times New Roman"/>
                <w:color w:val="000000"/>
                <w:sz w:val="20"/>
              </w:rPr>
              <w:t>100% Implemented</w:t>
            </w:r>
          </w:p>
        </w:tc>
        <w:tc>
          <w:tcPr>
            <w:tcW w:type="dxa" w:w="5184"/>
            <w:tcMar>
              <w:top w:w="40" w:type="dxa"/>
              <w:bottom w:w="40" w:type="dxa"/>
              <w:left w:w="70" w:type="dxa"/>
              <w:right w:w="70" w:type="dxa"/>
            </w:tcMar>
          </w:tcPr>
          <w:p>
            <w:pPr>
              <w:spacing w:before="0" w:after="0" w:line="252" w:lineRule="auto"/>
            </w:pPr>
            <w:r>
              <w:rPr>
                <w:rFonts w:ascii="Times New Roman" w:hAnsi="Times New Roman"/>
                <w:color w:val="000000"/>
                <w:sz w:val="20"/>
              </w:rPr>
              <w:t>5-axis radar chart showing exact scores across Authenticity, Continuity, Custody, Encumbrance, and Consistency.</w:t>
            </w:r>
          </w:p>
        </w:tc>
      </w:tr>
      <w:tr>
        <w:tc>
          <w:tcPr>
            <w:tcW w:type="dxa" w:w="2592"/>
            <w:tcMar>
              <w:top w:w="40" w:type="dxa"/>
              <w:bottom w:w="40" w:type="dxa"/>
              <w:left w:w="70" w:type="dxa"/>
              <w:right w:w="70" w:type="dxa"/>
            </w:tcMar>
          </w:tcPr>
          <w:p>
            <w:pPr>
              <w:spacing w:before="0" w:after="0" w:line="252" w:lineRule="auto"/>
            </w:pPr>
            <w:r>
              <w:rPr>
                <w:rFonts w:ascii="Times New Roman" w:hAnsi="Times New Roman"/>
                <w:color w:val="000000"/>
                <w:sz w:val="20"/>
              </w:rPr>
              <w:t>Transaction Timeline</w:t>
            </w:r>
          </w:p>
        </w:tc>
        <w:tc>
          <w:tcPr>
            <w:tcW w:type="dxa" w:w="2592"/>
            <w:tcMar>
              <w:top w:w="40" w:type="dxa"/>
              <w:bottom w:w="40" w:type="dxa"/>
              <w:left w:w="70" w:type="dxa"/>
              <w:right w:w="70" w:type="dxa"/>
            </w:tcMar>
          </w:tcPr>
          <w:p>
            <w:pPr>
              <w:spacing w:before="0" w:after="0" w:line="252" w:lineRule="auto"/>
            </w:pPr>
            <w:r>
              <w:rPr>
                <w:rFonts w:ascii="Times New Roman" w:hAnsi="Times New Roman"/>
                <w:color w:val="000000"/>
                <w:sz w:val="20"/>
              </w:rPr>
              <w:t>100% Implemented</w:t>
            </w:r>
          </w:p>
        </w:tc>
        <w:tc>
          <w:tcPr>
            <w:tcW w:type="dxa" w:w="5184"/>
            <w:tcMar>
              <w:top w:w="40" w:type="dxa"/>
              <w:bottom w:w="40" w:type="dxa"/>
              <w:left w:w="70" w:type="dxa"/>
              <w:right w:w="70" w:type="dxa"/>
            </w:tcMar>
          </w:tcPr>
          <w:p>
            <w:pPr>
              <w:spacing w:before="0" w:after="0" w:line="252" w:lineRule="auto"/>
            </w:pPr>
            <w:r>
              <w:rPr>
                <w:rFonts w:ascii="Times New Roman" w:hAnsi="Times New Roman"/>
                <w:color w:val="000000"/>
                <w:sz w:val="20"/>
              </w:rPr>
              <w:t>Chronological card timeline tracking ownership transfers across CS, SA, RS, and BS survey records.</w:t>
            </w:r>
          </w:p>
        </w:tc>
      </w:tr>
      <w:tr>
        <w:tc>
          <w:tcPr>
            <w:tcW w:type="dxa" w:w="2592"/>
            <w:tcMar>
              <w:top w:w="40" w:type="dxa"/>
              <w:bottom w:w="40" w:type="dxa"/>
              <w:left w:w="70" w:type="dxa"/>
              <w:right w:w="70" w:type="dxa"/>
            </w:tcMar>
          </w:tcPr>
          <w:p>
            <w:pPr>
              <w:spacing w:before="0" w:after="0" w:line="252" w:lineRule="auto"/>
            </w:pPr>
            <w:r>
              <w:rPr>
                <w:rFonts w:ascii="Times New Roman" w:hAnsi="Times New Roman"/>
                <w:color w:val="000000"/>
                <w:sz w:val="20"/>
              </w:rPr>
              <w:t>Bilingual Support (EN / BN)</w:t>
            </w:r>
          </w:p>
        </w:tc>
        <w:tc>
          <w:tcPr>
            <w:tcW w:type="dxa" w:w="2592"/>
            <w:tcMar>
              <w:top w:w="40" w:type="dxa"/>
              <w:bottom w:w="40" w:type="dxa"/>
              <w:left w:w="70" w:type="dxa"/>
              <w:right w:w="70" w:type="dxa"/>
            </w:tcMar>
          </w:tcPr>
          <w:p>
            <w:pPr>
              <w:spacing w:before="0" w:after="0" w:line="252" w:lineRule="auto"/>
            </w:pPr>
            <w:r>
              <w:rPr>
                <w:rFonts w:ascii="Times New Roman" w:hAnsi="Times New Roman"/>
                <w:color w:val="000000"/>
                <w:sz w:val="20"/>
              </w:rPr>
              <w:t>100% Implemented</w:t>
            </w:r>
          </w:p>
        </w:tc>
        <w:tc>
          <w:tcPr>
            <w:tcW w:type="dxa" w:w="5184"/>
            <w:tcMar>
              <w:top w:w="40" w:type="dxa"/>
              <w:bottom w:w="40" w:type="dxa"/>
              <w:left w:w="70" w:type="dxa"/>
              <w:right w:w="70" w:type="dxa"/>
            </w:tcMar>
          </w:tcPr>
          <w:p>
            <w:pPr>
              <w:spacing w:before="0" w:after="0" w:line="252" w:lineRule="auto"/>
            </w:pPr>
            <w:r>
              <w:rPr>
                <w:rFonts w:ascii="Times New Roman" w:hAnsi="Times New Roman"/>
                <w:color w:val="000000"/>
                <w:sz w:val="20"/>
              </w:rPr>
              <w:t>Instant one-click toggle between English and Bengali across all pages, forms, and results.</w:t>
            </w:r>
          </w:p>
        </w:tc>
      </w:tr>
      <w:tr>
        <w:tc>
          <w:tcPr>
            <w:tcW w:type="dxa" w:w="2592"/>
            <w:tcMar>
              <w:top w:w="40" w:type="dxa"/>
              <w:bottom w:w="40" w:type="dxa"/>
              <w:left w:w="70" w:type="dxa"/>
              <w:right w:w="70" w:type="dxa"/>
            </w:tcMar>
          </w:tcPr>
          <w:p>
            <w:pPr>
              <w:spacing w:before="0" w:after="0" w:line="252" w:lineRule="auto"/>
            </w:pPr>
            <w:r>
              <w:rPr>
                <w:rFonts w:ascii="Times New Roman" w:hAnsi="Times New Roman"/>
                <w:color w:val="000000"/>
                <w:sz w:val="20"/>
              </w:rPr>
              <w:t>Supabase Auth &amp; Audit Logs</w:t>
            </w:r>
          </w:p>
        </w:tc>
        <w:tc>
          <w:tcPr>
            <w:tcW w:type="dxa" w:w="2592"/>
            <w:tcMar>
              <w:top w:w="40" w:type="dxa"/>
              <w:bottom w:w="40" w:type="dxa"/>
              <w:left w:w="70" w:type="dxa"/>
              <w:right w:w="70" w:type="dxa"/>
            </w:tcMar>
          </w:tcPr>
          <w:p>
            <w:pPr>
              <w:spacing w:before="0" w:after="0" w:line="252" w:lineRule="auto"/>
            </w:pPr>
            <w:r>
              <w:rPr>
                <w:rFonts w:ascii="Times New Roman" w:hAnsi="Times New Roman"/>
                <w:color w:val="000000"/>
                <w:sz w:val="20"/>
              </w:rPr>
              <w:t>100% Implemented</w:t>
            </w:r>
          </w:p>
        </w:tc>
        <w:tc>
          <w:tcPr>
            <w:tcW w:type="dxa" w:w="5184"/>
            <w:tcMar>
              <w:top w:w="40" w:type="dxa"/>
              <w:bottom w:w="40" w:type="dxa"/>
              <w:left w:w="70" w:type="dxa"/>
              <w:right w:w="70" w:type="dxa"/>
            </w:tcMar>
          </w:tcPr>
          <w:p>
            <w:pPr>
              <w:spacing w:before="0" w:after="0" w:line="252" w:lineRule="auto"/>
            </w:pPr>
            <w:r>
              <w:rPr>
                <w:rFonts w:ascii="Times New Roman" w:hAnsi="Times New Roman"/>
                <w:color w:val="000000"/>
                <w:sz w:val="20"/>
              </w:rPr>
              <w:t>Secure sign-in, case creation, document uploads, and immutable audit logs.</w:t>
            </w:r>
          </w:p>
        </w:tc>
      </w:tr>
    </w:tbl>
    <w:p>
      <w:pPr>
        <w:keepNext/>
        <w:spacing w:before="120" w:after="40" w:line="252" w:lineRule="auto"/>
      </w:pPr>
      <w:r>
        <w:rPr>
          <w:rFonts w:ascii="Times New Roman" w:hAnsi="Times New Roman"/>
          <w:b/>
          <w:color w:val="000000"/>
          <w:sz w:val="24"/>
        </w:rPr>
        <w:t>7 Legal Alignment and Data Protection</w:t>
      </w:r>
    </w:p>
    <w:p>
      <w:pPr>
        <w:spacing w:before="0" w:after="60" w:line="254" w:lineRule="auto"/>
      </w:pPr>
      <w:r>
        <w:rPr>
          <w:rFonts w:ascii="Times New Roman" w:hAnsi="Times New Roman"/>
          <w:color w:val="000000"/>
          <w:sz w:val="24"/>
        </w:rPr>
        <w:t>BHUMIverse is designed in strict compliance with the statutory land laws of Bangladesh:</w:t>
      </w:r>
    </w:p>
    <w:p>
      <w:pPr>
        <w:pStyle w:val="ListBullet"/>
        <w:spacing w:before="0" w:after="40" w:line="252" w:lineRule="auto"/>
      </w:pPr>
      <w:r>
        <w:rPr>
          <w:rFonts w:ascii="Times New Roman" w:hAnsi="Times New Roman"/>
          <w:b/>
          <w:color w:val="000000"/>
          <w:sz w:val="24"/>
        </w:rPr>
        <w:t xml:space="preserve">Transfer of Property Act 1882 (Sections 53C &amp; 53D): </w:t>
      </w:r>
      <w:r>
        <w:rPr>
          <w:rFonts w:ascii="Times New Roman" w:hAnsi="Times New Roman"/>
          <w:color w:val="000000"/>
          <w:sz w:val="24"/>
        </w:rPr>
        <w:t>Under Section 53C, any land transfer is legally void if the seller's name is not recorded in the latest khatian (or supported by a valid succession certificate). Under Section 53D, transferring mortgaged property without the lender bank's written consent is illegal. BHUMIverse enforces both checks automatically.</w:t>
      </w:r>
    </w:p>
    <w:p>
      <w:pPr>
        <w:pStyle w:val="ListBullet"/>
        <w:spacing w:before="0" w:after="40" w:line="252" w:lineRule="auto"/>
      </w:pPr>
      <w:r>
        <w:rPr>
          <w:rFonts w:ascii="Times New Roman" w:hAnsi="Times New Roman"/>
          <w:b/>
          <w:color w:val="000000"/>
          <w:sz w:val="24"/>
        </w:rPr>
        <w:t xml:space="preserve">Registration Act 1908 (Section 52A &amp; 2026 Amendment): </w:t>
      </w:r>
      <w:r>
        <w:rPr>
          <w:rFonts w:ascii="Times New Roman" w:hAnsi="Times New Roman"/>
          <w:color w:val="000000"/>
          <w:sz w:val="24"/>
        </w:rPr>
        <w:t>Mandates a complete 25-year chain of title and verified mutation porcha before any deed registration. The BHUMIverse timeline directly verifies this 25-year continuity.</w:t>
      </w:r>
    </w:p>
    <w:p>
      <w:pPr>
        <w:pStyle w:val="ListBullet"/>
        <w:spacing w:before="0" w:after="40" w:line="252" w:lineRule="auto"/>
      </w:pPr>
      <w:r>
        <w:rPr>
          <w:rFonts w:ascii="Times New Roman" w:hAnsi="Times New Roman"/>
          <w:b/>
          <w:color w:val="000000"/>
          <w:sz w:val="24"/>
        </w:rPr>
        <w:t xml:space="preserve">Penal Code 1860 (Sections 420 &amp; 468 - Fraud &amp; Forgery): </w:t>
      </w:r>
      <w:r>
        <w:rPr>
          <w:rFonts w:ascii="Times New Roman" w:hAnsi="Times New Roman"/>
          <w:color w:val="000000"/>
          <w:sz w:val="24"/>
        </w:rPr>
        <w:t>Categorizes deed forgery and cheating as criminal offenses. BHUMIverse identifies tampered photocopies and fraudulent double-selling patterns to protect citizens from criminal deception.</w:t>
      </w:r>
    </w:p>
    <w:p>
      <w:pPr>
        <w:pStyle w:val="ListBullet"/>
        <w:spacing w:before="0" w:after="40" w:line="252" w:lineRule="auto"/>
      </w:pPr>
      <w:r>
        <w:rPr>
          <w:rFonts w:ascii="Times New Roman" w:hAnsi="Times New Roman"/>
          <w:b/>
          <w:color w:val="000000"/>
          <w:sz w:val="24"/>
        </w:rPr>
        <w:t xml:space="preserve">Data Privacy &amp; Ethics: </w:t>
      </w:r>
      <w:r>
        <w:rPr>
          <w:rFonts w:ascii="Times New Roman" w:hAnsi="Times New Roman"/>
          <w:color w:val="000000"/>
          <w:sz w:val="24"/>
        </w:rPr>
        <w:t>All demonstration data is synthetic and non-confidential. Citizen records are protected with encryption and Row-Level Security (RLS). No unauthorized scraping of government portals is conducted.</w:t>
      </w:r>
    </w:p>
    <w:p>
      <w:pPr>
        <w:keepNext/>
        <w:spacing w:before="120" w:after="40" w:line="252" w:lineRule="auto"/>
      </w:pPr>
      <w:r>
        <w:rPr>
          <w:rFonts w:ascii="Times New Roman" w:hAnsi="Times New Roman"/>
          <w:b/>
          <w:color w:val="000000"/>
          <w:sz w:val="24"/>
        </w:rPr>
        <w:t>8 Limitations and Mitigation</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CCCCCC"/>
          <w:insideV w:val="none"/>
          <w:left w:val="none"/>
          <w:right w:val="none"/>
        </w:tblBorders>
      </w:tblPr>
      <w:tblGrid>
        <w:gridCol w:w="5184"/>
        <w:gridCol w:w="5184"/>
      </w:tblGrid>
      <w:tr>
        <w:tc>
          <w:tcPr>
            <w:tcW w:type="dxa" w:w="4896"/>
            <w:tcMar>
              <w:top w:w="50" w:type="dxa"/>
              <w:bottom w:w="50" w:type="dxa"/>
              <w:left w:w="70" w:type="dxa"/>
              <w:right w:w="70" w:type="dxa"/>
            </w:tcMar>
          </w:tcPr>
          <w:p>
            <w:pPr>
              <w:spacing w:before="0" w:after="0" w:line="252" w:lineRule="auto"/>
            </w:pPr>
            <w:r>
              <w:rPr>
                <w:rFonts w:ascii="Times New Roman" w:hAnsi="Times New Roman"/>
                <w:b/>
                <w:color w:val="000000"/>
                <w:sz w:val="21"/>
              </w:rPr>
              <w:t>Current Prototype Limitation</w:t>
            </w:r>
          </w:p>
        </w:tc>
        <w:tc>
          <w:tcPr>
            <w:tcW w:type="dxa" w:w="5472"/>
            <w:tcMar>
              <w:top w:w="50" w:type="dxa"/>
              <w:bottom w:w="50" w:type="dxa"/>
              <w:left w:w="70" w:type="dxa"/>
              <w:right w:w="70" w:type="dxa"/>
            </w:tcMar>
          </w:tcPr>
          <w:p>
            <w:pPr>
              <w:spacing w:before="0" w:after="0" w:line="252" w:lineRule="auto"/>
            </w:pPr>
            <w:r>
              <w:rPr>
                <w:rFonts w:ascii="Times New Roman" w:hAnsi="Times New Roman"/>
                <w:b/>
                <w:color w:val="000000"/>
                <w:sz w:val="21"/>
              </w:rPr>
              <w:t>Mitigation Strategy &amp; Future Solution</w:t>
            </w:r>
          </w:p>
        </w:tc>
      </w:tr>
      <w:tr>
        <w:tc>
          <w:tcPr>
            <w:tcW w:type="dxa" w:w="4896"/>
            <w:tcMar>
              <w:top w:w="40" w:type="dxa"/>
              <w:bottom w:w="40" w:type="dxa"/>
              <w:left w:w="70" w:type="dxa"/>
              <w:right w:w="70" w:type="dxa"/>
            </w:tcMar>
          </w:tcPr>
          <w:p>
            <w:pPr>
              <w:spacing w:before="0" w:after="0" w:line="252" w:lineRule="auto"/>
            </w:pPr>
            <w:r>
              <w:rPr>
                <w:rFonts w:ascii="Times New Roman" w:hAnsi="Times New Roman"/>
                <w:color w:val="000000"/>
                <w:sz w:val="20"/>
              </w:rPr>
              <w:t>No public API available for live government land databases during hackathon.</w:t>
            </w:r>
          </w:p>
        </w:tc>
        <w:tc>
          <w:tcPr>
            <w:tcW w:type="dxa" w:w="5472"/>
            <w:tcMar>
              <w:top w:w="40" w:type="dxa"/>
              <w:bottom w:w="40" w:type="dxa"/>
              <w:left w:w="70" w:type="dxa"/>
              <w:right w:w="70" w:type="dxa"/>
            </w:tcMar>
          </w:tcPr>
          <w:p>
            <w:pPr>
              <w:spacing w:before="0" w:after="0" w:line="252" w:lineRule="auto"/>
            </w:pPr>
            <w:r>
              <w:rPr>
                <w:rFonts w:ascii="Times New Roman" w:hAnsi="Times New Roman"/>
                <w:color w:val="000000"/>
                <w:sz w:val="20"/>
              </w:rPr>
              <w:t>Developed standardized JSON adapters and a realistic 8-parcel synthetic benchmark covering real-world Savar, Dhanmondi, and Mirpur scenarios.</w:t>
            </w:r>
          </w:p>
        </w:tc>
      </w:tr>
      <w:tr>
        <w:tc>
          <w:tcPr>
            <w:tcW w:type="dxa" w:w="4896"/>
            <w:tcMar>
              <w:top w:w="40" w:type="dxa"/>
              <w:bottom w:w="40" w:type="dxa"/>
              <w:left w:w="70" w:type="dxa"/>
              <w:right w:w="70" w:type="dxa"/>
            </w:tcMar>
          </w:tcPr>
          <w:p>
            <w:pPr>
              <w:spacing w:before="0" w:after="0" w:line="252" w:lineRule="auto"/>
            </w:pPr>
            <w:r>
              <w:rPr>
                <w:rFonts w:ascii="Times New Roman" w:hAnsi="Times New Roman"/>
                <w:color w:val="000000"/>
                <w:sz w:val="20"/>
              </w:rPr>
              <w:t>Handwritten historical deeds in archaic Bangla script are difficult for raw OCR.</w:t>
            </w:r>
          </w:p>
        </w:tc>
        <w:tc>
          <w:tcPr>
            <w:tcW w:type="dxa" w:w="5472"/>
            <w:tcMar>
              <w:top w:w="40" w:type="dxa"/>
              <w:bottom w:w="40" w:type="dxa"/>
              <w:left w:w="70" w:type="dxa"/>
              <w:right w:w="70" w:type="dxa"/>
            </w:tcMar>
          </w:tcPr>
          <w:p>
            <w:pPr>
              <w:spacing w:before="0" w:after="0" w:line="252" w:lineRule="auto"/>
            </w:pPr>
            <w:r>
              <w:rPr>
                <w:rFonts w:ascii="Times New Roman" w:hAnsi="Times New Roman"/>
                <w:color w:val="000000"/>
                <w:sz w:val="20"/>
              </w:rPr>
              <w:t>Integrated human-in-the-loop confirmation where the system extracts proposed values and prompts the user to confirm before running rules.</w:t>
            </w:r>
          </w:p>
        </w:tc>
      </w:tr>
      <w:tr>
        <w:tc>
          <w:tcPr>
            <w:tcW w:type="dxa" w:w="4896"/>
            <w:tcMar>
              <w:top w:w="40" w:type="dxa"/>
              <w:bottom w:w="40" w:type="dxa"/>
              <w:left w:w="70" w:type="dxa"/>
              <w:right w:w="70" w:type="dxa"/>
            </w:tcMar>
          </w:tcPr>
          <w:p>
            <w:pPr>
              <w:spacing w:before="0" w:after="0" w:line="252" w:lineRule="auto"/>
            </w:pPr>
            <w:r>
              <w:rPr>
                <w:rFonts w:ascii="Times New Roman" w:hAnsi="Times New Roman"/>
                <w:color w:val="000000"/>
                <w:sz w:val="20"/>
              </w:rPr>
              <w:t>Automated software cannot replace an official legal court decree or title certificate.</w:t>
            </w:r>
          </w:p>
        </w:tc>
        <w:tc>
          <w:tcPr>
            <w:tcW w:type="dxa" w:w="5472"/>
            <w:tcMar>
              <w:top w:w="40" w:type="dxa"/>
              <w:bottom w:w="40" w:type="dxa"/>
              <w:left w:w="70" w:type="dxa"/>
              <w:right w:w="70" w:type="dxa"/>
            </w:tcMar>
          </w:tcPr>
          <w:p>
            <w:pPr>
              <w:spacing w:before="0" w:after="0" w:line="252" w:lineRule="auto"/>
            </w:pPr>
            <w:r>
              <w:rPr>
                <w:rFonts w:ascii="Times New Roman" w:hAnsi="Times New Roman"/>
                <w:color w:val="000000"/>
                <w:sz w:val="20"/>
              </w:rPr>
              <w:t>BHUMIverse explicitly presents itself as an advisory verification tool with clear checklists, advising citizens when to hire a qualified land lawyer.</w:t>
            </w:r>
          </w:p>
        </w:tc>
      </w:tr>
    </w:tbl>
    <w:p>
      <w:pPr>
        <w:keepNext/>
        <w:spacing w:before="120" w:after="40" w:line="252" w:lineRule="auto"/>
      </w:pPr>
      <w:r>
        <w:rPr>
          <w:rFonts w:ascii="Times New Roman" w:hAnsi="Times New Roman"/>
          <w:b/>
          <w:color w:val="000000"/>
          <w:sz w:val="24"/>
        </w:rPr>
        <w:t>9 Future Scope in Bangladesh</w:t>
      </w:r>
    </w:p>
    <w:p>
      <w:pPr>
        <w:pStyle w:val="ListBullet"/>
        <w:spacing w:before="0" w:after="40" w:line="252" w:lineRule="auto"/>
      </w:pPr>
      <w:r>
        <w:rPr>
          <w:rFonts w:ascii="Times New Roman" w:hAnsi="Times New Roman"/>
          <w:b/>
          <w:color w:val="000000"/>
          <w:sz w:val="24"/>
        </w:rPr>
        <w:t xml:space="preserve">1. Upazila-Level Pilot: </w:t>
      </w:r>
      <w:r>
        <w:rPr>
          <w:rFonts w:ascii="Times New Roman" w:hAnsi="Times New Roman"/>
          <w:color w:val="000000"/>
          <w:sz w:val="24"/>
        </w:rPr>
        <w:t>Launch a controlled pilot in one Upazila (e.g., Savar or Gazipur Sadar) in collaboration with the local AC Land office and Sub-Registry.</w:t>
      </w:r>
    </w:p>
    <w:p>
      <w:pPr>
        <w:pStyle w:val="ListBullet"/>
        <w:spacing w:before="0" w:after="40" w:line="252" w:lineRule="auto"/>
      </w:pPr>
      <w:r>
        <w:rPr>
          <w:rFonts w:ascii="Times New Roman" w:hAnsi="Times New Roman"/>
          <w:b/>
          <w:color w:val="000000"/>
          <w:sz w:val="24"/>
        </w:rPr>
        <w:t xml:space="preserve">2. Official API Integrations: </w:t>
      </w:r>
      <w:r>
        <w:rPr>
          <w:rFonts w:ascii="Times New Roman" w:hAnsi="Times New Roman"/>
          <w:color w:val="000000"/>
          <w:sz w:val="24"/>
        </w:rPr>
        <w:t>Connect directly with the Land Ministry's e-Mutation API, National ID (NID/Porichoy) verification, and the National Land Zoning database.</w:t>
      </w:r>
    </w:p>
    <w:p>
      <w:pPr>
        <w:pStyle w:val="ListBullet"/>
        <w:spacing w:before="0" w:after="40" w:line="252" w:lineRule="auto"/>
      </w:pPr>
      <w:r>
        <w:rPr>
          <w:rFonts w:ascii="Times New Roman" w:hAnsi="Times New Roman"/>
          <w:b/>
          <w:color w:val="000000"/>
          <w:sz w:val="24"/>
        </w:rPr>
        <w:t xml:space="preserve">3. Citizen Accessibility: </w:t>
      </w:r>
      <w:r>
        <w:rPr>
          <w:rFonts w:ascii="Times New Roman" w:hAnsi="Times New Roman"/>
          <w:color w:val="000000"/>
          <w:sz w:val="24"/>
        </w:rPr>
        <w:t>Deploy offline-capable kiosks at Union Digital Centers (UDCs) and launch an Android mobile app with Bangla voice guidance for rural farmers and overseas expatriates.</w:t>
      </w:r>
    </w:p>
    <w:p>
      <w:pPr>
        <w:keepNext/>
        <w:spacing w:before="120" w:after="40" w:line="252" w:lineRule="auto"/>
      </w:pPr>
      <w:r>
        <w:rPr>
          <w:rFonts w:ascii="Times New Roman" w:hAnsi="Times New Roman"/>
          <w:b/>
          <w:color w:val="000000"/>
          <w:sz w:val="24"/>
        </w:rPr>
        <w:t>10 Evaluation and Delivery Plan</w:t>
      </w:r>
    </w:p>
    <w:p>
      <w:pPr>
        <w:spacing w:before="0" w:after="60" w:line="254" w:lineRule="auto"/>
      </w:pPr>
      <w:r>
        <w:rPr>
          <w:rFonts w:ascii="Times New Roman" w:hAnsi="Times New Roman"/>
          <w:color w:val="000000"/>
          <w:sz w:val="24"/>
        </w:rPr>
        <w:t>For Round 1 of the LandTech Innovation Hackathon 2026, the BHUMIverse team delivers:</w:t>
      </w:r>
    </w:p>
    <w:p>
      <w:pPr>
        <w:pStyle w:val="ListBullet"/>
        <w:spacing w:before="0" w:after="40" w:line="252" w:lineRule="auto"/>
      </w:pPr>
      <w:r>
        <w:rPr>
          <w:rFonts w:ascii="Times New Roman" w:hAnsi="Times New Roman"/>
          <w:b/>
          <w:color w:val="000000"/>
          <w:sz w:val="24"/>
        </w:rPr>
        <w:t xml:space="preserve">1. Project Proposal: </w:t>
      </w:r>
      <w:r>
        <w:rPr>
          <w:rFonts w:ascii="Times New Roman" w:hAnsi="Times New Roman"/>
          <w:color w:val="000000"/>
          <w:sz w:val="24"/>
        </w:rPr>
        <w:t>Complete 4-page concept note and system architecture document focused on P3 fraud prevention.</w:t>
      </w:r>
    </w:p>
    <w:p>
      <w:pPr>
        <w:pStyle w:val="ListBullet"/>
        <w:spacing w:before="0" w:after="40" w:line="252" w:lineRule="auto"/>
      </w:pPr>
      <w:r>
        <w:rPr>
          <w:rFonts w:ascii="Times New Roman" w:hAnsi="Times New Roman"/>
          <w:b/>
          <w:color w:val="000000"/>
          <w:sz w:val="24"/>
        </w:rPr>
        <w:t xml:space="preserve">2. Working Prototype: </w:t>
      </w:r>
      <w:r>
        <w:rPr>
          <w:rFonts w:ascii="Times New Roman" w:hAnsi="Times New Roman"/>
          <w:color w:val="000000"/>
          <w:sz w:val="24"/>
        </w:rPr>
        <w:t>Live, interactive web platform featuring document diffing, fraud network visualization, rule-based verification, and instant report generation.</w:t>
      </w:r>
    </w:p>
    <w:p>
      <w:pPr>
        <w:pStyle w:val="ListBullet"/>
        <w:spacing w:before="0" w:after="40" w:line="252" w:lineRule="auto"/>
      </w:pPr>
      <w:r>
        <w:rPr>
          <w:rFonts w:ascii="Times New Roman" w:hAnsi="Times New Roman"/>
          <w:b/>
          <w:color w:val="000000"/>
          <w:sz w:val="24"/>
        </w:rPr>
        <w:t xml:space="preserve">3. Source Code Repository: </w:t>
      </w:r>
      <w:r>
        <w:rPr>
          <w:rFonts w:ascii="Times New Roman" w:hAnsi="Times New Roman"/>
          <w:color w:val="000000"/>
          <w:sz w:val="24"/>
        </w:rPr>
        <w:t>Fully documented open-source repository with setup guides, test suites, and synthetic datasets.</w:t>
      </w:r>
    </w:p>
    <w:p>
      <w:pPr>
        <w:pStyle w:val="ListBullet"/>
        <w:spacing w:before="0" w:after="40" w:line="252" w:lineRule="auto"/>
      </w:pPr>
      <w:r>
        <w:rPr>
          <w:rFonts w:ascii="Times New Roman" w:hAnsi="Times New Roman"/>
          <w:b/>
          <w:color w:val="000000"/>
          <w:sz w:val="24"/>
        </w:rPr>
        <w:t xml:space="preserve">4. Video Demonstration: </w:t>
      </w:r>
      <w:r>
        <w:rPr>
          <w:rFonts w:ascii="Times New Roman" w:hAnsi="Times New Roman"/>
          <w:color w:val="000000"/>
          <w:sz w:val="24"/>
        </w:rPr>
        <w:t>Comprehensive video walkthrough demonstrating all citizen verification flows within 3 minutes.</w:t>
      </w:r>
    </w:p>
    <w:p>
      <w:pPr>
        <w:keepNext/>
        <w:spacing w:before="120" w:after="40" w:line="252" w:lineRule="auto"/>
      </w:pPr>
      <w:r>
        <w:rPr>
          <w:rFonts w:ascii="Times New Roman" w:hAnsi="Times New Roman"/>
          <w:b/>
          <w:color w:val="000000"/>
          <w:sz w:val="24"/>
        </w:rPr>
        <w:t>11 Team and Mentor Information</w:t>
      </w:r>
    </w:p>
    <w:p>
      <w:pPr>
        <w:spacing w:before="0" w:after="60" w:line="254" w:lineRule="auto"/>
      </w:pPr>
      <w:r>
        <w:rPr>
          <w:rFonts w:ascii="Times New Roman" w:hAnsi="Times New Roman"/>
          <w:color w:val="000000"/>
          <w:sz w:val="24"/>
        </w:rPr>
        <w:t>Team Name: BHUMIverse  |  Institution: Daffodil International University (DIU)</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CCCCCC"/>
          <w:insideV w:val="none"/>
          <w:left w:val="none"/>
          <w:right w:val="none"/>
        </w:tblBorders>
      </w:tblPr>
      <w:tblGrid>
        <w:gridCol w:w="2592"/>
        <w:gridCol w:w="2592"/>
        <w:gridCol w:w="2592"/>
        <w:gridCol w:w="2592"/>
      </w:tblGrid>
      <w:tr>
        <w:tc>
          <w:tcPr>
            <w:tcW w:type="dxa" w:w="2160"/>
            <w:tcMar>
              <w:top w:w="50" w:type="dxa"/>
              <w:bottom w:w="50" w:type="dxa"/>
              <w:left w:w="70" w:type="dxa"/>
              <w:right w:w="70" w:type="dxa"/>
            </w:tcMar>
          </w:tcPr>
          <w:p>
            <w:pPr>
              <w:spacing w:before="0" w:after="0" w:line="252" w:lineRule="auto"/>
            </w:pPr>
            <w:r>
              <w:rPr>
                <w:rFonts w:ascii="Times New Roman" w:hAnsi="Times New Roman"/>
                <w:b/>
                <w:color w:val="000000"/>
                <w:sz w:val="21"/>
              </w:rPr>
              <w:t>Role</w:t>
            </w:r>
          </w:p>
        </w:tc>
        <w:tc>
          <w:tcPr>
            <w:tcW w:type="dxa" w:w="2736"/>
            <w:tcMar>
              <w:top w:w="50" w:type="dxa"/>
              <w:bottom w:w="50" w:type="dxa"/>
              <w:left w:w="70" w:type="dxa"/>
              <w:right w:w="70" w:type="dxa"/>
            </w:tcMar>
          </w:tcPr>
          <w:p>
            <w:pPr>
              <w:spacing w:before="0" w:after="0" w:line="252" w:lineRule="auto"/>
            </w:pPr>
            <w:r>
              <w:rPr>
                <w:rFonts w:ascii="Times New Roman" w:hAnsi="Times New Roman"/>
                <w:b/>
                <w:color w:val="000000"/>
                <w:sz w:val="21"/>
              </w:rPr>
              <w:t>Name</w:t>
            </w:r>
          </w:p>
        </w:tc>
        <w:tc>
          <w:tcPr>
            <w:tcW w:type="dxa" w:w="2880"/>
            <w:tcMar>
              <w:top w:w="50" w:type="dxa"/>
              <w:bottom w:w="50" w:type="dxa"/>
              <w:left w:w="70" w:type="dxa"/>
              <w:right w:w="70" w:type="dxa"/>
            </w:tcMar>
          </w:tcPr>
          <w:p>
            <w:pPr>
              <w:spacing w:before="0" w:after="0" w:line="252" w:lineRule="auto"/>
            </w:pPr>
            <w:r>
              <w:rPr>
                <w:rFonts w:ascii="Times New Roman" w:hAnsi="Times New Roman"/>
                <w:b/>
                <w:color w:val="000000"/>
                <w:sz w:val="21"/>
              </w:rPr>
              <w:t>Student ID / Affiliation</w:t>
            </w:r>
          </w:p>
        </w:tc>
        <w:tc>
          <w:tcPr>
            <w:tcW w:type="dxa" w:w="2592"/>
            <w:tcMar>
              <w:top w:w="50" w:type="dxa"/>
              <w:bottom w:w="50" w:type="dxa"/>
              <w:left w:w="70" w:type="dxa"/>
              <w:right w:w="70" w:type="dxa"/>
            </w:tcMar>
          </w:tcPr>
          <w:p>
            <w:pPr>
              <w:spacing w:before="0" w:after="0" w:line="252" w:lineRule="auto"/>
            </w:pPr>
            <w:r>
              <w:rPr>
                <w:rFonts w:ascii="Times New Roman" w:hAnsi="Times New Roman"/>
                <w:b/>
                <w:color w:val="000000"/>
                <w:sz w:val="21"/>
              </w:rPr>
              <w:t>Email Contact</w:t>
            </w:r>
          </w:p>
        </w:tc>
      </w:tr>
      <w:tr>
        <w:tc>
          <w:tcPr>
            <w:tcW w:type="dxa" w:w="2160"/>
            <w:tcMar>
              <w:top w:w="40" w:type="dxa"/>
              <w:bottom w:w="40" w:type="dxa"/>
              <w:left w:w="70" w:type="dxa"/>
              <w:right w:w="70" w:type="dxa"/>
            </w:tcMar>
          </w:tcPr>
          <w:p>
            <w:pPr>
              <w:spacing w:before="0" w:after="0" w:line="252" w:lineRule="auto"/>
            </w:pPr>
            <w:r>
              <w:rPr>
                <w:rFonts w:ascii="Times New Roman" w:hAnsi="Times New Roman"/>
                <w:color w:val="000000"/>
                <w:sz w:val="20"/>
              </w:rPr>
              <w:t>Student Leader</w:t>
            </w:r>
          </w:p>
        </w:tc>
        <w:tc>
          <w:tcPr>
            <w:tcW w:type="dxa" w:w="2736"/>
            <w:tcMar>
              <w:top w:w="40" w:type="dxa"/>
              <w:bottom w:w="40" w:type="dxa"/>
              <w:left w:w="70" w:type="dxa"/>
              <w:right w:w="70" w:type="dxa"/>
            </w:tcMar>
          </w:tcPr>
          <w:p>
            <w:pPr>
              <w:spacing w:before="0" w:after="0" w:line="252" w:lineRule="auto"/>
            </w:pPr>
            <w:r>
              <w:rPr>
                <w:rFonts w:ascii="Times New Roman" w:hAnsi="Times New Roman"/>
                <w:color w:val="000000"/>
                <w:sz w:val="20"/>
              </w:rPr>
              <w:t>MD Parvez Hasan</w:t>
            </w:r>
          </w:p>
        </w:tc>
        <w:tc>
          <w:tcPr>
            <w:tcW w:type="dxa" w:w="2880"/>
            <w:tcMar>
              <w:top w:w="40" w:type="dxa"/>
              <w:bottom w:w="40" w:type="dxa"/>
              <w:left w:w="70" w:type="dxa"/>
              <w:right w:w="70" w:type="dxa"/>
            </w:tcMar>
          </w:tcPr>
          <w:p>
            <w:pPr>
              <w:spacing w:before="0" w:after="0" w:line="252" w:lineRule="auto"/>
            </w:pPr>
            <w:r>
              <w:rPr>
                <w:rFonts w:ascii="Times New Roman" w:hAnsi="Times New Roman"/>
                <w:color w:val="000000"/>
                <w:sz w:val="20"/>
              </w:rPr>
              <w:t>ID: 241-15-484 (Dept. of CSE, DIU)</w:t>
            </w:r>
          </w:p>
        </w:tc>
        <w:tc>
          <w:tcPr>
            <w:tcW w:type="dxa" w:w="2592"/>
            <w:tcMar>
              <w:top w:w="40" w:type="dxa"/>
              <w:bottom w:w="40" w:type="dxa"/>
              <w:left w:w="70" w:type="dxa"/>
              <w:right w:w="70" w:type="dxa"/>
            </w:tcMar>
          </w:tcPr>
          <w:p>
            <w:pPr>
              <w:spacing w:before="0" w:after="0" w:line="252" w:lineRule="auto"/>
            </w:pPr>
            <w:r>
              <w:rPr>
                <w:rFonts w:ascii="Times New Roman" w:hAnsi="Times New Roman"/>
                <w:color w:val="000000"/>
                <w:sz w:val="20"/>
              </w:rPr>
              <w:t>parvez241-15-484@diu.edu.bd</w:t>
            </w:r>
          </w:p>
        </w:tc>
      </w:tr>
      <w:tr>
        <w:tc>
          <w:tcPr>
            <w:tcW w:type="dxa" w:w="2160"/>
            <w:tcMar>
              <w:top w:w="40" w:type="dxa"/>
              <w:bottom w:w="40" w:type="dxa"/>
              <w:left w:w="70" w:type="dxa"/>
              <w:right w:w="70" w:type="dxa"/>
            </w:tcMar>
          </w:tcPr>
          <w:p>
            <w:pPr>
              <w:spacing w:before="0" w:after="0" w:line="252" w:lineRule="auto"/>
            </w:pPr>
            <w:r>
              <w:rPr>
                <w:rFonts w:ascii="Times New Roman" w:hAnsi="Times New Roman"/>
                <w:color w:val="000000"/>
                <w:sz w:val="20"/>
              </w:rPr>
              <w:t>Student Member</w:t>
            </w:r>
          </w:p>
        </w:tc>
        <w:tc>
          <w:tcPr>
            <w:tcW w:type="dxa" w:w="2736"/>
            <w:tcMar>
              <w:top w:w="40" w:type="dxa"/>
              <w:bottom w:w="40" w:type="dxa"/>
              <w:left w:w="70" w:type="dxa"/>
              <w:right w:w="70" w:type="dxa"/>
            </w:tcMar>
          </w:tcPr>
          <w:p>
            <w:pPr>
              <w:spacing w:before="0" w:after="0" w:line="252" w:lineRule="auto"/>
            </w:pPr>
            <w:r>
              <w:rPr>
                <w:rFonts w:ascii="Times New Roman" w:hAnsi="Times New Roman"/>
                <w:color w:val="000000"/>
                <w:sz w:val="20"/>
              </w:rPr>
              <w:t>MD FARHAN MAHAMUD</w:t>
            </w:r>
          </w:p>
        </w:tc>
        <w:tc>
          <w:tcPr>
            <w:tcW w:type="dxa" w:w="2880"/>
            <w:tcMar>
              <w:top w:w="40" w:type="dxa"/>
              <w:bottom w:w="40" w:type="dxa"/>
              <w:left w:w="70" w:type="dxa"/>
              <w:right w:w="70" w:type="dxa"/>
            </w:tcMar>
          </w:tcPr>
          <w:p>
            <w:pPr>
              <w:spacing w:before="0" w:after="0" w:line="252" w:lineRule="auto"/>
            </w:pPr>
            <w:r>
              <w:rPr>
                <w:rFonts w:ascii="Times New Roman" w:hAnsi="Times New Roman"/>
                <w:color w:val="000000"/>
                <w:sz w:val="20"/>
              </w:rPr>
              <w:t>ID: 241-15-497 (Dept. of CSE, DIU)</w:t>
            </w:r>
          </w:p>
        </w:tc>
        <w:tc>
          <w:tcPr>
            <w:tcW w:type="dxa" w:w="2592"/>
            <w:tcMar>
              <w:top w:w="40" w:type="dxa"/>
              <w:bottom w:w="40" w:type="dxa"/>
              <w:left w:w="70" w:type="dxa"/>
              <w:right w:w="70" w:type="dxa"/>
            </w:tcMar>
          </w:tcPr>
          <w:p>
            <w:pPr>
              <w:spacing w:before="0" w:after="0" w:line="252" w:lineRule="auto"/>
            </w:pPr>
            <w:r>
              <w:rPr>
                <w:rFonts w:ascii="Times New Roman" w:hAnsi="Times New Roman"/>
                <w:color w:val="000000"/>
                <w:sz w:val="20"/>
              </w:rPr>
              <w:t>farhan241-15-497@diu.edu.bd</w:t>
            </w:r>
          </w:p>
        </w:tc>
      </w:tr>
      <w:tr>
        <w:tc>
          <w:tcPr>
            <w:tcW w:type="dxa" w:w="2160"/>
            <w:tcMar>
              <w:top w:w="40" w:type="dxa"/>
              <w:bottom w:w="40" w:type="dxa"/>
              <w:left w:w="70" w:type="dxa"/>
              <w:right w:w="70" w:type="dxa"/>
            </w:tcMar>
          </w:tcPr>
          <w:p>
            <w:pPr>
              <w:spacing w:before="0" w:after="0" w:line="252" w:lineRule="auto"/>
            </w:pPr>
            <w:r>
              <w:rPr>
                <w:rFonts w:ascii="Times New Roman" w:hAnsi="Times New Roman"/>
                <w:color w:val="000000"/>
                <w:sz w:val="20"/>
              </w:rPr>
              <w:t>Faculty Mentor</w:t>
            </w:r>
          </w:p>
        </w:tc>
        <w:tc>
          <w:tcPr>
            <w:tcW w:type="dxa" w:w="2736"/>
            <w:tcMar>
              <w:top w:w="40" w:type="dxa"/>
              <w:bottom w:w="40" w:type="dxa"/>
              <w:left w:w="70" w:type="dxa"/>
              <w:right w:w="70" w:type="dxa"/>
            </w:tcMar>
          </w:tcPr>
          <w:p>
            <w:pPr>
              <w:spacing w:before="0" w:after="0" w:line="252" w:lineRule="auto"/>
            </w:pPr>
            <w:r>
              <w:rPr>
                <w:rFonts w:ascii="Times New Roman" w:hAnsi="Times New Roman"/>
                <w:color w:val="000000"/>
                <w:sz w:val="20"/>
              </w:rPr>
              <w:t>Jawad Ibn Ahad</w:t>
            </w:r>
          </w:p>
        </w:tc>
        <w:tc>
          <w:tcPr>
            <w:tcW w:type="dxa" w:w="2880"/>
            <w:tcMar>
              <w:top w:w="40" w:type="dxa"/>
              <w:bottom w:w="40" w:type="dxa"/>
              <w:left w:w="70" w:type="dxa"/>
              <w:right w:w="70" w:type="dxa"/>
            </w:tcMar>
          </w:tcPr>
          <w:p>
            <w:pPr>
              <w:spacing w:before="0" w:after="0" w:line="252" w:lineRule="auto"/>
            </w:pPr>
            <w:r>
              <w:rPr>
                <w:rFonts w:ascii="Times New Roman" w:hAnsi="Times New Roman"/>
                <w:color w:val="000000"/>
                <w:sz w:val="20"/>
              </w:rPr>
              <w:t>Lecturer, Dept. of CSE, DIU</w:t>
            </w:r>
          </w:p>
        </w:tc>
        <w:tc>
          <w:tcPr>
            <w:tcW w:type="dxa" w:w="2592"/>
            <w:tcMar>
              <w:top w:w="40" w:type="dxa"/>
              <w:bottom w:w="40" w:type="dxa"/>
              <w:left w:w="70" w:type="dxa"/>
              <w:right w:w="70" w:type="dxa"/>
            </w:tcMar>
          </w:tcPr>
          <w:p>
            <w:pPr>
              <w:spacing w:before="0" w:after="0" w:line="252" w:lineRule="auto"/>
            </w:pPr>
            <w:r>
              <w:rPr>
                <w:rFonts w:ascii="Times New Roman" w:hAnsi="Times New Roman"/>
                <w:color w:val="000000"/>
                <w:sz w:val="20"/>
              </w:rPr>
              <w:t>jawad.cse@diu.edu.bd</w:t>
            </w:r>
          </w:p>
        </w:tc>
      </w:tr>
      <w:tr>
        <w:tc>
          <w:tcPr>
            <w:tcW w:type="dxa" w:w="2160"/>
            <w:tcMar>
              <w:top w:w="40" w:type="dxa"/>
              <w:bottom w:w="40" w:type="dxa"/>
              <w:left w:w="70" w:type="dxa"/>
              <w:right w:w="70" w:type="dxa"/>
            </w:tcMar>
          </w:tcPr>
          <w:p>
            <w:pPr>
              <w:spacing w:before="0" w:after="0" w:line="252" w:lineRule="auto"/>
            </w:pPr>
            <w:r>
              <w:rPr>
                <w:rFonts w:ascii="Times New Roman" w:hAnsi="Times New Roman"/>
                <w:color w:val="000000"/>
                <w:sz w:val="20"/>
              </w:rPr>
              <w:t>Industry Mentor</w:t>
            </w:r>
          </w:p>
        </w:tc>
        <w:tc>
          <w:tcPr>
            <w:tcW w:type="dxa" w:w="2736"/>
            <w:tcMar>
              <w:top w:w="40" w:type="dxa"/>
              <w:bottom w:w="40" w:type="dxa"/>
              <w:left w:w="70" w:type="dxa"/>
              <w:right w:w="70" w:type="dxa"/>
            </w:tcMar>
          </w:tcPr>
          <w:p>
            <w:pPr>
              <w:spacing w:before="0" w:after="0" w:line="252" w:lineRule="auto"/>
            </w:pPr>
            <w:r>
              <w:rPr>
                <w:rFonts w:ascii="Times New Roman" w:hAnsi="Times New Roman"/>
                <w:color w:val="000000"/>
                <w:sz w:val="20"/>
              </w:rPr>
              <w:t>Fateha Hossain Anushka</w:t>
            </w:r>
          </w:p>
        </w:tc>
        <w:tc>
          <w:tcPr>
            <w:tcW w:type="dxa" w:w="2880"/>
            <w:tcMar>
              <w:top w:w="40" w:type="dxa"/>
              <w:bottom w:w="40" w:type="dxa"/>
              <w:left w:w="70" w:type="dxa"/>
              <w:right w:w="70" w:type="dxa"/>
            </w:tcMar>
          </w:tcPr>
          <w:p>
            <w:pPr>
              <w:spacing w:before="0" w:after="0" w:line="252" w:lineRule="auto"/>
            </w:pPr>
            <w:r>
              <w:rPr>
                <w:rFonts w:ascii="Times New Roman" w:hAnsi="Times New Roman"/>
                <w:color w:val="000000"/>
                <w:sz w:val="20"/>
              </w:rPr>
              <w:t>Industry Specialist, Software Eng.</w:t>
            </w:r>
          </w:p>
        </w:tc>
        <w:tc>
          <w:tcPr>
            <w:tcW w:type="dxa" w:w="2592"/>
            <w:tcMar>
              <w:top w:w="40" w:type="dxa"/>
              <w:bottom w:w="40" w:type="dxa"/>
              <w:left w:w="70" w:type="dxa"/>
              <w:right w:w="70" w:type="dxa"/>
            </w:tcMar>
          </w:tcPr>
          <w:p>
            <w:pPr>
              <w:spacing w:before="0" w:after="0" w:line="252" w:lineRule="auto"/>
            </w:pPr>
            <w:r>
              <w:rPr>
                <w:rFonts w:ascii="Times New Roman" w:hAnsi="Times New Roman"/>
                <w:color w:val="000000"/>
                <w:sz w:val="20"/>
              </w:rPr>
              <w:t>fateha.industry@mentor.bd</w:t>
            </w:r>
          </w:p>
        </w:tc>
      </w:tr>
    </w:tbl>
    <w:p>
      <w:pPr>
        <w:keepNext/>
        <w:spacing w:before="120" w:after="40" w:line="252" w:lineRule="auto"/>
      </w:pPr>
      <w:r>
        <w:rPr>
          <w:rFonts w:ascii="Times New Roman" w:hAnsi="Times New Roman"/>
          <w:b/>
          <w:color w:val="000000"/>
          <w:sz w:val="24"/>
        </w:rPr>
        <w:t>12 References and Prototype</w:t>
      </w:r>
    </w:p>
    <w:p>
      <w:pPr>
        <w:pStyle w:val="ListBullet"/>
        <w:spacing w:before="0" w:after="40" w:line="252" w:lineRule="auto"/>
      </w:pPr>
      <w:r>
        <w:rPr>
          <w:rFonts w:ascii="Times New Roman" w:hAnsi="Times New Roman"/>
          <w:b/>
          <w:color w:val="000000"/>
          <w:sz w:val="24"/>
        </w:rPr>
        <w:t xml:space="preserve">[1] DIU CSE and CSE-TECH: </w:t>
      </w:r>
      <w:r>
        <w:rPr>
          <w:rFonts w:ascii="Times New Roman" w:hAnsi="Times New Roman"/>
          <w:color w:val="000000"/>
          <w:sz w:val="24"/>
        </w:rPr>
        <w:t>LandTech 2026 Rule Book v1.2, Department of CSE &amp; CSE-TECH, Daffodil International University.</w:t>
      </w:r>
    </w:p>
    <w:p>
      <w:pPr>
        <w:pStyle w:val="ListBullet"/>
        <w:spacing w:before="0" w:after="40" w:line="252" w:lineRule="auto"/>
      </w:pPr>
      <w:r>
        <w:rPr>
          <w:rFonts w:ascii="Times New Roman" w:hAnsi="Times New Roman"/>
          <w:b/>
          <w:color w:val="000000"/>
          <w:sz w:val="24"/>
        </w:rPr>
        <w:t xml:space="preserve">[2] Ministry of Land, Bangladesh: </w:t>
      </w:r>
      <w:r>
        <w:rPr>
          <w:rFonts w:ascii="Times New Roman" w:hAnsi="Times New Roman"/>
          <w:color w:val="000000"/>
          <w:sz w:val="24"/>
        </w:rPr>
        <w:t>e-Mutation, e-Porcha, and Land Development Tax Portals (land.gov.bd).</w:t>
      </w:r>
    </w:p>
    <w:p>
      <w:pPr>
        <w:pStyle w:val="ListBullet"/>
        <w:spacing w:before="0" w:after="40" w:line="252" w:lineRule="auto"/>
      </w:pPr>
      <w:r>
        <w:rPr>
          <w:rFonts w:ascii="Times New Roman" w:hAnsi="Times New Roman"/>
          <w:b/>
          <w:color w:val="000000"/>
          <w:sz w:val="24"/>
        </w:rPr>
        <w:t xml:space="preserve">[3] Transfer of Property Act 1882: </w:t>
      </w:r>
      <w:r>
        <w:rPr>
          <w:rFonts w:ascii="Times New Roman" w:hAnsi="Times New Roman"/>
          <w:color w:val="000000"/>
          <w:sz w:val="24"/>
        </w:rPr>
        <w:t>Sections 53C &amp; 53D (Transfer restrictions, khatian recording, mortgage consent).</w:t>
      </w:r>
    </w:p>
    <w:p>
      <w:pPr>
        <w:pStyle w:val="ListBullet"/>
        <w:spacing w:before="0" w:after="40" w:line="252" w:lineRule="auto"/>
      </w:pPr>
      <w:r>
        <w:rPr>
          <w:rFonts w:ascii="Times New Roman" w:hAnsi="Times New Roman"/>
          <w:b/>
          <w:color w:val="000000"/>
          <w:sz w:val="24"/>
        </w:rPr>
        <w:t xml:space="preserve">[4] Registration Act 1908 &amp; 2026 Amendment: </w:t>
      </w:r>
      <w:r>
        <w:rPr>
          <w:rFonts w:ascii="Times New Roman" w:hAnsi="Times New Roman"/>
          <w:color w:val="000000"/>
          <w:sz w:val="24"/>
        </w:rPr>
        <w:t>Section 52A (Mandatory 25-year title chain check and deed format).</w:t>
      </w:r>
    </w:p>
    <w:p>
      <w:pPr>
        <w:pStyle w:val="ListBullet"/>
        <w:spacing w:before="0" w:after="40" w:line="252" w:lineRule="auto"/>
      </w:pPr>
      <w:r>
        <w:rPr>
          <w:rFonts w:ascii="Times New Roman" w:hAnsi="Times New Roman"/>
          <w:b/>
          <w:color w:val="000000"/>
          <w:sz w:val="24"/>
        </w:rPr>
        <w:t xml:space="preserve">[5] Penal Code 1860: </w:t>
      </w:r>
      <w:r>
        <w:rPr>
          <w:rFonts w:ascii="Times New Roman" w:hAnsi="Times New Roman"/>
          <w:color w:val="000000"/>
          <w:sz w:val="24"/>
        </w:rPr>
        <w:t>Sections 420 &amp; 468 (Cheating and document forgery offenses).</w:t>
      </w:r>
    </w:p>
    <w:p>
      <w:pPr>
        <w:pStyle w:val="ListBullet"/>
        <w:spacing w:before="0" w:after="40" w:line="252" w:lineRule="auto"/>
      </w:pPr>
      <w:r>
        <w:rPr>
          <w:rFonts w:ascii="Times New Roman" w:hAnsi="Times New Roman"/>
          <w:b/>
          <w:color w:val="000000"/>
          <w:sz w:val="24"/>
        </w:rPr>
        <w:t xml:space="preserve">[6] BHUMIverse Open-Source Repository: </w:t>
      </w:r>
      <w:r>
        <w:rPr>
          <w:rFonts w:ascii="Times New Roman" w:hAnsi="Times New Roman"/>
          <w:color w:val="000000"/>
          <w:sz w:val="24"/>
        </w:rPr>
        <w:t>https://github.com/parvezrepository/bhumiverse</w:t>
      </w:r>
    </w:p>
    <w:p>
      <w:pPr>
        <w:pStyle w:val="ListBullet"/>
        <w:spacing w:before="0" w:after="40" w:line="252" w:lineRule="auto"/>
      </w:pPr>
      <w:r>
        <w:rPr>
          <w:rFonts w:ascii="Times New Roman" w:hAnsi="Times New Roman"/>
          <w:b/>
          <w:color w:val="000000"/>
          <w:sz w:val="24"/>
        </w:rPr>
        <w:t xml:space="preserve">[7] Law Commission of Bangladesh &amp; World Bank: </w:t>
      </w:r>
      <w:r>
        <w:rPr>
          <w:rFonts w:ascii="Times New Roman" w:hAnsi="Times New Roman"/>
          <w:color w:val="000000"/>
          <w:sz w:val="24"/>
        </w:rPr>
        <w:t>Studies on Civil Litigation Backlogs, Land Governance, and Title Disputes in Bangladesh.</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