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2.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sidRPr="00B86752">
        <w:rPr>
          <w:rStyle w:val="CommentReference"/>
          <w:rFonts w:asciiTheme="majorBidi" w:hAnsiTheme="majorBidi" w:cstheme="majorBidi"/>
          <w:color w:val="EE0000"/>
          <w:sz w:val="24"/>
          <w:szCs w:val="24"/>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ultra-precision machining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Ultra-precision machining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Al-based metal matrix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B00AF4">
      <w:pPr>
        <w:pStyle w:val="Heading2"/>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B00AF4">
      <w:pPr>
        <w:pStyle w:val="Heading2"/>
      </w:pPr>
      <w:r w:rsidRPr="0013740E">
        <w:t>Data-</w:t>
      </w:r>
      <w:r w:rsidRPr="00B00AF4">
        <w:t>Driven</w:t>
      </w:r>
      <w:r w:rsidRPr="0013740E">
        <w:t xml:space="preserve">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00000"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00000"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77777777" w:rsidR="001609A1" w:rsidRPr="001609A1" w:rsidRDefault="001609A1" w:rsidP="00A437D6">
      <w:pPr>
        <w:jc w:val="both"/>
        <w:rPr>
          <w:lang w:val="en-US"/>
        </w:rPr>
      </w:pPr>
      <w:r w:rsidRPr="001609A1">
        <w:rPr>
          <w:lang w:val="en-US"/>
        </w:rPr>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38942F35" w:rsidR="001609A1" w:rsidRDefault="001609A1" w:rsidP="00A437D6">
      <w:pPr>
        <w:jc w:val="both"/>
        <w:rPr>
          <w:lang w:val="en-US"/>
        </w:rPr>
      </w:pPr>
      <w:r w:rsidRPr="001609A1">
        <w:rPr>
          <w:lang w:val="en-US"/>
        </w:rPr>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3DA8FD0F"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E13F5">
              <w:rPr>
                <w:sz w:val="18"/>
                <w:szCs w:val="18"/>
              </w:rPr>
              <w:t xml:space="preserve">, </w:t>
            </w:r>
            <w:r>
              <w:rPr>
                <w:sz w:val="18"/>
                <w:szCs w:val="18"/>
              </w:rPr>
              <w:t>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1592387A" w14:textId="77777777" w:rsidR="00A437D6" w:rsidRDefault="00A437D6" w:rsidP="001609A1">
      <w:pPr>
        <w:rPr>
          <w:lang w:val="en-US"/>
        </w:rPr>
      </w:pPr>
    </w:p>
    <w:p w14:paraId="3B6958D2" w14:textId="77777777" w:rsidR="0005290C" w:rsidRDefault="0005290C" w:rsidP="001609A1">
      <w:pPr>
        <w:rPr>
          <w:lang w:val="en-US"/>
        </w:rPr>
      </w:pPr>
    </w:p>
    <w:p w14:paraId="23AF1286" w14:textId="77777777" w:rsidR="0005290C" w:rsidRDefault="0005290C" w:rsidP="001609A1">
      <w:pPr>
        <w:rPr>
          <w:lang w:val="en-US"/>
        </w:rPr>
      </w:pPr>
    </w:p>
    <w:p w14:paraId="06EED442" w14:textId="77777777" w:rsidR="0005290C" w:rsidRDefault="0005290C" w:rsidP="001609A1">
      <w:pPr>
        <w:rPr>
          <w:lang w:val="en-US"/>
        </w:rPr>
      </w:pP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lastRenderedPageBreak/>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E3C37CC" w:rsidR="00EC78E9" w:rsidRDefault="00D82B5E" w:rsidP="0023091A">
      <w:pPr>
        <w:jc w:val="both"/>
        <w:rPr>
          <w:lang w:val="en-US"/>
        </w:rPr>
      </w:pPr>
      <w:r w:rsidRPr="00D82B5E">
        <w:rPr>
          <w:lang w:val="en-US"/>
        </w:rPr>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pPr>
        <w:rPr>
          <w:lang w:val="en-US"/>
        </w:rPr>
      </w:pP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74453BEA" w:rsidR="001F7A42" w:rsidRDefault="00685B34" w:rsidP="00685B34">
      <w:pPr>
        <w:jc w:val="both"/>
        <w:rPr>
          <w:lang w:val="en-US"/>
        </w:rPr>
      </w:pPr>
      <w:r w:rsidRPr="00685B34">
        <w:rPr>
          <w:lang w:val="en-US"/>
        </w:rPr>
        <w:t>The N‑Way ANOVA results, presented in Table 7,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77777777" w:rsidR="001F7A42" w:rsidRDefault="001F7A42" w:rsidP="00C05D7C">
      <w:pPr>
        <w:rPr>
          <w:lang w:val="en-US"/>
        </w:rPr>
      </w:pPr>
    </w:p>
    <w:tbl>
      <w:tblPr>
        <w:tblStyle w:val="PlainTable1"/>
        <w:tblW w:w="0" w:type="auto"/>
        <w:jc w:val="center"/>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173D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lang w:val="en-US"/>
              </w:rPr>
            </w:pPr>
          </w:p>
        </w:tc>
        <w:tc>
          <w:tcPr>
            <w:tcW w:w="1417" w:type="dxa"/>
          </w:tcPr>
          <w:p w14:paraId="01FD9FE2" w14:textId="0F912C12"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c>
          <w:tcPr>
            <w:tcW w:w="793" w:type="dxa"/>
          </w:tcPr>
          <w:p w14:paraId="080D770C" w14:textId="77777777"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p>
        </w:tc>
      </w:tr>
      <w:tr w:rsidR="00B46297" w:rsidRPr="00B46297" w14:paraId="37835320" w14:textId="079CAD0D"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58E656D1"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46297" w:rsidRPr="00B46297" w14:paraId="529F2725" w14:textId="179D7D40"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0FDAB44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77777777" w:rsidR="00565BB1" w:rsidRPr="00565BB1" w:rsidRDefault="00565BB1" w:rsidP="00565BB1">
      <w:pPr>
        <w:jc w:val="both"/>
        <w:rPr>
          <w:lang w:val="en-US"/>
        </w:rPr>
      </w:pPr>
      <w:r w:rsidRPr="00565BB1">
        <w:rPr>
          <w:lang w:val="en-US"/>
        </w:rPr>
        <w:t>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10.</w:t>
      </w:r>
    </w:p>
    <w:p w14:paraId="6D0E0700" w14:textId="77777777" w:rsidR="00565BB1" w:rsidRPr="00565BB1" w:rsidRDefault="00565BB1" w:rsidP="00565BB1">
      <w:pPr>
        <w:jc w:val="both"/>
        <w:rPr>
          <w:lang w:val="en-US"/>
        </w:rPr>
      </w:pPr>
    </w:p>
    <w:p w14:paraId="4E2F7699" w14:textId="77777777" w:rsidR="00565BB1" w:rsidRPr="00565BB1" w:rsidRDefault="00565BB1" w:rsidP="00565BB1">
      <w:pPr>
        <w:jc w:val="both"/>
        <w:rPr>
          <w:lang w:val="en-US"/>
        </w:rPr>
      </w:pPr>
      <w:r w:rsidRPr="00565BB1">
        <w:rPr>
          <w:lang w:val="en-US"/>
        </w:rPr>
        <w:t>The training and testing outcomes for each model are illustrated in Figures 10–14,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4EDA90D7" w:rsidR="00685B34" w:rsidRDefault="00565BB1" w:rsidP="00565BB1">
      <w:pPr>
        <w:jc w:val="both"/>
        <w:rPr>
          <w:lang w:val="en-US"/>
        </w:rPr>
      </w:pPr>
      <w:r w:rsidRPr="00565BB1">
        <w:rPr>
          <w:lang w:val="en-US"/>
        </w:rPr>
        <w:t>Nevertheless, conclusions drawn solely from graphical analysis are insufficient. To provide a more rigorous evaluation, the accuracy metrics for all models are reported in Table 11,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tbl>
      <w:tblPr>
        <w:tblStyle w:val="PlainTable1"/>
        <w:tblW w:w="7857" w:type="dxa"/>
        <w:tblLayout w:type="fixed"/>
        <w:tblLook w:val="04A0" w:firstRow="1" w:lastRow="0" w:firstColumn="1" w:lastColumn="0" w:noHBand="0" w:noVBand="1"/>
      </w:tblPr>
      <w:tblGrid>
        <w:gridCol w:w="1078"/>
        <w:gridCol w:w="2655"/>
        <w:gridCol w:w="2320"/>
        <w:gridCol w:w="1804"/>
      </w:tblGrid>
      <w:tr w:rsidR="00047736" w:rsidRPr="00692265" w14:paraId="5DCFA5C6" w14:textId="77777777" w:rsidTr="0004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lastRenderedPageBreak/>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w:t>
            </w:r>
          </w:p>
        </w:tc>
      </w:tr>
      <w:tr w:rsidR="00047736" w:rsidRPr="00692265" w14:paraId="2E690C1D"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lastRenderedPageBreak/>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3"/>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tbl>
      <w:tblPr>
        <w:tblStyle w:val="TableGrid"/>
        <w:tblW w:w="9495" w:type="dxa"/>
        <w:tblLayout w:type="fixed"/>
        <w:tblLook w:val="04A0" w:firstRow="1" w:lastRow="0" w:firstColumn="1" w:lastColumn="0" w:noHBand="0" w:noVBand="1"/>
      </w:tblPr>
      <w:tblGrid>
        <w:gridCol w:w="4684"/>
        <w:gridCol w:w="4811"/>
      </w:tblGrid>
      <w:tr w:rsidR="00975796" w14:paraId="3140117D" w14:textId="77777777">
        <w:tc>
          <w:tcPr>
            <w:tcW w:w="4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CC0DFE" w14:textId="2159E170" w:rsidR="00975796" w:rsidRDefault="00975796">
            <w:r>
              <w:rPr>
                <w:noProof/>
              </w:rPr>
              <w:lastRenderedPageBreak/>
              <w:drawing>
                <wp:inline distT="0" distB="0" distL="0" distR="0" wp14:anchorId="2DD53D32" wp14:editId="2B3B69E3">
                  <wp:extent cx="2896870" cy="2767330"/>
                  <wp:effectExtent l="0" t="0" r="0" b="1270"/>
                  <wp:docPr id="205546501" name="Chart 2">
                    <a:extLst xmlns:a="http://schemas.openxmlformats.org/drawingml/2006/main">
                      <a:ext uri="{FF2B5EF4-FFF2-40B4-BE49-F238E27FC236}">
                        <a16:creationId xmlns:a16="http://schemas.microsoft.com/office/drawing/2014/main" id="{B6AF08DD-A0C4-3A44-AD92-36E4893220F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41BEC2" w14:textId="7DB4B6C0" w:rsidR="00975796" w:rsidRDefault="00975796">
            <w:r>
              <w:rPr>
                <w:noProof/>
              </w:rPr>
              <w:drawing>
                <wp:inline distT="0" distB="0" distL="0" distR="0" wp14:anchorId="6899728A" wp14:editId="18513040">
                  <wp:extent cx="2937510" cy="2767330"/>
                  <wp:effectExtent l="0" t="0" r="0" b="1270"/>
                  <wp:docPr id="242207606" name="Chart 1">
                    <a:extLst xmlns:a="http://schemas.openxmlformats.org/drawingml/2006/main">
                      <a:ext uri="{FF2B5EF4-FFF2-40B4-BE49-F238E27FC236}">
                        <a16:creationId xmlns:a16="http://schemas.microsoft.com/office/drawing/2014/main" id="{61FE8F32-B349-E948-8DA9-C9063D976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975796" w14:paraId="48CD8DDC" w14:textId="77777777">
        <w:tc>
          <w:tcPr>
            <w:tcW w:w="94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EBA961" w14:textId="77777777" w:rsidR="00975796" w:rsidRDefault="00975796">
            <w:pPr>
              <w:rPr>
                <w:noProof/>
              </w:rPr>
            </w:pPr>
            <w:r>
              <w:rPr>
                <w:sz w:val="20"/>
                <w:szCs w:val="20"/>
              </w:rPr>
              <w:t>Figure ??: Final results of KNN method implementations on the cumulative data (left training and right is related to test procedure)</w:t>
            </w:r>
          </w:p>
        </w:tc>
      </w:tr>
    </w:tbl>
    <w:p w14:paraId="29824EEB" w14:textId="77777777" w:rsidR="00566A84" w:rsidRDefault="00566A84" w:rsidP="00D9209F">
      <w:pPr>
        <w:rPr>
          <w:rtl/>
          <w:lang w:val="en-US"/>
        </w:rPr>
      </w:pPr>
    </w:p>
    <w:p w14:paraId="709AC17C" w14:textId="77777777" w:rsidR="00975796" w:rsidRDefault="00975796" w:rsidP="00975796">
      <w:r w:rsidRPr="00CA30BA">
        <w:t>The comparative performance of the machine learning models is summarized in Table 11, which reports accuracy, RMSE, R², and MAPE for both the training and testing phases across the complete dataset and the three evaluated alloys.</w:t>
      </w:r>
    </w:p>
    <w:p w14:paraId="17335F9E" w14:textId="77777777" w:rsidR="00566A84" w:rsidRDefault="00566A84" w:rsidP="00D9209F">
      <w:pPr>
        <w:rPr>
          <w:rtl/>
          <w:lang w:val="en-US"/>
        </w:rPr>
      </w:pPr>
    </w:p>
    <w:p w14:paraId="360EF0E0" w14:textId="77777777" w:rsidR="00566A84" w:rsidRDefault="00566A84" w:rsidP="00E6586B">
      <w:pPr>
        <w:bidi/>
        <w:rPr>
          <w:rtl/>
          <w:lang w:val="en-US" w:bidi="fa-IR"/>
        </w:rPr>
      </w:pPr>
    </w:p>
    <w:p w14:paraId="66235125" w14:textId="77777777" w:rsidR="00566A84" w:rsidRPr="00D9209F" w:rsidRDefault="00566A84" w:rsidP="00D9209F">
      <w:pPr>
        <w:rPr>
          <w:lang w:val="en-US"/>
        </w:rPr>
      </w:pPr>
    </w:p>
    <w:p w14:paraId="42C4239B" w14:textId="77777777" w:rsidR="008A26C7" w:rsidRPr="008A26C7" w:rsidRDefault="008A26C7" w:rsidP="008A26C7">
      <w:pPr>
        <w:rPr>
          <w:lang w:val="en-US"/>
        </w:rPr>
      </w:pPr>
    </w:p>
    <w:tbl>
      <w:tblPr>
        <w:tblStyle w:val="PlainTable1"/>
        <w:tblW w:w="7945" w:type="dxa"/>
        <w:jc w:val="center"/>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FC67DE">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4"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4"/>
    </w:tbl>
    <w:p w14:paraId="266E72D2" w14:textId="77777777" w:rsidR="00DE08C6" w:rsidRDefault="00DE08C6" w:rsidP="004D4C2B">
      <w:pPr>
        <w:pStyle w:val="Heading1"/>
        <w:rPr>
          <w:lang w:val="en-US"/>
        </w:rPr>
      </w:pPr>
    </w:p>
    <w:p w14:paraId="015B7E5D" w14:textId="77777777" w:rsidR="00FC67DE" w:rsidRDefault="00FC67DE" w:rsidP="00FC67DE">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2E0B7207" w14:textId="77777777" w:rsidR="00FC67DE" w:rsidRDefault="00FC67DE" w:rsidP="00FC67DE"/>
    <w:p w14:paraId="082251E3" w14:textId="77777777" w:rsidR="00FC67DE" w:rsidRDefault="00FC67DE" w:rsidP="00FC67DE">
      <w:r>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27AC1A31" w14:textId="77777777" w:rsidR="00FC67DE" w:rsidRDefault="00FC67DE" w:rsidP="00FC67DE"/>
    <w:p w14:paraId="6F23BF03" w14:textId="6E81EA44" w:rsidR="00E34D8B" w:rsidRDefault="00FC67DE" w:rsidP="00FC67DE">
      <w:pPr>
        <w:rPr>
          <w:rtl/>
        </w:rPr>
      </w:pPr>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6535162B" w14:textId="77777777" w:rsidR="00E6586B" w:rsidRDefault="00E6586B" w:rsidP="00FC67DE">
      <w:pPr>
        <w:rPr>
          <w:rtl/>
        </w:rPr>
      </w:pPr>
    </w:p>
    <w:p w14:paraId="604044C3" w14:textId="77777777" w:rsidR="00E6586B" w:rsidRDefault="00E6586B" w:rsidP="00FC67DE">
      <w:pPr>
        <w:rPr>
          <w:rtl/>
        </w:rPr>
      </w:pPr>
    </w:p>
    <w:p w14:paraId="7ABEBC1E" w14:textId="77777777" w:rsidR="00E6586B" w:rsidRDefault="00E6586B" w:rsidP="00FC67DE">
      <w:pPr>
        <w:rPr>
          <w:lang w:val="en-US"/>
        </w:rPr>
      </w:pPr>
    </w:p>
    <w:p w14:paraId="7E4C30C2" w14:textId="77777777" w:rsidR="00E6586B" w:rsidRDefault="00E6586B" w:rsidP="00FC67DE">
      <w:pPr>
        <w:rPr>
          <w:lang w:val="en-US"/>
        </w:rPr>
      </w:pPr>
    </w:p>
    <w:p w14:paraId="6F662C71" w14:textId="77777777" w:rsidR="00E6586B" w:rsidRDefault="00E6586B" w:rsidP="00FC67DE">
      <w:pPr>
        <w:rPr>
          <w:lang w:val="en-US"/>
        </w:rPr>
      </w:pPr>
    </w:p>
    <w:p w14:paraId="1C84780F" w14:textId="77777777" w:rsidR="00E6586B" w:rsidRDefault="00E6586B" w:rsidP="00FC67DE">
      <w:pPr>
        <w:rPr>
          <w:lang w:val="en-US"/>
        </w:rPr>
      </w:pPr>
    </w:p>
    <w:p w14:paraId="64156A60" w14:textId="2C428AFA" w:rsidR="00E6586B" w:rsidRDefault="00E6586B" w:rsidP="00FC67DE">
      <w:pPr>
        <w:rPr>
          <w:lang w:val="en-US"/>
        </w:rPr>
      </w:pPr>
      <w:r>
        <w:rPr>
          <w:lang w:val="en-US"/>
        </w:rPr>
        <w:lastRenderedPageBreak/>
        <w:t>Taylor Diagram</w:t>
      </w:r>
    </w:p>
    <w:p w14:paraId="7210987D" w14:textId="77777777" w:rsidR="00B00AF4" w:rsidRDefault="00B00AF4" w:rsidP="00FC67DE">
      <w:pPr>
        <w:rPr>
          <w:lang w:val="en-US"/>
        </w:rPr>
      </w:pPr>
    </w:p>
    <w:p w14:paraId="55D48B9C" w14:textId="4DFFDFFE" w:rsidR="004F31AA" w:rsidRPr="004F31AA" w:rsidRDefault="004F31AA" w:rsidP="004F31AA">
      <w:pPr>
        <w:jc w:val="both"/>
        <w:rPr>
          <w:rFonts w:asciiTheme="majorBidi" w:hAnsiTheme="majorBidi" w:cstheme="majorBidi"/>
        </w:rPr>
      </w:pPr>
      <w:r w:rsidRPr="004F31AA">
        <w:rPr>
          <w:rFonts w:asciiTheme="majorBidi" w:hAnsiTheme="majorBidi" w:cstheme="majorBidi"/>
        </w:rPr>
        <w:t>From the previous section, the process of selecting the best model for further implementation was based on the separate analysis of accuracy metrics. However, as emphasized in Section 2.5, the identification of the optimal model should rely on a multidisciplinary approach. For this reason, several multidimensional visual evaluation methods—such as the Taylor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{"citationID":"GRcUpAVU","properties":{"formattedCitation":"(Taylor 2001)","plainCitation":"(Taylor 2001)","noteIndex":0},"citationItems":[{"id":1458,"uris":["http://zotero.org/users/13788649/items/PUDQ6FCH"],"itemData":{"id":1458,"type":"article-journal","abstract":"A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diagram","volume":"106","author":[{"family":"Taylor","given":"Karl E."}],"issued":{"date-parts":[["2001",4,16]]}}}],"schema":"https://github.com/citation-style-language/schema/raw/master/csl-citation.json"}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(Taylor 2001)</w:t>
      </w:r>
      <w:r w:rsidR="004C1612">
        <w:rPr>
          <w:rFonts w:asciiTheme="majorBidi" w:hAnsiTheme="majorBidi" w:cstheme="majorBidi"/>
        </w:rPr>
        <w:fldChar w:fldCharType="end"/>
      </w:r>
      <w:r w:rsidRPr="004F31AA">
        <w:rPr>
          <w:rFonts w:asciiTheme="majorBidi" w:hAnsiTheme="majorBidi" w:cstheme="majorBidi"/>
        </w:rPr>
        <w:t>, ARAS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{"citationID":"jaIH357t","properties":{"formattedCitation":"(Izzaddin et al. 2024)","plainCitation":"(Izzaddin et al. 2024)","noteIndex":0},"citationItems":[{"id":1455,"uris":["http://zotero.org/users/13788649/items/E62H5X22"],"itemData":{"id":1455,"type":"article-journal","abstract":"Abstract\n            In the latest years the capacity and complexity of climate and environmental modeling has increased considerably. Therefore, tools and criteria for model performance evaluation are needed to ensure that different users can benefit from model selection. Among graphical tools, Taylor’s diagram is widely used to provide evaluation and comparison of model performances, with particular emphasis on climate models. Taylor’s diagram accounts for different statistical features of model outputs and observations, including correlation, variability and centered root mean square error. Not included is model bias, which is an essential feature for climate model evaluations, and it is usually calculated separately to complement the information embedded in Taylor’s diagram. In this paper a new diagram is proposed, referred to as Aras’ diagram, which allows for visual assessments of the correspondence between model outputs and reference data in terms of total error, correlation, as well as bias and variability ratios through an easy-to-interpret two-dimensional (2D) plot, allowing for proper weighting of different model features. The strengths of the new diagram are exemplified in a case study of performance evaluation of EURO-CORDEX historical experiment over Southern Italy using E-OBS as reference dataset, for three hydrological variables (i.e. daily precipitation, daily surface minimum temperature, and daily maximum surface temperature), and four popular climate indices (i.e. total annual precipitation, annual maxima of daily precipitation, annual minima of daily minimum temperatures, and annual maxima of daily maximum temperatures). The proposed diagram shows interesting properties, in addition to those already included in Taylor’s diagram, which may help promoting climate model evaluations based on their accuracy in reproducing the climatological patterns observed in time and space.","container-title":"Stochastic Environmental Research and Risk Assessment","DOI":"10.1007/s00477-024-02678-3","ISSN":"1436-3240, 1436-3259","issue":"6","journalAbbreviation":"Stoch Environ Res Risk Assess","language":"en","page":"2261-2281","source":"DOI.org (Crossref)","title":"A new diagram for performance evaluation of complex models","volume":"38","author":[{"family":"Izzaddin","given":"Aras"},{"family":"Langousis","given":"Andreas"},{"family":"Totaro","given":"Vincenzo"},{"family":"Yaseen","given":"Marwah"},{"family":"Iacobellis","given":"Vito"}],"issued":{"date-parts":[["2024",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(Izzaddin et al. 2024)</w:t>
      </w:r>
      <w:r w:rsidR="004C1612">
        <w:rPr>
          <w:rFonts w:asciiTheme="majorBidi" w:hAnsiTheme="majorBidi" w:cstheme="majorBidi"/>
        </w:rPr>
        <w:fldChar w:fldCharType="end"/>
      </w:r>
      <w:r w:rsidRPr="004F31AA">
        <w:rPr>
          <w:rFonts w:asciiTheme="majorBidi" w:hAnsiTheme="majorBidi" w:cstheme="majorBidi"/>
        </w:rPr>
        <w:t>, and Target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{"citationID":"YS25fo2z","properties":{"formattedCitation":"(Jolliff et al. 2009)","plainCitation":"(Jolliff et al. 2009)","noteIndex":0},"citationItems":[{"id":1456,"uris":["http://zotero.org/users/13788649/items/GDGCRS8B"],"itemData":{"id":1456,"type":"article-journal","container-title":"Journal of Marine Systems","DOI":"10.1016/j.jmarsys.2008.05.014","ISSN":"09247963","issue":"1-2","journalAbbreviation":"Journal of Marine Systems","language":"en","page":"64-82","source":"DOI.org (Crossref)","title":"Summary diagrams for coupled hydrodynamic-ecosystem model skill assessment","volume":"76","author":[{"family":"Jolliff","given":"Jason K."},{"family":"Kindle","given":"John C."},{"family":"Shulman","given":"Igor"},{"family":"Penta","given":"Bradley"},{"family":"Friedrichs","given":"Marjorie A.M."},{"family":"Helber","given":"Robert"},{"family":"Arnone","given":"Robert A."}],"issued":{"date-parts":[["2009",2]]}}}],"schema":"https://github.com/citation-style-language/schema/raw/master/csl-citation.json"}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(Jolliff et al. 2009)</w:t>
      </w:r>
      <w:r w:rsidR="004C1612">
        <w:rPr>
          <w:rFonts w:asciiTheme="majorBidi" w:hAnsiTheme="majorBidi" w:cstheme="majorBidi"/>
        </w:rPr>
        <w:fldChar w:fldCharType="end"/>
      </w:r>
      <w:r w:rsidRPr="004F31AA">
        <w:rPr>
          <w:rFonts w:asciiTheme="majorBidi" w:hAnsiTheme="majorBidi" w:cstheme="majorBidi"/>
        </w:rPr>
        <w:t>—were introduced. These methods allow simultaneous consideration of different accuracy metrics (including standard deviation, root mean square error, and correlation coefficient) within a single visual framework, thereby facilitating a more comprehensive model selection process</w:t>
      </w:r>
      <w:r w:rsidR="00736629">
        <w:rPr>
          <w:rFonts w:asciiTheme="majorBidi" w:hAnsiTheme="majorBidi" w:cstheme="majorBidi"/>
        </w:rPr>
        <w:t xml:space="preserve"> </w:t>
      </w:r>
      <w:r w:rsidR="00736629">
        <w:rPr>
          <w:rFonts w:asciiTheme="majorBidi" w:hAnsiTheme="majorBidi" w:cstheme="majorBidi"/>
        </w:rPr>
        <w:fldChar w:fldCharType="begin"/>
      </w:r>
      <w:r w:rsidR="00736629">
        <w:rPr>
          <w:rFonts w:asciiTheme="majorBidi" w:hAnsiTheme="majorBidi" w:cstheme="majorBidi"/>
        </w:rPr>
        <w:instrText xml:space="preserve"> ADDIN ZOTERO_ITEM CSL_CITATION {"citationID":"DOTKlWr8","properties":{"formattedCitation":"(An\\uc0\\u382{}el et al. 2023; Uppalapati et al. 2025)","plainCitation":"(Anžel et al. 2023; Uppalapati et al. 2025)","noteIndex":0},"citationItems":[{"id":1461,"uris":["http://zotero.org/users/13788649/items/793MJCSZ"],"itemData":{"id":1461,"type":"article-journal","container-title":"Computer Methods and Programs in Biomedicine","DOI":"10.1016/j.cmpb.2023.107843","ISSN":"01692607","journalAbbreviation":"Computer Methods and Programs in Biomedicine","language":"en","page":"107843","source":"DOI.org (Crossref)","title":"Interactive polar diagrams for model comparison","volume":"242","author":[{"family":"Anžel","given":"Aleksandar"},{"family":"Heider","given":"Dominik"},{"family":"Hattab","given":"Georges"}],"issued":{"date-parts":[["2023",12]]}},"label":"page"},{"id":1459,"uris":["http://zotero.org/users/13788649/items/SV94E5AK"],"itemData":{"id":1459,"type":"article-journal","abstract":"Abstract\n            \n              Waste-to-energy conversion via pyrolysis has attracted increasing attention recently owing to its multiple uses. Among the products of this process, biochar stands out for its versatility, with its yield influenced by various factors. Extensive and labor-intensive experimental testing is sometimes necessary to properly grasp the output distribution from various feedstocks. Nonetheless, data-driven predictive models using large-scale historical experiment records can provide insightful analysis of projected yields from a variety of biomass materials, hence overcoming the challenges of empirical modeling. As such, five modern approaches available in modern machine learning are employed in this study to develop the biochar yield prediction models. The Lasso regression, Tweedie regression, random forest, XGBoost, and Gradient boosting regression were employed. Out of these five XGBoost was superior with a training mean squared error (MSE) of 1.17 and a test MSE of 2.94. The XGBoost-based biochar yield model shows excellent performance with a strong predictive accuracy of the R\n              2\n              values as 0.9739 (training) and 0.8875 (test). The mean absolute percentage error value was only 2.14% in the training phase and 3.8% in the testing phase. Precision prognostic technologies have broad effects on sectors including biomass logistics, conversion technologies, and effective biomass utilization as renewable energy. Leveraging SHAP based on cooperative game theory, the study shows that while ash and moisture lower biochar yield, FPT, nitrogen, and carbon content significantly boost it. Small variables like heating rate and volatile matter have a secondary impact on production efficiency.","container-title":"Scientific Reports","DOI":"10.1038/s41598-025-91450-w","ISSN":"2045-2322","issue":"1","journalAbbreviation":"Sci Rep","language":"en","page":"7105","source":"DOI.org (Crossref)","title":"Precision biochar yield forecasting employing random forest and XGBoost with Taylor diagram visualization","volume":"15","author":[{"family":"Uppalapati","given":"Sudhakar"},{"family":"Paramasivam","given":"Prabhu"},{"family":"Kilari","given":"Naveen"},{"family":"Chohan","given":"Jasgurpreet Singh"},{"family":"Kanti","given":"Praveen Kumar"},{"family":"Vemanaboina","given":"Harinadh"},{"family":"Dabelo","given":"Leliso Hobicho"},{"family":"Gupta","given":"Rupesh"}],"issued":{"date-parts":[["2025",2,27]]}},"label":"page"}],"schema":"https://github.com/citation-style-language/schema/raw/master/csl-citation.json"} </w:instrText>
      </w:r>
      <w:r w:rsidR="00736629">
        <w:rPr>
          <w:rFonts w:asciiTheme="majorBidi" w:hAnsiTheme="majorBidi" w:cstheme="majorBidi"/>
        </w:rPr>
        <w:fldChar w:fldCharType="separate"/>
      </w:r>
      <w:r w:rsidR="00736629" w:rsidRPr="00736629">
        <w:rPr>
          <w:rFonts w:eastAsiaTheme="minorHAnsi" w:hAnsiTheme="majorHAnsi"/>
          <w:lang w:val="en-US"/>
          <w14:ligatures w14:val="standardContextual"/>
        </w:rPr>
        <w:t>(An</w:t>
      </w:r>
      <w:r w:rsidR="00736629" w:rsidRPr="00736629">
        <w:rPr>
          <w:rFonts w:eastAsiaTheme="minorHAnsi" w:hAnsiTheme="majorHAnsi"/>
          <w:lang w:val="en-US"/>
          <w14:ligatures w14:val="standardContextual"/>
        </w:rPr>
        <w:t>ž</w:t>
      </w:r>
      <w:r w:rsidR="00736629" w:rsidRPr="00736629">
        <w:rPr>
          <w:rFonts w:eastAsiaTheme="minorHAnsi" w:hAnsiTheme="majorHAnsi"/>
          <w:lang w:val="en-US"/>
          <w14:ligatures w14:val="standardContextual"/>
        </w:rPr>
        <w:t>el et al. 2023; Uppalapati et al. 2025)</w:t>
      </w:r>
      <w:r w:rsidR="00736629">
        <w:rPr>
          <w:rFonts w:asciiTheme="majorBidi" w:hAnsiTheme="majorBidi" w:cstheme="majorBidi"/>
        </w:rPr>
        <w:fldChar w:fldCharType="end"/>
      </w:r>
      <w:r w:rsidRPr="004F31AA">
        <w:rPr>
          <w:rFonts w:asciiTheme="majorBidi" w:hAnsiTheme="majorBidi" w:cstheme="majorBidi"/>
        </w:rPr>
        <w:t>.</w:t>
      </w:r>
    </w:p>
    <w:p w14:paraId="55FCD336" w14:textId="74574842" w:rsidR="004F31AA" w:rsidRPr="004F31AA" w:rsidRDefault="004F31AA" w:rsidP="004F31AA">
      <w:pPr>
        <w:jc w:val="both"/>
        <w:rPr>
          <w:rFonts w:asciiTheme="majorBidi" w:hAnsiTheme="majorBidi" w:cstheme="majorBidi"/>
        </w:rPr>
      </w:pPr>
      <w:r w:rsidRPr="004F31AA">
        <w:rPr>
          <w:rFonts w:asciiTheme="majorBidi" w:hAnsiTheme="majorBidi" w:cstheme="majorBidi"/>
        </w:rPr>
        <w:t>Among these evaluation techniques, the Taylor diagram was selected due to its ability to integrate multiple statistical measures, as discussed earlier, and its established use as a well</w:t>
      </w:r>
      <w:r w:rsidRPr="004F31AA">
        <w:rPr>
          <w:rFonts w:asciiTheme="majorBidi" w:hAnsiTheme="majorBidi" w:cstheme="majorBidi"/>
        </w:rPr>
        <w:noBreakHyphen/>
        <w:t xml:space="preserve">recognized method in the field of artificial intelligence. The results of the Taylor diagram analysis for the current study are illustrated in Figures 12 and 13. Figure 12 presents the combined dataset, where both training and testing outputs were merged into a single universal dataset. The diagram clearly shows that the GPR and Ensemble models, with their higher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4F31AA">
        <w:rPr>
          <w:rFonts w:asciiTheme="majorBidi" w:hAnsiTheme="majorBidi" w:cstheme="majorBidi"/>
        </w:rPr>
        <w:t xml:space="preserve">values, lower standard deviations, and RMSD values closer to the actual </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z</m:t>
            </m:r>
          </m:sub>
        </m:sSub>
      </m:oMath>
      <w:r w:rsidRPr="004F31AA">
        <w:rPr>
          <w:rFonts w:asciiTheme="majorBidi" w:hAnsiTheme="majorBidi" w:cstheme="majorBidi"/>
        </w:rPr>
        <w:t>, exhibit superior performance. While SVR and KNN also demonstrate acceptable results, they do not outperform Ensemble and GPR. By contrast, the ANN model fails to adequately capture the complexity of the universal dataset, resulting in poor predictive accuracy.</w:t>
      </w:r>
    </w:p>
    <w:p w14:paraId="5F3F9BE7" w14:textId="77777777" w:rsidR="004F31AA" w:rsidRPr="004F31AA" w:rsidRDefault="004F31AA" w:rsidP="004F31AA">
      <w:pPr>
        <w:jc w:val="both"/>
        <w:rPr>
          <w:rFonts w:asciiTheme="majorBidi" w:hAnsiTheme="majorBidi" w:cstheme="majorBidi"/>
        </w:rPr>
      </w:pPr>
      <w:r w:rsidRPr="004F31AA">
        <w:rPr>
          <w:rFonts w:asciiTheme="majorBidi" w:hAnsiTheme="majorBidi" w:cstheme="majorBidi"/>
        </w:rPr>
        <w:t>Figure 13 highlights the novelty of this study by introducing workpiece alloy type as a primary evaluation criterion. The Taylor diagrams for Inconel, Aluminum, and Steel alloys are illustrated separately. The results indicate that the Ensemble method, which integrates multiple machine learning approaches, performs best for Steel and Aluminum datasets. However, due to the high complexity and severe data variation associated with Inconel 738, the GPR model provides the most reliable predictions, followed by the Ensemble method, which still delivers acceptable results.</w:t>
      </w:r>
    </w:p>
    <w:p w14:paraId="469C3B09" w14:textId="77777777" w:rsidR="00E6586B" w:rsidRDefault="00E6586B" w:rsidP="00FC67DE">
      <w:pPr>
        <w:rPr>
          <w:lang w:val="en-US"/>
        </w:rPr>
      </w:pPr>
    </w:p>
    <w:p w14:paraId="5AF5FBF6" w14:textId="26D95B46" w:rsidR="00E6586B" w:rsidRDefault="00E6586B" w:rsidP="00FC67DE">
      <w:pPr>
        <w:rPr>
          <w:lang w:val="en-US"/>
        </w:rPr>
      </w:pPr>
      <w:r>
        <w:rPr>
          <w:noProof/>
          <w:lang w:val="en-US"/>
          <w14:ligatures w14:val="standardContextual"/>
        </w:rPr>
        <w:lastRenderedPageBreak/>
        <w:drawing>
          <wp:inline distT="0" distB="0" distL="0" distR="0" wp14:anchorId="7B8F563B" wp14:editId="4C90C738">
            <wp:extent cx="5607224" cy="5607224"/>
            <wp:effectExtent l="0" t="0" r="6350" b="6350"/>
            <wp:docPr id="2140593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3989" name="Picture 2140593989"/>
                    <pic:cNvPicPr/>
                  </pic:nvPicPr>
                  <pic:blipFill>
                    <a:blip r:embed="rId22">
                      <a:extLst>
                        <a:ext uri="{28A0092B-C50C-407E-A947-70E740481C1C}">
                          <a14:useLocalDpi xmlns:a14="http://schemas.microsoft.com/office/drawing/2010/main" val="0"/>
                        </a:ext>
                      </a:extLst>
                    </a:blip>
                    <a:stretch>
                      <a:fillRect/>
                    </a:stretch>
                  </pic:blipFill>
                  <pic:spPr>
                    <a:xfrm>
                      <a:off x="0" y="0"/>
                      <a:ext cx="5620408" cy="5620408"/>
                    </a:xfrm>
                    <a:prstGeom prst="rect">
                      <a:avLst/>
                    </a:prstGeom>
                  </pic:spPr>
                </pic:pic>
              </a:graphicData>
            </a:graphic>
          </wp:inline>
        </w:drawing>
      </w:r>
    </w:p>
    <w:p w14:paraId="7AA81166" w14:textId="77777777" w:rsidR="00E6586B" w:rsidRDefault="00E6586B" w:rsidP="00FC67DE">
      <w:pPr>
        <w:rPr>
          <w:lang w:val="en-US"/>
        </w:rPr>
      </w:pPr>
    </w:p>
    <w:p w14:paraId="35545A94" w14:textId="77777777" w:rsidR="00E6586B" w:rsidRDefault="00E6586B" w:rsidP="00FC67DE">
      <w:pPr>
        <w:rPr>
          <w:lang w:val="en-US"/>
        </w:rPr>
      </w:pPr>
    </w:p>
    <w:p w14:paraId="12A260E9" w14:textId="77777777" w:rsidR="00E6586B" w:rsidRDefault="00E6586B" w:rsidP="00FC67DE">
      <w:pPr>
        <w:rPr>
          <w:lang w:val="en-US"/>
        </w:rPr>
      </w:pPr>
    </w:p>
    <w:tbl>
      <w:tblPr>
        <w:tblStyle w:val="TableGrid"/>
        <w:tblW w:w="0" w:type="auto"/>
        <w:tblLook w:val="04A0" w:firstRow="1" w:lastRow="0" w:firstColumn="1" w:lastColumn="0" w:noHBand="0" w:noVBand="1"/>
      </w:tblPr>
      <w:tblGrid>
        <w:gridCol w:w="3003"/>
        <w:gridCol w:w="3003"/>
        <w:gridCol w:w="3004"/>
      </w:tblGrid>
      <w:tr w:rsidR="00646692" w14:paraId="1F1D406C" w14:textId="77777777" w:rsidTr="00892805">
        <w:tc>
          <w:tcPr>
            <w:tcW w:w="3003" w:type="dxa"/>
          </w:tcPr>
          <w:p w14:paraId="0229F06F" w14:textId="4822D674" w:rsidR="00E6586B" w:rsidRDefault="005C6C38" w:rsidP="00646692">
            <w:pPr>
              <w:jc w:val="center"/>
              <w:rPr>
                <w:lang w:val="en-US"/>
              </w:rPr>
            </w:pPr>
            <w:r>
              <w:rPr>
                <w:noProof/>
                <w:lang w:val="en-US"/>
                <w14:ligatures w14:val="standardContextual"/>
              </w:rPr>
              <w:drawing>
                <wp:inline distT="0" distB="0" distL="0" distR="0" wp14:anchorId="7B8A0CEF" wp14:editId="09F37888">
                  <wp:extent cx="1675051" cy="1675051"/>
                  <wp:effectExtent l="0" t="0" r="1905" b="1905"/>
                  <wp:docPr id="2024629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29222" name="Picture 20246292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98612" cy="1698612"/>
                          </a:xfrm>
                          <a:prstGeom prst="rect">
                            <a:avLst/>
                          </a:prstGeom>
                        </pic:spPr>
                      </pic:pic>
                    </a:graphicData>
                  </a:graphic>
                </wp:inline>
              </w:drawing>
            </w:r>
          </w:p>
        </w:tc>
        <w:tc>
          <w:tcPr>
            <w:tcW w:w="3003" w:type="dxa"/>
          </w:tcPr>
          <w:p w14:paraId="1DF97445" w14:textId="559CCEBF" w:rsidR="00E6586B" w:rsidRDefault="00731493" w:rsidP="00646692">
            <w:pPr>
              <w:jc w:val="center"/>
              <w:rPr>
                <w:lang w:val="en-US"/>
              </w:rPr>
            </w:pPr>
            <w:r>
              <w:rPr>
                <w:noProof/>
                <w:lang w:val="en-US"/>
                <w14:ligatures w14:val="standardContextual"/>
              </w:rPr>
              <w:drawing>
                <wp:inline distT="0" distB="0" distL="0" distR="0" wp14:anchorId="7BB45AD6" wp14:editId="048F566E">
                  <wp:extent cx="1674495" cy="1674495"/>
                  <wp:effectExtent l="0" t="0" r="1905" b="1905"/>
                  <wp:docPr id="31552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5472" name="Picture 3155254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94334" cy="1694334"/>
                          </a:xfrm>
                          <a:prstGeom prst="rect">
                            <a:avLst/>
                          </a:prstGeom>
                        </pic:spPr>
                      </pic:pic>
                    </a:graphicData>
                  </a:graphic>
                </wp:inline>
              </w:drawing>
            </w:r>
          </w:p>
        </w:tc>
        <w:tc>
          <w:tcPr>
            <w:tcW w:w="3004" w:type="dxa"/>
          </w:tcPr>
          <w:p w14:paraId="05EE396A" w14:textId="3047F55F" w:rsidR="00E6586B" w:rsidRDefault="00646692" w:rsidP="00646692">
            <w:pPr>
              <w:jc w:val="center"/>
              <w:rPr>
                <w:lang w:val="en-US"/>
              </w:rPr>
            </w:pPr>
            <w:r>
              <w:rPr>
                <w:noProof/>
                <w:lang w:val="en-US"/>
                <w14:ligatures w14:val="standardContextual"/>
              </w:rPr>
              <w:drawing>
                <wp:inline distT="0" distB="0" distL="0" distR="0" wp14:anchorId="539D00DF" wp14:editId="0E5F9978">
                  <wp:extent cx="1674495" cy="1674495"/>
                  <wp:effectExtent l="0" t="0" r="1905" b="1905"/>
                  <wp:docPr id="808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47" name="Picture 80839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91317" cy="1691317"/>
                          </a:xfrm>
                          <a:prstGeom prst="rect">
                            <a:avLst/>
                          </a:prstGeom>
                        </pic:spPr>
                      </pic:pic>
                    </a:graphicData>
                  </a:graphic>
                </wp:inline>
              </w:drawing>
            </w:r>
          </w:p>
        </w:tc>
      </w:tr>
      <w:tr w:rsidR="00646692" w14:paraId="27534B68" w14:textId="77777777" w:rsidTr="00892805">
        <w:tc>
          <w:tcPr>
            <w:tcW w:w="3003" w:type="dxa"/>
          </w:tcPr>
          <w:p w14:paraId="403D2974" w14:textId="6B1E7CF4" w:rsidR="00E6586B" w:rsidRPr="00646692" w:rsidRDefault="00646692" w:rsidP="00646692">
            <w:pPr>
              <w:pStyle w:val="ListParagraph"/>
              <w:numPr>
                <w:ilvl w:val="0"/>
                <w:numId w:val="12"/>
              </w:numPr>
              <w:jc w:val="center"/>
              <w:rPr>
                <w:lang w:val="en-US"/>
              </w:rPr>
            </w:pPr>
            <w:r>
              <w:rPr>
                <w:lang w:val="en-US"/>
              </w:rPr>
              <w:t>Inconel</w:t>
            </w:r>
          </w:p>
        </w:tc>
        <w:tc>
          <w:tcPr>
            <w:tcW w:w="3003" w:type="dxa"/>
          </w:tcPr>
          <w:p w14:paraId="056C2627" w14:textId="204FE0A8" w:rsidR="00E6586B" w:rsidRPr="00646692" w:rsidRDefault="00646692" w:rsidP="00646692">
            <w:pPr>
              <w:pStyle w:val="ListParagraph"/>
              <w:numPr>
                <w:ilvl w:val="0"/>
                <w:numId w:val="12"/>
              </w:numPr>
              <w:jc w:val="center"/>
              <w:rPr>
                <w:lang w:val="en-US"/>
              </w:rPr>
            </w:pPr>
            <w:r>
              <w:rPr>
                <w:lang w:val="en-US"/>
              </w:rPr>
              <w:t>Aluminum</w:t>
            </w:r>
          </w:p>
        </w:tc>
        <w:tc>
          <w:tcPr>
            <w:tcW w:w="3004" w:type="dxa"/>
          </w:tcPr>
          <w:p w14:paraId="210065EF" w14:textId="3C8F83B6" w:rsidR="00E6586B" w:rsidRPr="00646692" w:rsidRDefault="00646692" w:rsidP="00646692">
            <w:pPr>
              <w:pStyle w:val="ListParagraph"/>
              <w:numPr>
                <w:ilvl w:val="0"/>
                <w:numId w:val="12"/>
              </w:numPr>
              <w:jc w:val="center"/>
              <w:rPr>
                <w:lang w:val="en-US"/>
              </w:rPr>
            </w:pPr>
            <w:r>
              <w:rPr>
                <w:lang w:val="en-US"/>
              </w:rPr>
              <w:t>Steel</w:t>
            </w:r>
          </w:p>
        </w:tc>
      </w:tr>
      <w:tr w:rsidR="00646692" w14:paraId="51ED4F8E" w14:textId="77777777" w:rsidTr="00892805">
        <w:tc>
          <w:tcPr>
            <w:tcW w:w="9010" w:type="dxa"/>
            <w:gridSpan w:val="3"/>
          </w:tcPr>
          <w:p w14:paraId="4615EB36" w14:textId="7D10634D" w:rsidR="00646692" w:rsidRPr="00646692" w:rsidRDefault="00646692" w:rsidP="00646692">
            <w:pPr>
              <w:rPr>
                <w:lang w:val="en-US"/>
              </w:rPr>
            </w:pPr>
            <w:r>
              <w:rPr>
                <w:lang w:val="en-US"/>
              </w:rPr>
              <w:t xml:space="preserve">Figure </w:t>
            </w:r>
            <w:r w:rsidR="00892805">
              <w:rPr>
                <w:lang w:val="en-US"/>
              </w:rPr>
              <w:t>13</w:t>
            </w:r>
          </w:p>
        </w:tc>
      </w:tr>
    </w:tbl>
    <w:p w14:paraId="2DA84E86" w14:textId="77777777" w:rsidR="00E6586B" w:rsidRPr="00E6586B" w:rsidRDefault="00E6586B" w:rsidP="00FC67DE">
      <w:pPr>
        <w:rPr>
          <w:lang w:val="en-US"/>
        </w:rPr>
      </w:pPr>
    </w:p>
    <w:p w14:paraId="4F8A3A14" w14:textId="4AF9E06E" w:rsidR="00DE08C6" w:rsidRDefault="00E34D8B" w:rsidP="00E34D8B">
      <w:pPr>
        <w:pStyle w:val="Heading1"/>
        <w:pageBreakBefore/>
        <w:rPr>
          <w:lang w:val="en-US"/>
        </w:rPr>
      </w:pPr>
      <w:r>
        <w:rPr>
          <w:lang w:val="en-US"/>
        </w:rPr>
        <w:lastRenderedPageBreak/>
        <w:t>Sensitivity Analysis</w:t>
      </w:r>
    </w:p>
    <w:p w14:paraId="45887E2E" w14:textId="77777777" w:rsidR="00E34D8B" w:rsidRDefault="00E34D8B" w:rsidP="00E34D8B">
      <w:pPr>
        <w:rPr>
          <w:rtl/>
          <w:lang w:val="en-US"/>
        </w:rPr>
      </w:pPr>
    </w:p>
    <w:p w14:paraId="22AD6667" w14:textId="77777777" w:rsidR="002C68CF" w:rsidRPr="002C68CF" w:rsidRDefault="002C68CF" w:rsidP="002C68CF">
      <w:pPr>
        <w:rPr>
          <w:lang w:val="en-US"/>
        </w:rPr>
      </w:pPr>
      <w:r w:rsidRPr="002C68CF">
        <w:rPr>
          <w:lang w:val="en-US"/>
        </w:rPr>
        <w:t>The sensitivity analysis, or parameter importance evaluation, was conducted using the two best-performing machine learning models identified in this study: Ensemble and Gaussian Process Regression (GPR). The results are illustrated in Figures 14 and 15, corresponding to the Ensemble and GPR models, respectively.</w:t>
      </w:r>
    </w:p>
    <w:p w14:paraId="7C78D53F" w14:textId="77777777" w:rsidR="002C68CF" w:rsidRPr="002C68CF" w:rsidRDefault="002C68CF" w:rsidP="002C68CF">
      <w:pPr>
        <w:rPr>
          <w:lang w:val="en-US"/>
        </w:rPr>
      </w:pPr>
      <w:r w:rsidRPr="002C68CF">
        <w:rPr>
          <w:lang w:val="en-US"/>
        </w:rPr>
        <w:t>One of the key insights derived from these diagrams is that newly introduced parameters—such as alloy type and grinding wheel type—exhibit comparable influence on surface roughness to traditionally recognized factors like depth of grinding, specific removal rate, and coolant type. This highlights the strong relationship between these variables and the final surface quality, validating the inclusion of alloy type and grinding wheel type in the modeling process and supporting their relevance for future implementations.</w:t>
      </w:r>
    </w:p>
    <w:p w14:paraId="4187464E" w14:textId="1E9CB674" w:rsidR="00E34D8B" w:rsidRDefault="002C68CF" w:rsidP="002C68CF">
      <w:pPr>
        <w:rPr>
          <w:lang w:val="en-US"/>
        </w:rPr>
      </w:pPr>
      <w:r w:rsidRPr="002C68CF">
        <w:rPr>
          <w:lang w:val="en-US"/>
        </w:rPr>
        <w:t>As shown in Figure 14, the Ensemble model emphasizes the critical role of dressing parameters in determining surface roughness. Additionally, it is evident that the quality and characteristics of the grinding wheel have a direct and substantial impact on the final surface finish. These findings reinforce the importance of carefully selecting and controlling these parameters to optimize grinding performance.</w:t>
      </w:r>
    </w:p>
    <w:p w14:paraId="7589F8AD" w14:textId="77777777" w:rsidR="002C68CF" w:rsidRDefault="002C68CF" w:rsidP="002C68CF">
      <w:pPr>
        <w:rPr>
          <w:lang w:val="en-US"/>
        </w:rPr>
      </w:pPr>
    </w:p>
    <w:p w14:paraId="22E4ED74" w14:textId="0DCD606A" w:rsidR="00E34D8B" w:rsidRDefault="009F4BCE" w:rsidP="00E34D8B">
      <w:pPr>
        <w:rPr>
          <w:lang w:val="en-US"/>
        </w:rPr>
      </w:pPr>
      <w:r>
        <w:rPr>
          <w:noProof/>
          <w14:ligatures w14:val="standardContextual"/>
        </w:rPr>
        <w:drawing>
          <wp:inline distT="0" distB="0" distL="0" distR="0" wp14:anchorId="1AF87863" wp14:editId="0357927F">
            <wp:extent cx="5727700" cy="2936875"/>
            <wp:effectExtent l="0" t="0" r="0" b="0"/>
            <wp:docPr id="1306497219" name="Chart 1">
              <a:extLst xmlns:a="http://schemas.openxmlformats.org/drawingml/2006/main">
                <a:ext uri="{FF2B5EF4-FFF2-40B4-BE49-F238E27FC236}">
                  <a16:creationId xmlns:a16="http://schemas.microsoft.com/office/drawing/2014/main" id="{39B208A6-E7DD-5A3B-59D6-FDC3FA36F5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AC713F7" w14:textId="09A5204E" w:rsidR="00E34D8B" w:rsidRDefault="00E34D8B" w:rsidP="00E34D8B">
      <w:pPr>
        <w:rPr>
          <w:noProof/>
          <w14:ligatures w14:val="standardContextual"/>
        </w:rPr>
      </w:pPr>
    </w:p>
    <w:p w14:paraId="3DF625F2" w14:textId="77777777" w:rsidR="00E34D8B" w:rsidRDefault="00E34D8B" w:rsidP="00E34D8B">
      <w:pPr>
        <w:rPr>
          <w:lang w:val="en-US"/>
        </w:rPr>
      </w:pPr>
    </w:p>
    <w:p w14:paraId="44BC2D66" w14:textId="4D5A3CEA" w:rsidR="00FC39A7" w:rsidRPr="002C68CF" w:rsidRDefault="00F70307" w:rsidP="002C68CF">
      <w:pPr>
        <w:rPr>
          <w:noProof/>
          <w14:ligatures w14:val="standardContextual"/>
        </w:rPr>
      </w:pPr>
      <w:r>
        <w:rPr>
          <w:noProof/>
          <w14:ligatures w14:val="standardContextual"/>
        </w:rPr>
        <w:lastRenderedPageBreak/>
        <w:drawing>
          <wp:inline distT="0" distB="0" distL="0" distR="0" wp14:anchorId="382E6B09" wp14:editId="73510450">
            <wp:extent cx="5727700" cy="2936875"/>
            <wp:effectExtent l="0" t="0" r="0" b="0"/>
            <wp:docPr id="1708372100" name="Chart 1">
              <a:extLst xmlns:a="http://schemas.openxmlformats.org/drawingml/2006/main">
                <a:ext uri="{FF2B5EF4-FFF2-40B4-BE49-F238E27FC236}">
                  <a16:creationId xmlns:a16="http://schemas.microsoft.com/office/drawing/2014/main" id="{B64EEE2F-7FD7-B441-8FAC-33B28463E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C0F5379" w14:textId="6DD1354D" w:rsidR="00FC39A7" w:rsidRDefault="00FC39A7" w:rsidP="00D05C64">
      <w:pPr>
        <w:pStyle w:val="Heading2"/>
        <w:rPr>
          <w:rtl/>
          <w:lang w:val="en-US"/>
        </w:rPr>
      </w:pPr>
      <w:r>
        <w:rPr>
          <w:lang w:val="en-US"/>
        </w:rPr>
        <w:t>Digitalization</w:t>
      </w:r>
    </w:p>
    <w:p w14:paraId="23B10954" w14:textId="77777777" w:rsidR="00673C18" w:rsidRDefault="00673C18" w:rsidP="00FC39A7">
      <w:pPr>
        <w:rPr>
          <w:lang w:val="en-US"/>
        </w:rPr>
      </w:pPr>
    </w:p>
    <w:p w14:paraId="1490BAEB" w14:textId="77777777" w:rsidR="002507C7" w:rsidRPr="002507C7" w:rsidRDefault="002507C7" w:rsidP="002507C7">
      <w:pPr>
        <w:jc w:val="both"/>
        <w:rPr>
          <w:lang w:val="en-US"/>
        </w:rPr>
      </w:pPr>
      <w:r w:rsidRPr="002507C7">
        <w:rPr>
          <w:lang w:val="en-US"/>
        </w:rPr>
        <w:t>The final step in the analysis procedure involves the development of a user-friendly interface application that integrates all previous components into a single, general-purpose platform. This universal application enhances both algebraic analysis and predictive modeling of field and experimental data, thereby accelerating the overall evaluation process. One of the key aspects of such digital platforms is the creation of fit-for-purpose software packages that are compatible with multiple operating systems (e.g., Windows and macOS). As illustrated in Figure 16, the macOS-compatible version of the application is shown; however, the interface remains consistent across both platforms.</w:t>
      </w:r>
    </w:p>
    <w:p w14:paraId="595622FA" w14:textId="278E737C" w:rsidR="002507C7" w:rsidRPr="002507C7" w:rsidRDefault="002507C7" w:rsidP="00D05C64">
      <w:pPr>
        <w:jc w:val="both"/>
        <w:rPr>
          <w:lang w:val="en-US"/>
        </w:rPr>
      </w:pPr>
      <w:r w:rsidRPr="002507C7">
        <w:rPr>
          <w:lang w:val="en-US"/>
        </w:rPr>
        <w:t>The general-purpose platform is structured in multiple layers. The initial layer—the backend—contains the predefined dataset used in this study. However, the platform is designed to accept new datasets and can also connect to SQL-based databases, thereby enhancing its flexibility and universality. Furthermore, the backend incorporates all machine learning models discussed in the study. The initial analysis procedure involves training the models on the dataset, testing their performance, selecting the best-performing algorithm, and reporting the results through the user interface, as demonstrated in Figure 16.</w:t>
      </w:r>
    </w:p>
    <w:p w14:paraId="5C0D311E" w14:textId="43F4F602" w:rsidR="002507C7" w:rsidRDefault="002507C7" w:rsidP="00D05C64">
      <w:pPr>
        <w:jc w:val="both"/>
        <w:rPr>
          <w:lang w:val="en-US"/>
        </w:rPr>
      </w:pPr>
      <w:r w:rsidRPr="002507C7">
        <w:rPr>
          <w:lang w:val="en-US"/>
        </w:rPr>
        <w:t>The next layer is the front-end, which allows users to input their own values for the grinding parameters. Based on the current study, the interface includes ten grinding parameters, reflecting the scope of the dataset. End-users can select their desired input values, and the software—using the best-trained and selected model—predicts the corresponding surface roughness. It is important to note that the predicted surface roughness is an estimated value based on the selected model and reflects the average accuracy of that model.</w:t>
      </w:r>
    </w:p>
    <w:p w14:paraId="534C56A7" w14:textId="60C01510" w:rsidR="00D05C64" w:rsidRDefault="00D05C64" w:rsidP="00D05C64">
      <w:pPr>
        <w:jc w:val="both"/>
        <w:rPr>
          <w:lang w:val="en-US"/>
        </w:rPr>
      </w:pPr>
      <w:r w:rsidRPr="00D05C64">
        <w:rPr>
          <w:lang w:val="en-US"/>
        </w:rPr>
        <w:t>This layered architecture ensures efficient data processing and intuitive user interaction, ultimately enhancing the usability and functionality of the software. It should be noted that the development of this digital platform, while grounded in machine learning concepts, is not cloud-based due to data privacy concerns and institutional policies set by the data source provider.</w:t>
      </w:r>
    </w:p>
    <w:p w14:paraId="2A61F122" w14:textId="1EE8818F" w:rsidR="00FC39A7" w:rsidRDefault="00FC39A7" w:rsidP="00FC39A7">
      <w:pPr>
        <w:rPr>
          <w:lang w:val="en-US"/>
        </w:rPr>
      </w:pPr>
      <w:r w:rsidRPr="00FC39A7">
        <w:rPr>
          <w:noProof/>
          <w:lang w:val="en-US"/>
        </w:rPr>
        <w:lastRenderedPageBreak/>
        <w:drawing>
          <wp:inline distT="0" distB="0" distL="0" distR="0" wp14:anchorId="58BEFB80" wp14:editId="5C875A90">
            <wp:extent cx="5727700" cy="3535680"/>
            <wp:effectExtent l="0" t="0" r="0" b="0"/>
            <wp:docPr id="15867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497" name=""/>
                    <pic:cNvPicPr/>
                  </pic:nvPicPr>
                  <pic:blipFill>
                    <a:blip r:embed="rId28"/>
                    <a:stretch>
                      <a:fillRect/>
                    </a:stretch>
                  </pic:blipFill>
                  <pic:spPr>
                    <a:xfrm>
                      <a:off x="0" y="0"/>
                      <a:ext cx="5727700" cy="3535680"/>
                    </a:xfrm>
                    <a:prstGeom prst="rect">
                      <a:avLst/>
                    </a:prstGeom>
                  </pic:spPr>
                </pic:pic>
              </a:graphicData>
            </a:graphic>
          </wp:inline>
        </w:drawing>
      </w:r>
    </w:p>
    <w:p w14:paraId="528545BA" w14:textId="77777777" w:rsidR="00FC39A7" w:rsidRPr="00FC39A7" w:rsidRDefault="00FC39A7" w:rsidP="00FC39A7">
      <w:pPr>
        <w:rPr>
          <w:lang w:val="en-US"/>
        </w:rPr>
      </w:pPr>
    </w:p>
    <w:p w14:paraId="587BDCEA" w14:textId="7637A38C" w:rsidR="004B7B0B" w:rsidRDefault="00B2390C" w:rsidP="00DE08C6">
      <w:pPr>
        <w:pStyle w:val="Heading1"/>
        <w:pageBreakBefore/>
        <w:rPr>
          <w:lang w:val="en-US"/>
        </w:rPr>
      </w:pPr>
      <w:r>
        <w:rPr>
          <w:lang w:val="en-US"/>
        </w:rPr>
        <w:lastRenderedPageBreak/>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393DAE97">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val="en-US"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Feed rate (Table speed V</w:t>
            </w:r>
            <w:r w:rsidRPr="006910C9">
              <w:rPr>
                <w:rFonts w:asciiTheme="majorBidi" w:hAnsiTheme="majorBidi" w:cstheme="majorBidi"/>
                <w:b w:val="0"/>
                <w:bCs w:val="0"/>
                <w:sz w:val="20"/>
                <w:szCs w:val="20"/>
                <w:vertAlign w:val="subscript"/>
                <w:lang w:val="en-US" w:bidi="fa-IR"/>
              </w:rPr>
              <w:t>ft</w:t>
            </w:r>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(V</w:t>
            </w:r>
            <w:r w:rsidRPr="006910C9">
              <w:rPr>
                <w:rFonts w:asciiTheme="majorBidi" w:hAnsiTheme="majorBidi" w:cstheme="majorBidi"/>
                <w:b w:val="0"/>
                <w:bCs w:val="0"/>
                <w:sz w:val="20"/>
                <w:szCs w:val="20"/>
                <w:vertAlign w:val="subscript"/>
                <w:lang w:val="en-US"/>
              </w:rPr>
              <w:t>fd</w:t>
            </w:r>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(Schwaz,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(V</w:t>
            </w:r>
            <w:r w:rsidRPr="0068126A">
              <w:rPr>
                <w:rFonts w:asciiTheme="majorBidi" w:hAnsiTheme="majorBidi" w:cstheme="majorBidi"/>
                <w:b w:val="0"/>
                <w:bCs w:val="0"/>
                <w:sz w:val="20"/>
                <w:szCs w:val="20"/>
                <w:vertAlign w:val="subscript"/>
                <w:lang w:val="en-US"/>
              </w:rPr>
              <w:t>ft</w:t>
            </w:r>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(V</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5, 15, 25, 35, 45, 55, and 65 μm</w:t>
            </w:r>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lang w:val="en-US"/>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(V</w:t>
            </w:r>
            <w:r w:rsidRPr="0068126A">
              <w:rPr>
                <w:rFonts w:asciiTheme="majorBidi" w:hAnsiTheme="majorBidi" w:cstheme="majorBidi"/>
                <w:b w:val="0"/>
                <w:bCs w:val="0"/>
                <w:sz w:val="20"/>
                <w:szCs w:val="20"/>
                <w:vertAlign w:val="subscript"/>
                <w:lang w:val="en-US"/>
              </w:rPr>
              <w:t>ft</w:t>
            </w:r>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(V</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5, 15, 25, 35, 45, 55, and 65 μm</w:t>
            </w:r>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lang w:val="en-US"/>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5F9E111A" w14:textId="77777777" w:rsidR="00736629" w:rsidRPr="00736629" w:rsidRDefault="00CA0097" w:rsidP="00736629">
      <w:pPr>
        <w:pStyle w:val="Bibliography"/>
        <w:rPr>
          <w:rFonts w:eastAsiaTheme="minorHAnsi"/>
          <w:lang w:val="en-US"/>
        </w:rPr>
      </w:pPr>
      <w:r>
        <w:rPr>
          <w:rFonts w:asciiTheme="majorBidi" w:hAnsiTheme="majorBidi" w:cstheme="majorBidi"/>
          <w:lang w:bidi="fa-IR"/>
        </w:rPr>
        <w:fldChar w:fldCharType="begin"/>
      </w:r>
      <w:r w:rsidR="004C1612">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736629" w:rsidRPr="00736629">
        <w:rPr>
          <w:rFonts w:eastAsiaTheme="minorHAnsi"/>
          <w:lang w:val="en-US"/>
        </w:rPr>
        <w:t xml:space="preserve">Abbas, Adel T., Neeraj Sharma, Essam A. Al-Bahkali, Vishal S. Sharma, Irfan Farooq, and Ahmed Elkaseer. 2023. “A Machine Learning Perspective to the Investigation of Surface Integrity of Al/SiC/Gr Composite on EDM.” </w:t>
      </w:r>
      <w:r w:rsidR="00736629" w:rsidRPr="00736629">
        <w:rPr>
          <w:rFonts w:eastAsiaTheme="minorHAnsi"/>
          <w:i/>
          <w:iCs/>
          <w:lang w:val="en-US"/>
        </w:rPr>
        <w:t>Journal of Manufacturing and Materials Processing</w:t>
      </w:r>
      <w:r w:rsidR="00736629" w:rsidRPr="00736629">
        <w:rPr>
          <w:rFonts w:eastAsiaTheme="minorHAnsi"/>
          <w:lang w:val="en-US"/>
        </w:rPr>
        <w:t xml:space="preserve"> 7 (5): 163. https://doi.org/10.3390/jmmp7050163.</w:t>
      </w:r>
    </w:p>
    <w:p w14:paraId="4E02F08E" w14:textId="77777777" w:rsidR="00736629" w:rsidRPr="00736629" w:rsidRDefault="00736629" w:rsidP="00736629">
      <w:pPr>
        <w:pStyle w:val="Bibliography"/>
        <w:rPr>
          <w:rFonts w:eastAsiaTheme="minorHAnsi"/>
          <w:lang w:val="en-US"/>
        </w:rPr>
      </w:pPr>
      <w:r w:rsidRPr="00736629">
        <w:rPr>
          <w:rFonts w:eastAsiaTheme="minorHAnsi"/>
          <w:lang w:val="en-US"/>
        </w:rPr>
        <w:t xml:space="preserve">Abdumalikov, Sherzod, Jingeun Kim, and Yourim Yoon. 2024. “Performance Analysis and Improvement of Machine Learning with Various Feature Selection Methods for EEG-Based Emotion Classification.” </w:t>
      </w:r>
      <w:r w:rsidRPr="00736629">
        <w:rPr>
          <w:rFonts w:eastAsiaTheme="minorHAnsi"/>
          <w:i/>
          <w:iCs/>
          <w:lang w:val="en-US"/>
        </w:rPr>
        <w:t>Applied Sciences</w:t>
      </w:r>
      <w:r w:rsidRPr="00736629">
        <w:rPr>
          <w:rFonts w:eastAsiaTheme="minorHAnsi"/>
          <w:lang w:val="en-US"/>
        </w:rPr>
        <w:t xml:space="preserve"> 14 (22): 10511. https://doi.org/10.3390/app142210511.</w:t>
      </w:r>
    </w:p>
    <w:p w14:paraId="61D356D1" w14:textId="77777777" w:rsidR="00736629" w:rsidRPr="00736629" w:rsidRDefault="00736629" w:rsidP="00736629">
      <w:pPr>
        <w:pStyle w:val="Bibliography"/>
        <w:rPr>
          <w:rFonts w:eastAsiaTheme="minorHAnsi"/>
          <w:lang w:val="en-US"/>
        </w:rPr>
      </w:pPr>
      <w:r w:rsidRPr="00736629">
        <w:rPr>
          <w:rFonts w:eastAsiaTheme="minorHAnsi"/>
          <w:lang w:val="en-US"/>
        </w:rPr>
        <w:t>Abyaneh, Mohsen Dehghanpour, Mohammad Sadegh Javadi, Parviz Narimani, Marzieh Golabchi, Rafaella Sesana, and Mohammadjafar Hadad. 2025. “Enhancing Grinding Efficiency in Aluminum Alloys: An Ensemble‑Stacking and Single Machine Learning Framework for Predicting Surface Roughness with SHAP-Based Interpretability.” Preprint, In Review, October 20. https://doi.org/10.21203/rs.3.rs-7647149/v1.</w:t>
      </w:r>
    </w:p>
    <w:p w14:paraId="03B68AF6" w14:textId="77777777" w:rsidR="00736629" w:rsidRPr="00736629" w:rsidRDefault="00736629" w:rsidP="00736629">
      <w:pPr>
        <w:pStyle w:val="Bibliography"/>
        <w:rPr>
          <w:rFonts w:eastAsiaTheme="minorHAnsi"/>
          <w:lang w:val="en-US"/>
        </w:rPr>
      </w:pPr>
      <w:r w:rsidRPr="00736629">
        <w:rPr>
          <w:rFonts w:eastAsiaTheme="minorHAnsi"/>
          <w:lang w:val="en-US"/>
        </w:rPr>
        <w:t xml:space="preserve">Anžel, Aleksandar, Dominik Heider, and Georges Hattab. 2023. “Interactive Polar Diagrams for Model Comparison.” </w:t>
      </w:r>
      <w:r w:rsidRPr="00736629">
        <w:rPr>
          <w:rFonts w:eastAsiaTheme="minorHAnsi"/>
          <w:i/>
          <w:iCs/>
          <w:lang w:val="en-US"/>
        </w:rPr>
        <w:t>Computer Methods and Programs in Biomedicine</w:t>
      </w:r>
      <w:r w:rsidRPr="00736629">
        <w:rPr>
          <w:rFonts w:eastAsiaTheme="minorHAnsi"/>
          <w:lang w:val="en-US"/>
        </w:rPr>
        <w:t xml:space="preserve"> 242 (December): 107843. https://doi.org/10.1016/j.cmpb.2023.107843.</w:t>
      </w:r>
    </w:p>
    <w:p w14:paraId="0CFDBC96" w14:textId="77777777" w:rsidR="00736629" w:rsidRPr="00736629" w:rsidRDefault="00736629" w:rsidP="00736629">
      <w:pPr>
        <w:pStyle w:val="Bibliography"/>
        <w:rPr>
          <w:rFonts w:eastAsiaTheme="minorHAnsi"/>
          <w:lang w:val="en-US"/>
        </w:rPr>
      </w:pPr>
      <w:r w:rsidRPr="00736629">
        <w:rPr>
          <w:rFonts w:eastAsiaTheme="minorHAnsi"/>
          <w:lang w:val="en-US"/>
        </w:rPr>
        <w:t>Ardabili, Sina, Amir Mosavi, and Annamária R. Várkonyi-Kóczy. 2019. “Advances in Machine Learning Modeling Reviewing Hybrid and Ensemble Methods.” Preprint, MATHEMATICS &amp; COMPUTER SCIENCE, August 20. https://doi.org/10.20944/preprints201908.0203.v1.</w:t>
      </w:r>
    </w:p>
    <w:p w14:paraId="7D388953" w14:textId="77777777" w:rsidR="00736629" w:rsidRPr="00736629" w:rsidRDefault="00736629" w:rsidP="00736629">
      <w:pPr>
        <w:pStyle w:val="Bibliography"/>
        <w:rPr>
          <w:rFonts w:eastAsiaTheme="minorHAnsi"/>
          <w:lang w:val="en-US"/>
        </w:rPr>
      </w:pPr>
      <w:r w:rsidRPr="00736629">
        <w:rPr>
          <w:rFonts w:eastAsiaTheme="minorHAnsi"/>
          <w:lang w:val="en-US"/>
        </w:rPr>
        <w:t xml:space="preserve">Aurich, J.C., D. Dornfeld, P.J. Arrazola, V. Franke, L. Leitz, and S. Min. 2009. “Burrs—Analysis, Control and Removal.” </w:t>
      </w:r>
      <w:r w:rsidRPr="00736629">
        <w:rPr>
          <w:rFonts w:eastAsiaTheme="minorHAnsi"/>
          <w:i/>
          <w:iCs/>
          <w:lang w:val="en-US"/>
        </w:rPr>
        <w:t>CIRP Annals</w:t>
      </w:r>
      <w:r w:rsidRPr="00736629">
        <w:rPr>
          <w:rFonts w:eastAsiaTheme="minorHAnsi"/>
          <w:lang w:val="en-US"/>
        </w:rPr>
        <w:t xml:space="preserve"> 58 (2): 519–42. https://doi.org/10.1016/j.cirp.2009.09.004.</w:t>
      </w:r>
    </w:p>
    <w:p w14:paraId="7CF93640" w14:textId="77777777" w:rsidR="00736629" w:rsidRPr="00736629" w:rsidRDefault="00736629" w:rsidP="00736629">
      <w:pPr>
        <w:pStyle w:val="Bibliography"/>
        <w:rPr>
          <w:rFonts w:eastAsiaTheme="minorHAnsi"/>
          <w:lang w:val="en-US"/>
        </w:rPr>
      </w:pPr>
      <w:r w:rsidRPr="00736629">
        <w:rPr>
          <w:rFonts w:eastAsiaTheme="minorHAnsi"/>
          <w:lang w:val="en-US"/>
        </w:rPr>
        <w:t xml:space="preserve">Awad, Mariette, and Rahul Khanna. 2015. “Support Vector Regression.” In </w:t>
      </w:r>
      <w:r w:rsidRPr="00736629">
        <w:rPr>
          <w:rFonts w:eastAsiaTheme="minorHAnsi"/>
          <w:i/>
          <w:iCs/>
          <w:lang w:val="en-US"/>
        </w:rPr>
        <w:t>Efficient Learning Machines</w:t>
      </w:r>
      <w:r w:rsidRPr="00736629">
        <w:rPr>
          <w:rFonts w:eastAsiaTheme="minorHAnsi"/>
          <w:lang w:val="en-US"/>
        </w:rPr>
        <w:t>, by Mariette Awad and Rahul Khanna. Apress. https://doi.org/10.1007/978-1-4302-5990-9_4.</w:t>
      </w:r>
    </w:p>
    <w:p w14:paraId="7FA33440" w14:textId="77777777" w:rsidR="00736629" w:rsidRPr="00736629" w:rsidRDefault="00736629" w:rsidP="00736629">
      <w:pPr>
        <w:pStyle w:val="Bibliography"/>
        <w:rPr>
          <w:rFonts w:eastAsiaTheme="minorHAnsi"/>
          <w:lang w:val="en-US"/>
        </w:rPr>
      </w:pPr>
      <w:r w:rsidRPr="00736629">
        <w:rPr>
          <w:rFonts w:eastAsiaTheme="minorHAnsi"/>
          <w:lang w:val="en-US"/>
        </w:rPr>
        <w:t xml:space="preserve">Azizi, Asghar, Reza Rooki, and Nader Mollayi. 2020. “Modeling and Prediction of Wear Rate of Grinding Media in Mineral Processing Industry Using Multiple Kernel Support Vector Machine.” </w:t>
      </w:r>
      <w:r w:rsidRPr="00736629">
        <w:rPr>
          <w:rFonts w:eastAsiaTheme="minorHAnsi"/>
          <w:i/>
          <w:iCs/>
          <w:lang w:val="en-US"/>
        </w:rPr>
        <w:t>SN Applied Sciences</w:t>
      </w:r>
      <w:r w:rsidRPr="00736629">
        <w:rPr>
          <w:rFonts w:eastAsiaTheme="minorHAnsi"/>
          <w:lang w:val="en-US"/>
        </w:rPr>
        <w:t xml:space="preserve"> 2 (9): 1469. https://doi.org/10.1007/s42452-020-03212-0.</w:t>
      </w:r>
    </w:p>
    <w:p w14:paraId="331876F5" w14:textId="77777777" w:rsidR="00736629" w:rsidRPr="00736629" w:rsidRDefault="00736629" w:rsidP="00736629">
      <w:pPr>
        <w:pStyle w:val="Bibliography"/>
        <w:rPr>
          <w:rFonts w:eastAsiaTheme="minorHAnsi"/>
          <w:lang w:val="en-US"/>
        </w:rPr>
      </w:pPr>
      <w:r w:rsidRPr="00736629">
        <w:rPr>
          <w:rFonts w:eastAsiaTheme="minorHAnsi"/>
          <w:lang w:val="en-US"/>
        </w:rPr>
        <w:t xml:space="preserve">Bai, Long, QiZhong Yang, Xin Cheng, Yue Ding, and JianFeng Xu. 2023. “A Hybrid Physics-Data-Driven Surface Roughness Prediction Model for Ultra-Precision Machining.” </w:t>
      </w:r>
      <w:r w:rsidRPr="00736629">
        <w:rPr>
          <w:rFonts w:eastAsiaTheme="minorHAnsi"/>
          <w:i/>
          <w:iCs/>
          <w:lang w:val="en-US"/>
        </w:rPr>
        <w:t>Science China Technological Sciences</w:t>
      </w:r>
      <w:r w:rsidRPr="00736629">
        <w:rPr>
          <w:rFonts w:eastAsiaTheme="minorHAnsi"/>
          <w:lang w:val="en-US"/>
        </w:rPr>
        <w:t xml:space="preserve"> 66 (5): 1289–303. https://doi.org/10.1007/s11431-022-2358-4.</w:t>
      </w:r>
    </w:p>
    <w:p w14:paraId="4C986AA6" w14:textId="77777777" w:rsidR="00736629" w:rsidRPr="00736629" w:rsidRDefault="00736629" w:rsidP="00736629">
      <w:pPr>
        <w:pStyle w:val="Bibliography"/>
        <w:rPr>
          <w:rFonts w:eastAsiaTheme="minorHAnsi"/>
          <w:lang w:val="en-US"/>
        </w:rPr>
      </w:pPr>
      <w:r w:rsidRPr="00736629">
        <w:rPr>
          <w:rFonts w:eastAsiaTheme="minorHAnsi"/>
          <w:lang w:val="en-US"/>
        </w:rPr>
        <w:t xml:space="preserve">Bailly, Alexandre, Corentin Blanc, Élie Francis, et al. 2022. “Effects of Dataset Size and Interactions on the Prediction Performance of Logistic Regression and Deep Learning Models.” </w:t>
      </w:r>
      <w:r w:rsidRPr="00736629">
        <w:rPr>
          <w:rFonts w:eastAsiaTheme="minorHAnsi"/>
          <w:i/>
          <w:iCs/>
          <w:lang w:val="en-US"/>
        </w:rPr>
        <w:t>Computer Methods and Programs in Biomedicine</w:t>
      </w:r>
      <w:r w:rsidRPr="00736629">
        <w:rPr>
          <w:rFonts w:eastAsiaTheme="minorHAnsi"/>
          <w:lang w:val="en-US"/>
        </w:rPr>
        <w:t xml:space="preserve"> 213 (January): 106504. https://doi.org/10.1016/j.cmpb.2021.106504.</w:t>
      </w:r>
    </w:p>
    <w:p w14:paraId="0E402D63" w14:textId="77777777" w:rsidR="00736629" w:rsidRPr="00736629" w:rsidRDefault="00736629" w:rsidP="00736629">
      <w:pPr>
        <w:pStyle w:val="Bibliography"/>
        <w:rPr>
          <w:rFonts w:eastAsiaTheme="minorHAnsi"/>
          <w:lang w:val="en-US"/>
        </w:rPr>
      </w:pPr>
      <w:r w:rsidRPr="00736629">
        <w:rPr>
          <w:rFonts w:eastAsiaTheme="minorHAnsi"/>
          <w:lang w:val="en-US"/>
        </w:rPr>
        <w:t xml:space="preserve">Balonji, Serge, Lagouge K. Tartibu, and Imhade P. Okokpujie. 2023. “Prediction Analysis of Surface Roughness of Aluminum Al6061 in End Milling CNC Machine Using Soft </w:t>
      </w:r>
      <w:r w:rsidRPr="00736629">
        <w:rPr>
          <w:rFonts w:eastAsiaTheme="minorHAnsi"/>
          <w:lang w:val="en-US"/>
        </w:rPr>
        <w:lastRenderedPageBreak/>
        <w:t xml:space="preserve">Computing Techniques.” </w:t>
      </w:r>
      <w:r w:rsidRPr="00736629">
        <w:rPr>
          <w:rFonts w:eastAsiaTheme="minorHAnsi"/>
          <w:i/>
          <w:iCs/>
          <w:lang w:val="en-US"/>
        </w:rPr>
        <w:t>Applied Sciences</w:t>
      </w:r>
      <w:r w:rsidRPr="00736629">
        <w:rPr>
          <w:rFonts w:eastAsiaTheme="minorHAnsi"/>
          <w:lang w:val="en-US"/>
        </w:rPr>
        <w:t xml:space="preserve"> 13 (7): 4147. https://doi.org/10.3390/app13074147.</w:t>
      </w:r>
    </w:p>
    <w:p w14:paraId="4F19E297" w14:textId="77777777" w:rsidR="00736629" w:rsidRPr="00736629" w:rsidRDefault="00736629" w:rsidP="00736629">
      <w:pPr>
        <w:pStyle w:val="Bibliography"/>
        <w:rPr>
          <w:rFonts w:eastAsiaTheme="minorHAnsi"/>
          <w:lang w:val="en-US"/>
        </w:rPr>
      </w:pPr>
      <w:r w:rsidRPr="00736629">
        <w:rPr>
          <w:rFonts w:eastAsiaTheme="minorHAnsi"/>
          <w:lang w:val="en-US"/>
        </w:rPr>
        <w:t xml:space="preserve">Biswas, P, P K Bardhan, A Sarkar, et al. 2022. “An Experimental Analysis of Grinding Parameters and Conditions on Surface Roughness of Finished Product.” </w:t>
      </w:r>
      <w:r w:rsidRPr="00736629">
        <w:rPr>
          <w:rFonts w:eastAsiaTheme="minorHAnsi"/>
          <w:i/>
          <w:iCs/>
          <w:lang w:val="en-US"/>
        </w:rPr>
        <w:t>Journal of Physics: Conference Series</w:t>
      </w:r>
      <w:r w:rsidRPr="00736629">
        <w:rPr>
          <w:rFonts w:eastAsiaTheme="minorHAnsi"/>
          <w:lang w:val="en-US"/>
        </w:rPr>
        <w:t xml:space="preserve"> 2286 (1): 012027. https://doi.org/10.1088/1742-6596/2286/1/012027.</w:t>
      </w:r>
    </w:p>
    <w:p w14:paraId="2F169A77" w14:textId="77777777" w:rsidR="00736629" w:rsidRPr="00736629" w:rsidRDefault="00736629" w:rsidP="00736629">
      <w:pPr>
        <w:pStyle w:val="Bibliography"/>
        <w:rPr>
          <w:rFonts w:eastAsiaTheme="minorHAnsi"/>
          <w:lang w:val="en-US"/>
        </w:rPr>
      </w:pPr>
      <w:r w:rsidRPr="00736629">
        <w:rPr>
          <w:rFonts w:eastAsiaTheme="minorHAnsi"/>
          <w:lang w:val="en-US"/>
        </w:rPr>
        <w:t xml:space="preserve">Chandrasekaran, M., and D. Devarasiddappa. 2014. “Artificial Neural Network Modeling for Surface Roughness Prediction in Cylindrical Grinding of Al-SiCp Metal Matrix Composites and ANOVA Analysis.” </w:t>
      </w:r>
      <w:r w:rsidRPr="00736629">
        <w:rPr>
          <w:rFonts w:eastAsiaTheme="minorHAnsi"/>
          <w:i/>
          <w:iCs/>
          <w:lang w:val="en-US"/>
        </w:rPr>
        <w:t>Advances in Production Engineering &amp; Management</w:t>
      </w:r>
      <w:r w:rsidRPr="00736629">
        <w:rPr>
          <w:rFonts w:eastAsiaTheme="minorHAnsi"/>
          <w:lang w:val="en-US"/>
        </w:rPr>
        <w:t xml:space="preserve"> 9 (2): 59–70. https://doi.org/10.14743/apem2014.2.176.</w:t>
      </w:r>
    </w:p>
    <w:p w14:paraId="11309862" w14:textId="77777777" w:rsidR="00736629" w:rsidRPr="00736629" w:rsidRDefault="00736629" w:rsidP="00736629">
      <w:pPr>
        <w:pStyle w:val="Bibliography"/>
        <w:rPr>
          <w:rFonts w:eastAsiaTheme="minorHAnsi"/>
          <w:lang w:val="en-US"/>
        </w:rPr>
      </w:pPr>
      <w:r w:rsidRPr="00736629">
        <w:rPr>
          <w:rFonts w:eastAsiaTheme="minorHAnsi"/>
          <w:lang w:val="en-US"/>
        </w:rPr>
        <w:t xml:space="preserve">Chicco, Davide, Matthijs J. Warrens, and Giuseppe Jurman. 2021. “The Coefficient of Determination R-Squared Is More Informative than SMAPE, MAE, MAPE, MSE and RMSE in Regression Analysis Evaluation.” </w:t>
      </w:r>
      <w:r w:rsidRPr="00736629">
        <w:rPr>
          <w:rFonts w:eastAsiaTheme="minorHAnsi"/>
          <w:i/>
          <w:iCs/>
          <w:lang w:val="en-US"/>
        </w:rPr>
        <w:t>PeerJ Computer Science</w:t>
      </w:r>
      <w:r w:rsidRPr="00736629">
        <w:rPr>
          <w:rFonts w:eastAsiaTheme="minorHAnsi"/>
          <w:lang w:val="en-US"/>
        </w:rPr>
        <w:t xml:space="preserve"> 7 (July): e623. https://doi.org/10.7717/peerj-cs.623.</w:t>
      </w:r>
    </w:p>
    <w:p w14:paraId="10529037" w14:textId="77777777" w:rsidR="00736629" w:rsidRPr="00736629" w:rsidRDefault="00736629" w:rsidP="00736629">
      <w:pPr>
        <w:pStyle w:val="Bibliography"/>
        <w:rPr>
          <w:rFonts w:eastAsiaTheme="minorHAnsi"/>
          <w:lang w:val="en-US"/>
        </w:rPr>
      </w:pPr>
      <w:r w:rsidRPr="00736629">
        <w:rPr>
          <w:rFonts w:eastAsiaTheme="minorHAnsi"/>
          <w:lang w:val="en-US"/>
        </w:rPr>
        <w:t xml:space="preserve">Chowdhury, Samriddhya Ray, Srinjoy Chatterjee, and Shankar Chakraborty. 2024. “Optimization of Grinding Processes Using Multi-Criteria Decision Making Methods in Intuitionistic Fuzzy Environment.” </w:t>
      </w:r>
      <w:r w:rsidRPr="00736629">
        <w:rPr>
          <w:rFonts w:eastAsiaTheme="minorHAnsi"/>
          <w:i/>
          <w:iCs/>
          <w:lang w:val="en-US"/>
        </w:rPr>
        <w:t>OPSEARCH</w:t>
      </w:r>
      <w:r w:rsidRPr="00736629">
        <w:rPr>
          <w:rFonts w:eastAsiaTheme="minorHAnsi"/>
          <w:lang w:val="en-US"/>
        </w:rPr>
        <w:t xml:space="preserve"> 61 (2): 709–40. https://doi.org/10.1007/s12597-024-00741-9.</w:t>
      </w:r>
    </w:p>
    <w:p w14:paraId="4A7352B0" w14:textId="77777777" w:rsidR="00736629" w:rsidRPr="00736629" w:rsidRDefault="00736629" w:rsidP="00736629">
      <w:pPr>
        <w:pStyle w:val="Bibliography"/>
        <w:rPr>
          <w:rFonts w:eastAsiaTheme="minorHAnsi"/>
          <w:lang w:val="en-US"/>
        </w:rPr>
      </w:pPr>
      <w:r w:rsidRPr="00736629">
        <w:rPr>
          <w:rFonts w:eastAsiaTheme="minorHAnsi"/>
          <w:lang w:val="en-US"/>
        </w:rPr>
        <w:t xml:space="preserve">Dehghanpour Abyaneh, Mohsen, Parviz Narimani, Mohammadjafar Hadad, and Samareh Attarsharghi. 2023. “Using Machine Learning and Optimization for Controlling Surface Roughness in Grinding of St37.” </w:t>
      </w:r>
      <w:r w:rsidRPr="00736629">
        <w:rPr>
          <w:rFonts w:eastAsiaTheme="minorHAnsi"/>
          <w:i/>
          <w:iCs/>
          <w:lang w:val="en-US"/>
        </w:rPr>
        <w:t>Energy Equipment and Systems</w:t>
      </w:r>
      <w:r w:rsidRPr="00736629">
        <w:rPr>
          <w:rFonts w:eastAsiaTheme="minorHAnsi"/>
          <w:lang w:val="en-US"/>
        </w:rPr>
        <w:t xml:space="preserve"> 11 (3). https://doi.org/10.22059/ees.2023.2000614.1424.</w:t>
      </w:r>
    </w:p>
    <w:p w14:paraId="4538196E" w14:textId="77777777" w:rsidR="00736629" w:rsidRPr="00736629" w:rsidRDefault="00736629" w:rsidP="00736629">
      <w:pPr>
        <w:pStyle w:val="Bibliography"/>
        <w:rPr>
          <w:rFonts w:eastAsiaTheme="minorHAnsi"/>
          <w:lang w:val="en-US"/>
        </w:rPr>
      </w:pPr>
      <w:r w:rsidRPr="00736629">
        <w:rPr>
          <w:rFonts w:eastAsiaTheme="minorHAnsi"/>
          <w:lang w:val="en-US"/>
        </w:rPr>
        <w:t xml:space="preserve">Dehghanpour Abyaneh, Mohsen, Parviz Narimani, Mohammad Sadegh Javadi, Marzieh Golabchi, Samareh Attarsharghi, and Mohammadjafar Hadad. 2024. “Predicting Surface Roughness and Grinding Forces in UNS S34700 Steel Grinding: A Machine Learning and Genetic Algorithm Approach to Coolant Effects.” </w:t>
      </w:r>
      <w:r w:rsidRPr="00736629">
        <w:rPr>
          <w:rFonts w:eastAsiaTheme="minorHAnsi"/>
          <w:i/>
          <w:iCs/>
          <w:lang w:val="en-US"/>
        </w:rPr>
        <w:t>Physchem</w:t>
      </w:r>
      <w:r w:rsidRPr="00736629">
        <w:rPr>
          <w:rFonts w:eastAsiaTheme="minorHAnsi"/>
          <w:lang w:val="en-US"/>
        </w:rPr>
        <w:t xml:space="preserve"> 4 (4): 495–523. https://doi.org/10.3390/physchem4040035.</w:t>
      </w:r>
    </w:p>
    <w:p w14:paraId="14347598" w14:textId="77777777" w:rsidR="00736629" w:rsidRPr="00736629" w:rsidRDefault="00736629" w:rsidP="00736629">
      <w:pPr>
        <w:pStyle w:val="Bibliography"/>
        <w:rPr>
          <w:rFonts w:eastAsiaTheme="minorHAnsi"/>
          <w:lang w:val="en-US"/>
        </w:rPr>
      </w:pPr>
      <w:r w:rsidRPr="00736629">
        <w:rPr>
          <w:rFonts w:eastAsiaTheme="minorHAnsi"/>
          <w:lang w:val="en-US"/>
        </w:rPr>
        <w:t xml:space="preserve">Dietterich, Thomas G. 2002. “Ensemble Learning.” </w:t>
      </w:r>
      <w:r w:rsidRPr="00736629">
        <w:rPr>
          <w:rFonts w:eastAsiaTheme="minorHAnsi"/>
          <w:i/>
          <w:iCs/>
          <w:lang w:val="en-US"/>
        </w:rPr>
        <w:t>The Handbook of Brain Theory and Neural Networks</w:t>
      </w:r>
      <w:r w:rsidRPr="00736629">
        <w:rPr>
          <w:rFonts w:eastAsiaTheme="minorHAnsi"/>
          <w:lang w:val="en-US"/>
        </w:rPr>
        <w:t xml:space="preserve"> 2 (1): 110–25.</w:t>
      </w:r>
    </w:p>
    <w:p w14:paraId="3B8FF986" w14:textId="77777777" w:rsidR="00736629" w:rsidRPr="00736629" w:rsidRDefault="00736629" w:rsidP="00736629">
      <w:pPr>
        <w:pStyle w:val="Bibliography"/>
        <w:rPr>
          <w:rFonts w:eastAsiaTheme="minorHAnsi"/>
          <w:lang w:val="en-US"/>
        </w:rPr>
      </w:pPr>
      <w:r w:rsidRPr="00736629">
        <w:rPr>
          <w:rFonts w:eastAsiaTheme="minorHAnsi"/>
          <w:lang w:val="en-US"/>
        </w:rPr>
        <w:t xml:space="preserve">Fu, Xiaojing, Lishu Lv, Bing Chen, Zhaohui Deng, and Mingtao Wu. 2024. “Pre-Control of Grinding Surface Quality by Data-Driven: A Review.” </w:t>
      </w:r>
      <w:r w:rsidRPr="00736629">
        <w:rPr>
          <w:rFonts w:eastAsiaTheme="minorHAnsi"/>
          <w:i/>
          <w:iCs/>
          <w:lang w:val="en-US"/>
        </w:rPr>
        <w:t>The International Journal of Advanced Manufacturing Technology</w:t>
      </w:r>
      <w:r w:rsidRPr="00736629">
        <w:rPr>
          <w:rFonts w:eastAsiaTheme="minorHAnsi"/>
          <w:lang w:val="en-US"/>
        </w:rPr>
        <w:t xml:space="preserve"> 133 (7–8): 3081–104. https://doi.org/10.1007/s00170-024-13921-0.</w:t>
      </w:r>
    </w:p>
    <w:p w14:paraId="1D645117" w14:textId="77777777" w:rsidR="00736629" w:rsidRPr="00736629" w:rsidRDefault="00736629" w:rsidP="00736629">
      <w:pPr>
        <w:pStyle w:val="Bibliography"/>
        <w:rPr>
          <w:rFonts w:eastAsiaTheme="minorHAnsi"/>
          <w:lang w:val="en-US"/>
        </w:rPr>
      </w:pPr>
      <w:r w:rsidRPr="00736629">
        <w:rPr>
          <w:rFonts w:eastAsiaTheme="minorHAnsi"/>
          <w:lang w:val="en-US"/>
        </w:rPr>
        <w:t xml:space="preserve">Godino, L., I. Pombo, J.A. Sanchez, and J. Alvarez. 2018. “On the Development and Evolution of Wear Flats in Microcrystalline Sintered Alumina Grinding Wheels.” </w:t>
      </w:r>
      <w:r w:rsidRPr="00736629">
        <w:rPr>
          <w:rFonts w:eastAsiaTheme="minorHAnsi"/>
          <w:i/>
          <w:iCs/>
          <w:lang w:val="en-US"/>
        </w:rPr>
        <w:t>Journal of Manufacturing Processes</w:t>
      </w:r>
      <w:r w:rsidRPr="00736629">
        <w:rPr>
          <w:rFonts w:eastAsiaTheme="minorHAnsi"/>
          <w:lang w:val="en-US"/>
        </w:rPr>
        <w:t xml:space="preserve"> 32 (April): 494–505. https://doi.org/10.1016/j.jmapro.2018.03.023.</w:t>
      </w:r>
    </w:p>
    <w:p w14:paraId="2C8796CE" w14:textId="77777777" w:rsidR="00736629" w:rsidRPr="00736629" w:rsidRDefault="00736629" w:rsidP="00736629">
      <w:pPr>
        <w:pStyle w:val="Bibliography"/>
        <w:rPr>
          <w:rFonts w:eastAsiaTheme="minorHAnsi"/>
          <w:lang w:val="en-US"/>
        </w:rPr>
      </w:pPr>
      <w:r w:rsidRPr="00736629">
        <w:rPr>
          <w:rFonts w:eastAsiaTheme="minorHAnsi"/>
          <w:lang w:val="en-US"/>
        </w:rPr>
        <w:t xml:space="preserve">Govindhasamy, James J., Seán F. McLoone, George W. Irwin, John J. French, and Richard P. Doyle. 2005. “Neural Modelling, Control and Optimisation of an Industrial Grinding Process.” </w:t>
      </w:r>
      <w:r w:rsidRPr="00736629">
        <w:rPr>
          <w:rFonts w:eastAsiaTheme="minorHAnsi"/>
          <w:i/>
          <w:iCs/>
          <w:lang w:val="en-US"/>
        </w:rPr>
        <w:t>Control Engineering Practice</w:t>
      </w:r>
      <w:r w:rsidRPr="00736629">
        <w:rPr>
          <w:rFonts w:eastAsiaTheme="minorHAnsi"/>
          <w:lang w:val="en-US"/>
        </w:rPr>
        <w:t xml:space="preserve"> 13 (10): 1243–58. https://doi.org/10.1016/j.conengprac.2004.11.006.</w:t>
      </w:r>
    </w:p>
    <w:p w14:paraId="68B12032" w14:textId="77777777" w:rsidR="00736629" w:rsidRPr="00736629" w:rsidRDefault="00736629" w:rsidP="00736629">
      <w:pPr>
        <w:pStyle w:val="Bibliography"/>
        <w:rPr>
          <w:rFonts w:eastAsiaTheme="minorHAnsi"/>
          <w:lang w:val="en-US"/>
        </w:rPr>
      </w:pPr>
      <w:r w:rsidRPr="00736629">
        <w:rPr>
          <w:rFonts w:eastAsiaTheme="minorHAnsi"/>
          <w:lang w:val="en-US"/>
        </w:rPr>
        <w:lastRenderedPageBreak/>
        <w:t xml:space="preserve">Gupta, Munish Kumar, Aqib Mashood Khan, Qinghua Song, et al. 2021. “A Review on Conventional and Advanced Minimum Quantity Lubrication Approaches on Performance Measures of Grinding Process.” </w:t>
      </w:r>
      <w:r w:rsidRPr="00736629">
        <w:rPr>
          <w:rFonts w:eastAsiaTheme="minorHAnsi"/>
          <w:i/>
          <w:iCs/>
          <w:lang w:val="en-US"/>
        </w:rPr>
        <w:t>The International Journal of Advanced Manufacturing Technology</w:t>
      </w:r>
      <w:r w:rsidRPr="00736629">
        <w:rPr>
          <w:rFonts w:eastAsiaTheme="minorHAnsi"/>
          <w:lang w:val="en-US"/>
        </w:rPr>
        <w:t xml:space="preserve"> 117 (3–4): 729–50. https://doi.org/10.1007/s00170-021-07785-x.</w:t>
      </w:r>
    </w:p>
    <w:p w14:paraId="6E2D0351" w14:textId="77777777" w:rsidR="00736629" w:rsidRPr="00736629" w:rsidRDefault="00736629" w:rsidP="00736629">
      <w:pPr>
        <w:pStyle w:val="Bibliography"/>
        <w:rPr>
          <w:rFonts w:eastAsiaTheme="minorHAnsi"/>
          <w:lang w:val="en-US"/>
        </w:rPr>
      </w:pPr>
      <w:r w:rsidRPr="00736629">
        <w:rPr>
          <w:rFonts w:eastAsiaTheme="minorHAnsi"/>
          <w:lang w:val="en-US"/>
        </w:rPr>
        <w:t xml:space="preserve">Gurgenc, Turan, and Osman Altay. 2022. “Surface Roughness Prediction of Wire Electric Discharge Machining (WEDM)-Machined AZ91D Magnesium Alloy Using Multilayer Perceptron, Ensemble Neural Network, and Evolving Product-Unit Neural Network.” </w:t>
      </w:r>
      <w:r w:rsidRPr="00736629">
        <w:rPr>
          <w:rFonts w:eastAsiaTheme="minorHAnsi"/>
          <w:i/>
          <w:iCs/>
          <w:lang w:val="en-US"/>
        </w:rPr>
        <w:t>Materials Testing</w:t>
      </w:r>
      <w:r w:rsidRPr="00736629">
        <w:rPr>
          <w:rFonts w:eastAsiaTheme="minorHAnsi"/>
          <w:lang w:val="en-US"/>
        </w:rPr>
        <w:t xml:space="preserve"> 64 (3): 350–62. https://doi.org/10.1515/mt-2021-2034.</w:t>
      </w:r>
    </w:p>
    <w:p w14:paraId="4FE51C82" w14:textId="77777777" w:rsidR="00736629" w:rsidRPr="00736629" w:rsidRDefault="00736629" w:rsidP="00736629">
      <w:pPr>
        <w:pStyle w:val="Bibliography"/>
        <w:rPr>
          <w:rFonts w:eastAsiaTheme="minorHAnsi"/>
          <w:lang w:val="en-US"/>
        </w:rPr>
      </w:pPr>
      <w:r w:rsidRPr="00736629">
        <w:rPr>
          <w:rFonts w:eastAsiaTheme="minorHAnsi"/>
          <w:lang w:val="en-US"/>
        </w:rPr>
        <w:t xml:space="preserve">Hadad, Mohammadjafar, Samareh Attarsharghi, Mohsen Dehghanpour Abyaneh, et al. 2024. “Exploring New Parameters to Advance Surface Roughness Prediction in Grinding Processes for the Enhancement of Automated Machining.” </w:t>
      </w:r>
      <w:r w:rsidRPr="00736629">
        <w:rPr>
          <w:rFonts w:eastAsiaTheme="minorHAnsi"/>
          <w:i/>
          <w:iCs/>
          <w:lang w:val="en-US"/>
        </w:rPr>
        <w:t>Journal of Manufacturing and Materials Processing</w:t>
      </w:r>
      <w:r w:rsidRPr="00736629">
        <w:rPr>
          <w:rFonts w:eastAsiaTheme="minorHAnsi"/>
          <w:lang w:val="en-US"/>
        </w:rPr>
        <w:t xml:space="preserve"> 8 (1): 41. https://doi.org/10.3390/jmmp8010041.</w:t>
      </w:r>
    </w:p>
    <w:p w14:paraId="2383783A" w14:textId="77777777" w:rsidR="00736629" w:rsidRPr="00736629" w:rsidRDefault="00736629" w:rsidP="00736629">
      <w:pPr>
        <w:pStyle w:val="Bibliography"/>
        <w:rPr>
          <w:rFonts w:eastAsiaTheme="minorHAnsi"/>
          <w:lang w:val="en-US"/>
        </w:rPr>
      </w:pPr>
      <w:r w:rsidRPr="00736629">
        <w:rPr>
          <w:rFonts w:eastAsiaTheme="minorHAnsi"/>
          <w:lang w:val="en-US"/>
        </w:rPr>
        <w:t xml:space="preserve">Hadad, Mohammadjafar, and Mostafa Hadi. 2013. “An Investigation on Surface Grinding of Hardened Stainless Steel S34700 and Aluminum Alloy AA6061 Using Minimum Quantity of Lubrication (MQL) Technique.” </w:t>
      </w:r>
      <w:r w:rsidRPr="00736629">
        <w:rPr>
          <w:rFonts w:eastAsiaTheme="minorHAnsi"/>
          <w:i/>
          <w:iCs/>
          <w:lang w:val="en-US"/>
        </w:rPr>
        <w:t>The International Journal of Advanced Manufacturing Technology</w:t>
      </w:r>
      <w:r w:rsidRPr="00736629">
        <w:rPr>
          <w:rFonts w:eastAsiaTheme="minorHAnsi"/>
          <w:lang w:val="en-US"/>
        </w:rPr>
        <w:t xml:space="preserve"> 68 (9–12): 2145–58. https://doi.org/10.1007/s00170-013-4830-3.</w:t>
      </w:r>
    </w:p>
    <w:p w14:paraId="05A80A1D" w14:textId="77777777" w:rsidR="00736629" w:rsidRPr="00736629" w:rsidRDefault="00736629" w:rsidP="00736629">
      <w:pPr>
        <w:pStyle w:val="Bibliography"/>
        <w:rPr>
          <w:rFonts w:eastAsiaTheme="minorHAnsi"/>
          <w:lang w:val="en-US"/>
        </w:rPr>
      </w:pPr>
      <w:r w:rsidRPr="00736629">
        <w:rPr>
          <w:rFonts w:eastAsiaTheme="minorHAnsi"/>
          <w:lang w:val="en-US"/>
        </w:rPr>
        <w:t xml:space="preserve">Hadad, Mohammadjafar, and Javad Makarian. 2021. “Experimental Investigation of the Effects of Dressing and Coolant-Lubricant Conditions on Grinding of Nickel-Based Superalloy-Inconel 738.” </w:t>
      </w:r>
      <w:r w:rsidRPr="00736629">
        <w:rPr>
          <w:rFonts w:eastAsiaTheme="minorHAnsi"/>
          <w:i/>
          <w:iCs/>
          <w:lang w:val="en-US"/>
        </w:rPr>
        <w:t>Energy Equipment and Systems</w:t>
      </w:r>
      <w:r w:rsidRPr="00736629">
        <w:rPr>
          <w:rFonts w:eastAsiaTheme="minorHAnsi"/>
          <w:lang w:val="en-US"/>
        </w:rPr>
        <w:t xml:space="preserve"> 9 (1). https://doi.org/10.22059/ees.2021.243054.</w:t>
      </w:r>
    </w:p>
    <w:p w14:paraId="1A98A120" w14:textId="77777777" w:rsidR="00736629" w:rsidRPr="00736629" w:rsidRDefault="00736629" w:rsidP="00736629">
      <w:pPr>
        <w:pStyle w:val="Bibliography"/>
        <w:rPr>
          <w:rFonts w:eastAsiaTheme="minorHAnsi"/>
          <w:lang w:val="en-US"/>
        </w:rPr>
      </w:pPr>
      <w:r w:rsidRPr="00736629">
        <w:rPr>
          <w:rFonts w:eastAsiaTheme="minorHAnsi"/>
          <w:lang w:val="en-US"/>
        </w:rPr>
        <w:t xml:space="preserve">Hadad, Mohammadjafar, and Alireza Sharbati. 2017. “Analysis of the Effects of Dressing and Wheel Topography on Grinding Process under Different Coolant-Lubricant Conditions.” </w:t>
      </w:r>
      <w:r w:rsidRPr="00736629">
        <w:rPr>
          <w:rFonts w:eastAsiaTheme="minorHAnsi"/>
          <w:i/>
          <w:iCs/>
          <w:lang w:val="en-US"/>
        </w:rPr>
        <w:t>The International Journal of Advanced Manufacturing Technology</w:t>
      </w:r>
      <w:r w:rsidRPr="00736629">
        <w:rPr>
          <w:rFonts w:eastAsiaTheme="minorHAnsi"/>
          <w:lang w:val="en-US"/>
        </w:rPr>
        <w:t xml:space="preserve"> 90 (9–12): 3727–38. https://doi.org/10.1007/s00170-016-9703-0.</w:t>
      </w:r>
    </w:p>
    <w:p w14:paraId="6C6A1101" w14:textId="77777777" w:rsidR="00736629" w:rsidRPr="00736629" w:rsidRDefault="00736629" w:rsidP="00736629">
      <w:pPr>
        <w:pStyle w:val="Bibliography"/>
        <w:rPr>
          <w:rFonts w:eastAsiaTheme="minorHAnsi"/>
          <w:lang w:val="en-US"/>
        </w:rPr>
      </w:pPr>
      <w:r w:rsidRPr="00736629">
        <w:rPr>
          <w:rFonts w:eastAsiaTheme="minorHAnsi"/>
          <w:lang w:val="en-US"/>
        </w:rPr>
        <w:t xml:space="preserve">Hodson, Timothy O. 2022. “Root-Mean-Square Error (RMSE) or Mean Absolute Error (MAE): When to Use Them or Not.” </w:t>
      </w:r>
      <w:r w:rsidRPr="00736629">
        <w:rPr>
          <w:rFonts w:eastAsiaTheme="minorHAnsi"/>
          <w:i/>
          <w:iCs/>
          <w:lang w:val="en-US"/>
        </w:rPr>
        <w:t>Geoscientific Model Development</w:t>
      </w:r>
      <w:r w:rsidRPr="00736629">
        <w:rPr>
          <w:rFonts w:eastAsiaTheme="minorHAnsi"/>
          <w:lang w:val="en-US"/>
        </w:rPr>
        <w:t xml:space="preserve"> 15 (14): 5481–87. https://doi.org/10.5194/gmd-15-5481-2022.</w:t>
      </w:r>
    </w:p>
    <w:p w14:paraId="3C1B3F09" w14:textId="77777777" w:rsidR="00736629" w:rsidRPr="00736629" w:rsidRDefault="00736629" w:rsidP="00736629">
      <w:pPr>
        <w:pStyle w:val="Bibliography"/>
        <w:rPr>
          <w:rFonts w:eastAsiaTheme="minorHAnsi"/>
          <w:lang w:val="en-US"/>
        </w:rPr>
      </w:pPr>
      <w:r w:rsidRPr="00736629">
        <w:rPr>
          <w:rFonts w:eastAsiaTheme="minorHAnsi"/>
          <w:lang w:val="en-US"/>
        </w:rPr>
        <w:t xml:space="preserve">Hu, Zewen, Hongcai Chen, Kanjian Zhang, and Haikun Wei. 2025. “Model-Based Prediction of Grinding Surface Roughness With Error Correction via a Knowledge-Based Fuzzy Broad Learning System.” </w:t>
      </w:r>
      <w:r w:rsidRPr="00736629">
        <w:rPr>
          <w:rFonts w:eastAsiaTheme="minorHAnsi"/>
          <w:i/>
          <w:iCs/>
          <w:lang w:val="en-US"/>
        </w:rPr>
        <w:t>IEEE Transactions on Instrumentation and Measurement</w:t>
      </w:r>
      <w:r w:rsidRPr="00736629">
        <w:rPr>
          <w:rFonts w:eastAsiaTheme="minorHAnsi"/>
          <w:lang w:val="en-US"/>
        </w:rPr>
        <w:t xml:space="preserve"> 74: 1–14. https://doi.org/10.1109/TIM.2025.3574910.</w:t>
      </w:r>
    </w:p>
    <w:p w14:paraId="7C4E16DB" w14:textId="77777777" w:rsidR="00736629" w:rsidRPr="00736629" w:rsidRDefault="00736629" w:rsidP="00736629">
      <w:pPr>
        <w:pStyle w:val="Bibliography"/>
        <w:rPr>
          <w:rFonts w:eastAsiaTheme="minorHAnsi"/>
          <w:lang w:val="en-US"/>
        </w:rPr>
      </w:pPr>
      <w:r w:rsidRPr="00736629">
        <w:rPr>
          <w:rFonts w:eastAsiaTheme="minorHAnsi"/>
          <w:lang w:val="en-US"/>
        </w:rPr>
        <w:t xml:space="preserve">Hu, Zewen, Tao Wang, Hongcai Chen, Kanjian Zhang, and Haikun Wei. 2025. “Physics-Guided Meta-Learning for Surface Roughness Prediction Under Various Working Conditions With Limited Data.” </w:t>
      </w:r>
      <w:r w:rsidRPr="00736629">
        <w:rPr>
          <w:rFonts w:eastAsiaTheme="minorHAnsi"/>
          <w:i/>
          <w:iCs/>
          <w:lang w:val="en-US"/>
        </w:rPr>
        <w:t>IEEE/ASME Transactions on Mechatronics</w:t>
      </w:r>
      <w:r w:rsidRPr="00736629">
        <w:rPr>
          <w:rFonts w:eastAsiaTheme="minorHAnsi"/>
          <w:lang w:val="en-US"/>
        </w:rPr>
        <w:t>, 1–11. https://doi.org/10.1109/TMECH.2025.3598351.</w:t>
      </w:r>
    </w:p>
    <w:p w14:paraId="5ACFC08D" w14:textId="77777777" w:rsidR="00736629" w:rsidRPr="00736629" w:rsidRDefault="00736629" w:rsidP="00736629">
      <w:pPr>
        <w:pStyle w:val="Bibliography"/>
        <w:rPr>
          <w:rFonts w:eastAsiaTheme="minorHAnsi"/>
          <w:lang w:val="en-US"/>
        </w:rPr>
      </w:pPr>
      <w:r w:rsidRPr="00736629">
        <w:rPr>
          <w:rFonts w:eastAsiaTheme="minorHAnsi"/>
          <w:lang w:val="en-US"/>
        </w:rPr>
        <w:t xml:space="preserve">Ibrahimi, Eliana, Marta B. Lopes, Xhilda Dhamo, et al. 2023. “Overview of Data Preprocessing for Machine Learning Applications in Human Microbiome Research.” </w:t>
      </w:r>
      <w:r w:rsidRPr="00736629">
        <w:rPr>
          <w:rFonts w:eastAsiaTheme="minorHAnsi"/>
          <w:i/>
          <w:iCs/>
          <w:lang w:val="en-US"/>
        </w:rPr>
        <w:t>Frontiers in Microbiology</w:t>
      </w:r>
      <w:r w:rsidRPr="00736629">
        <w:rPr>
          <w:rFonts w:eastAsiaTheme="minorHAnsi"/>
          <w:lang w:val="en-US"/>
        </w:rPr>
        <w:t xml:space="preserve"> 14 (October): 1250909. https://doi.org/10.3389/fmicb.2023.1250909.</w:t>
      </w:r>
    </w:p>
    <w:p w14:paraId="6F1AB7C3" w14:textId="77777777" w:rsidR="00736629" w:rsidRPr="00736629" w:rsidRDefault="00736629" w:rsidP="00736629">
      <w:pPr>
        <w:pStyle w:val="Bibliography"/>
        <w:rPr>
          <w:rFonts w:eastAsiaTheme="minorHAnsi"/>
          <w:lang w:val="en-US"/>
        </w:rPr>
      </w:pPr>
      <w:r w:rsidRPr="00736629">
        <w:rPr>
          <w:rFonts w:eastAsiaTheme="minorHAnsi"/>
          <w:lang w:val="en-US"/>
        </w:rPr>
        <w:lastRenderedPageBreak/>
        <w:t xml:space="preserve">Izzaddin, Aras, Andreas Langousis, Vincenzo Totaro, Marwah Yaseen, and Vito Iacobellis. 2024. “A New Diagram for Performance Evaluation of Complex Models.” </w:t>
      </w:r>
      <w:r w:rsidRPr="00736629">
        <w:rPr>
          <w:rFonts w:eastAsiaTheme="minorHAnsi"/>
          <w:i/>
          <w:iCs/>
          <w:lang w:val="en-US"/>
        </w:rPr>
        <w:t>Stochastic Environmental Research and Risk Assessment</w:t>
      </w:r>
      <w:r w:rsidRPr="00736629">
        <w:rPr>
          <w:rFonts w:eastAsiaTheme="minorHAnsi"/>
          <w:lang w:val="en-US"/>
        </w:rPr>
        <w:t xml:space="preserve"> 38 (6): 2261–81. https://doi.org/10.1007/s00477-024-02678-3.</w:t>
      </w:r>
    </w:p>
    <w:p w14:paraId="6F08AC2C" w14:textId="77777777" w:rsidR="00736629" w:rsidRPr="00736629" w:rsidRDefault="00736629" w:rsidP="00736629">
      <w:pPr>
        <w:pStyle w:val="Bibliography"/>
        <w:rPr>
          <w:rFonts w:eastAsiaTheme="minorHAnsi"/>
          <w:lang w:val="en-US"/>
        </w:rPr>
      </w:pPr>
      <w:r w:rsidRPr="00736629">
        <w:rPr>
          <w:rFonts w:eastAsiaTheme="minorHAnsi"/>
          <w:lang w:val="en-US"/>
        </w:rPr>
        <w:t xml:space="preserve">Jolliff, Jason K., John C. Kindle, Igor Shulman, et al. 2009. “Summary Diagrams for Coupled Hydrodynamic-Ecosystem Model Skill Assessment.” </w:t>
      </w:r>
      <w:r w:rsidRPr="00736629">
        <w:rPr>
          <w:rFonts w:eastAsiaTheme="minorHAnsi"/>
          <w:i/>
          <w:iCs/>
          <w:lang w:val="en-US"/>
        </w:rPr>
        <w:t>Journal of Marine Systems</w:t>
      </w:r>
      <w:r w:rsidRPr="00736629">
        <w:rPr>
          <w:rFonts w:eastAsiaTheme="minorHAnsi"/>
          <w:lang w:val="en-US"/>
        </w:rPr>
        <w:t xml:space="preserve"> 76 (1–2): 64–82. https://doi.org/10.1016/j.jmarsys.2008.05.014.</w:t>
      </w:r>
    </w:p>
    <w:p w14:paraId="3AC2093F" w14:textId="77777777" w:rsidR="00736629" w:rsidRPr="00736629" w:rsidRDefault="00736629" w:rsidP="00736629">
      <w:pPr>
        <w:pStyle w:val="Bibliography"/>
        <w:rPr>
          <w:rFonts w:eastAsiaTheme="minorHAnsi"/>
          <w:lang w:val="en-US"/>
        </w:rPr>
      </w:pPr>
      <w:r w:rsidRPr="00736629">
        <w:rPr>
          <w:rFonts w:eastAsiaTheme="minorHAnsi"/>
          <w:lang w:val="en-US"/>
        </w:rPr>
        <w:t>Kanagawa, Motonobu, Philipp Hennig, Dino Sejdinovic, and Bharath K Sriperumbudur. 2018. “Gaussian Processes and Kernel Methods: A Review on Connections and Equivalences.” Version 1. Preprint, arXiv. https://doi.org/10.48550/ARXIV.1807.02582.</w:t>
      </w:r>
    </w:p>
    <w:p w14:paraId="40E99A11" w14:textId="77777777" w:rsidR="00736629" w:rsidRPr="00736629" w:rsidRDefault="00736629" w:rsidP="00736629">
      <w:pPr>
        <w:pStyle w:val="Bibliography"/>
        <w:rPr>
          <w:rFonts w:eastAsiaTheme="minorHAnsi"/>
          <w:lang w:val="en-US"/>
        </w:rPr>
      </w:pPr>
      <w:r w:rsidRPr="00736629">
        <w:rPr>
          <w:rFonts w:eastAsiaTheme="minorHAnsi"/>
          <w:lang w:val="en-US"/>
        </w:rPr>
        <w:t xml:space="preserve">Köhler, Jens. 2014. “Grinding Parameters.” In </w:t>
      </w:r>
      <w:r w:rsidRPr="00736629">
        <w:rPr>
          <w:rFonts w:eastAsiaTheme="minorHAnsi"/>
          <w:i/>
          <w:iCs/>
          <w:lang w:val="en-US"/>
        </w:rPr>
        <w:t>CIRP Encyclopedia of Production Engineering</w:t>
      </w:r>
      <w:r w:rsidRPr="00736629">
        <w:rPr>
          <w:rFonts w:eastAsiaTheme="minorHAnsi"/>
          <w:lang w:val="en-US"/>
        </w:rPr>
        <w:t>, edited by The International Academy for Production Engineering, Luc Laperrière, and Gunther Reinhart. Springer Berlin Heidelberg. https://doi.org/10.1007/978-3-642-20617-7_6424.</w:t>
      </w:r>
    </w:p>
    <w:p w14:paraId="5CC85265" w14:textId="77777777" w:rsidR="00736629" w:rsidRPr="00736629" w:rsidRDefault="00736629" w:rsidP="00736629">
      <w:pPr>
        <w:pStyle w:val="Bibliography"/>
        <w:rPr>
          <w:rFonts w:eastAsiaTheme="minorHAnsi"/>
          <w:lang w:val="en-US"/>
        </w:rPr>
      </w:pPr>
      <w:r w:rsidRPr="00736629">
        <w:rPr>
          <w:rFonts w:eastAsiaTheme="minorHAnsi"/>
          <w:lang w:val="en-US"/>
        </w:rPr>
        <w:t xml:space="preserve">Kramer, Oliver. 2013. “K-Nearest Neighbors.” In </w:t>
      </w:r>
      <w:r w:rsidRPr="00736629">
        <w:rPr>
          <w:rFonts w:eastAsiaTheme="minorHAnsi"/>
          <w:i/>
          <w:iCs/>
          <w:lang w:val="en-US"/>
        </w:rPr>
        <w:t>Dimensionality Reduction with Unsupervised Nearest Neighbors</w:t>
      </w:r>
      <w:r w:rsidRPr="00736629">
        <w:rPr>
          <w:rFonts w:eastAsiaTheme="minorHAnsi"/>
          <w:lang w:val="en-US"/>
        </w:rPr>
        <w:t>, by Oliver Kramer, vol. 51. Intelligent Systems Reference Library. Springer Berlin Heidelberg. https://doi.org/10.1007/978-3-642-38652-7_2.</w:t>
      </w:r>
    </w:p>
    <w:p w14:paraId="0C0DCCD4" w14:textId="77777777" w:rsidR="00736629" w:rsidRPr="00736629" w:rsidRDefault="00736629" w:rsidP="00736629">
      <w:pPr>
        <w:pStyle w:val="Bibliography"/>
        <w:rPr>
          <w:rFonts w:eastAsiaTheme="minorHAnsi"/>
          <w:lang w:val="en-US"/>
        </w:rPr>
      </w:pPr>
      <w:r w:rsidRPr="00736629">
        <w:rPr>
          <w:rFonts w:eastAsiaTheme="minorHAnsi"/>
          <w:lang w:val="en-US"/>
        </w:rPr>
        <w:t xml:space="preserve">Kumar, U. 2005. “Comparison of Neural Networks and Regression Analysis: A New Insight.” </w:t>
      </w:r>
      <w:r w:rsidRPr="00736629">
        <w:rPr>
          <w:rFonts w:eastAsiaTheme="minorHAnsi"/>
          <w:i/>
          <w:iCs/>
          <w:lang w:val="en-US"/>
        </w:rPr>
        <w:t>Expert Systems with Applications</w:t>
      </w:r>
      <w:r w:rsidRPr="00736629">
        <w:rPr>
          <w:rFonts w:eastAsiaTheme="minorHAnsi"/>
          <w:lang w:val="en-US"/>
        </w:rPr>
        <w:t xml:space="preserve"> 29 (2): 424–30. https://doi.org/10.1016/j.eswa.2005.04.034.</w:t>
      </w:r>
    </w:p>
    <w:p w14:paraId="08779638" w14:textId="77777777" w:rsidR="00736629" w:rsidRPr="00736629" w:rsidRDefault="00736629" w:rsidP="00736629">
      <w:pPr>
        <w:pStyle w:val="Bibliography"/>
        <w:rPr>
          <w:rFonts w:eastAsiaTheme="minorHAnsi"/>
          <w:lang w:val="en-US"/>
        </w:rPr>
      </w:pPr>
      <w:r w:rsidRPr="00736629">
        <w:rPr>
          <w:rFonts w:eastAsiaTheme="minorHAnsi"/>
          <w:lang w:val="en-US"/>
        </w:rPr>
        <w:t xml:space="preserve">Kunapuli, Gautam. 2023. </w:t>
      </w:r>
      <w:r w:rsidRPr="00736629">
        <w:rPr>
          <w:rFonts w:eastAsiaTheme="minorHAnsi"/>
          <w:i/>
          <w:iCs/>
          <w:lang w:val="en-US"/>
        </w:rPr>
        <w:t>Ensemble Methods for Machine Learning</w:t>
      </w:r>
      <w:r w:rsidRPr="00736629">
        <w:rPr>
          <w:rFonts w:eastAsiaTheme="minorHAnsi"/>
          <w:lang w:val="en-US"/>
        </w:rPr>
        <w:t>. Manning.</w:t>
      </w:r>
    </w:p>
    <w:p w14:paraId="6ECA9478" w14:textId="77777777" w:rsidR="00736629" w:rsidRPr="00736629" w:rsidRDefault="00736629" w:rsidP="00736629">
      <w:pPr>
        <w:pStyle w:val="Bibliography"/>
        <w:rPr>
          <w:rFonts w:eastAsiaTheme="minorHAnsi"/>
          <w:lang w:val="en-US"/>
        </w:rPr>
      </w:pPr>
      <w:r w:rsidRPr="00736629">
        <w:rPr>
          <w:rFonts w:eastAsiaTheme="minorHAnsi"/>
          <w:lang w:val="en-US"/>
        </w:rPr>
        <w:t xml:space="preserve">Kvålseth, Tarald O. 1985. “Cautionary Note about </w:t>
      </w:r>
      <w:r w:rsidRPr="00736629">
        <w:rPr>
          <w:rFonts w:eastAsiaTheme="minorHAnsi"/>
          <w:i/>
          <w:iCs/>
          <w:lang w:val="en-US"/>
        </w:rPr>
        <w:t>R</w:t>
      </w:r>
      <w:r w:rsidRPr="00736629">
        <w:rPr>
          <w:rFonts w:eastAsiaTheme="minorHAnsi"/>
          <w:vertAlign w:val="superscript"/>
          <w:lang w:val="en-US"/>
        </w:rPr>
        <w:t>2</w:t>
      </w:r>
      <w:r w:rsidRPr="00736629">
        <w:rPr>
          <w:rFonts w:eastAsiaTheme="minorHAnsi"/>
          <w:lang w:val="en-US"/>
        </w:rPr>
        <w:t xml:space="preserve">.” </w:t>
      </w:r>
      <w:r w:rsidRPr="00736629">
        <w:rPr>
          <w:rFonts w:eastAsiaTheme="minorHAnsi"/>
          <w:i/>
          <w:iCs/>
          <w:lang w:val="en-US"/>
        </w:rPr>
        <w:t>The American Statistician</w:t>
      </w:r>
      <w:r w:rsidRPr="00736629">
        <w:rPr>
          <w:rFonts w:eastAsiaTheme="minorHAnsi"/>
          <w:lang w:val="en-US"/>
        </w:rPr>
        <w:t xml:space="preserve"> 39 (4): 279–85. https://doi.org/10.1080/00031305.1985.10479448.</w:t>
      </w:r>
    </w:p>
    <w:p w14:paraId="6CAEAD49" w14:textId="77777777" w:rsidR="00736629" w:rsidRPr="00736629" w:rsidRDefault="00736629" w:rsidP="00736629">
      <w:pPr>
        <w:pStyle w:val="Bibliography"/>
        <w:rPr>
          <w:rFonts w:eastAsiaTheme="minorHAnsi"/>
          <w:lang w:val="en-US"/>
        </w:rPr>
      </w:pPr>
      <w:r w:rsidRPr="00736629">
        <w:rPr>
          <w:rFonts w:eastAsiaTheme="minorHAnsi"/>
          <w:lang w:val="en-US"/>
        </w:rPr>
        <w:t xml:space="preserve">Laloë, Thomas. 2008. “A K-Nearest Neighbor Approach for Functional Regression.” </w:t>
      </w:r>
      <w:r w:rsidRPr="00736629">
        <w:rPr>
          <w:rFonts w:eastAsiaTheme="minorHAnsi"/>
          <w:i/>
          <w:iCs/>
          <w:lang w:val="en-US"/>
        </w:rPr>
        <w:t>Statistics &amp; Probability Letters</w:t>
      </w:r>
      <w:r w:rsidRPr="00736629">
        <w:rPr>
          <w:rFonts w:eastAsiaTheme="minorHAnsi"/>
          <w:lang w:val="en-US"/>
        </w:rPr>
        <w:t xml:space="preserve"> 78 (10): 1189–93. https://doi.org/10.1016/j.spl.2007.11.014.</w:t>
      </w:r>
    </w:p>
    <w:p w14:paraId="043AC6BB" w14:textId="77777777" w:rsidR="00736629" w:rsidRPr="00736629" w:rsidRDefault="00736629" w:rsidP="00736629">
      <w:pPr>
        <w:pStyle w:val="Bibliography"/>
        <w:rPr>
          <w:rFonts w:eastAsiaTheme="minorHAnsi"/>
          <w:lang w:val="en-US"/>
        </w:rPr>
      </w:pPr>
      <w:r w:rsidRPr="00736629">
        <w:rPr>
          <w:rFonts w:eastAsiaTheme="minorHAnsi"/>
          <w:lang w:val="en-US"/>
        </w:rPr>
        <w:t xml:space="preserve">Marinescu, Ioan D. 2013. </w:t>
      </w:r>
      <w:r w:rsidRPr="00736629">
        <w:rPr>
          <w:rFonts w:eastAsiaTheme="minorHAnsi"/>
          <w:i/>
          <w:iCs/>
          <w:lang w:val="en-US"/>
        </w:rPr>
        <w:t>Tribology of Abrasive Machining Processes</w:t>
      </w:r>
      <w:r w:rsidRPr="00736629">
        <w:rPr>
          <w:rFonts w:eastAsiaTheme="minorHAnsi"/>
          <w:lang w:val="en-US"/>
        </w:rPr>
        <w:t>. 2nd edition. Elsevier/WA.</w:t>
      </w:r>
    </w:p>
    <w:p w14:paraId="5DE69520" w14:textId="77777777" w:rsidR="00736629" w:rsidRPr="00736629" w:rsidRDefault="00736629" w:rsidP="00736629">
      <w:pPr>
        <w:pStyle w:val="Bibliography"/>
        <w:rPr>
          <w:rFonts w:eastAsiaTheme="minorHAnsi"/>
          <w:lang w:val="en-US"/>
        </w:rPr>
      </w:pPr>
      <w:r w:rsidRPr="00736629">
        <w:rPr>
          <w:rFonts w:eastAsiaTheme="minorHAnsi"/>
          <w:lang w:val="en-US"/>
        </w:rPr>
        <w:t xml:space="preserve">Montgomery, Douglas C. 2020. </w:t>
      </w:r>
      <w:r w:rsidRPr="00736629">
        <w:rPr>
          <w:rFonts w:eastAsiaTheme="minorHAnsi"/>
          <w:i/>
          <w:iCs/>
          <w:lang w:val="en-US"/>
        </w:rPr>
        <w:t>Design and Analysis of Experiments</w:t>
      </w:r>
      <w:r w:rsidRPr="00736629">
        <w:rPr>
          <w:rFonts w:eastAsiaTheme="minorHAnsi"/>
          <w:lang w:val="en-US"/>
        </w:rPr>
        <w:t>. Tenth edition, EMEA edition. Wiley.</w:t>
      </w:r>
    </w:p>
    <w:p w14:paraId="71F3D85F" w14:textId="77777777" w:rsidR="00736629" w:rsidRPr="00736629" w:rsidRDefault="00736629" w:rsidP="00736629">
      <w:pPr>
        <w:pStyle w:val="Bibliography"/>
        <w:rPr>
          <w:rFonts w:eastAsiaTheme="minorHAnsi"/>
          <w:lang w:val="en-US"/>
        </w:rPr>
      </w:pPr>
      <w:r w:rsidRPr="00736629">
        <w:rPr>
          <w:rFonts w:eastAsiaTheme="minorHAnsi"/>
          <w:lang w:val="en-US"/>
        </w:rPr>
        <w:t xml:space="preserve">Narimani, Parviz, Mohsen Dehghanpour Abyaneh, Marzieh Golabchi, Babak Golchin, Rezwanul Haque, and Ali Jamshidi. 2024. “Digitalization of Analysis of a Concrete Block Layer Using Machine Learning as a Sustainable Approach.” </w:t>
      </w:r>
      <w:r w:rsidRPr="00736629">
        <w:rPr>
          <w:rFonts w:eastAsiaTheme="minorHAnsi"/>
          <w:i/>
          <w:iCs/>
          <w:lang w:val="en-US"/>
        </w:rPr>
        <w:t>Sustainability</w:t>
      </w:r>
      <w:r w:rsidRPr="00736629">
        <w:rPr>
          <w:rFonts w:eastAsiaTheme="minorHAnsi"/>
          <w:lang w:val="en-US"/>
        </w:rPr>
        <w:t xml:space="preserve"> 16 (17): 7591. https://doi.org/10.3390/su16177591.</w:t>
      </w:r>
    </w:p>
    <w:p w14:paraId="32C095FF" w14:textId="77777777" w:rsidR="00736629" w:rsidRPr="00736629" w:rsidRDefault="00736629" w:rsidP="00736629">
      <w:pPr>
        <w:pStyle w:val="Bibliography"/>
        <w:rPr>
          <w:rFonts w:eastAsiaTheme="minorHAnsi"/>
          <w:lang w:val="en-US"/>
        </w:rPr>
      </w:pPr>
      <w:r w:rsidRPr="00736629">
        <w:rPr>
          <w:rFonts w:eastAsiaTheme="minorHAnsi"/>
          <w:lang w:val="en-US"/>
        </w:rPr>
        <w:t xml:space="preserve">Naser, M. Z., and Amir H. Alavi. 2023. “Error Metrics and Performance Fitness Indicators for Artificial Intelligence and Machine Learning in Engineering and Sciences.” </w:t>
      </w:r>
      <w:r w:rsidRPr="00736629">
        <w:rPr>
          <w:rFonts w:eastAsiaTheme="minorHAnsi"/>
          <w:i/>
          <w:iCs/>
          <w:lang w:val="en-US"/>
        </w:rPr>
        <w:t>Architecture, Structures and Construction</w:t>
      </w:r>
      <w:r w:rsidRPr="00736629">
        <w:rPr>
          <w:rFonts w:eastAsiaTheme="minorHAnsi"/>
          <w:lang w:val="en-US"/>
        </w:rPr>
        <w:t xml:space="preserve"> 3 (4): 499–517. https://doi.org/10.1007/s44150-021-00015-8.</w:t>
      </w:r>
    </w:p>
    <w:p w14:paraId="21471741" w14:textId="77777777" w:rsidR="00736629" w:rsidRPr="00736629" w:rsidRDefault="00736629" w:rsidP="00736629">
      <w:pPr>
        <w:pStyle w:val="Bibliography"/>
        <w:rPr>
          <w:rFonts w:eastAsiaTheme="minorHAnsi"/>
          <w:lang w:val="en-US"/>
        </w:rPr>
      </w:pPr>
      <w:r w:rsidRPr="00736629">
        <w:rPr>
          <w:rFonts w:eastAsiaTheme="minorHAnsi"/>
          <w:lang w:val="en-US"/>
        </w:rPr>
        <w:lastRenderedPageBreak/>
        <w:t xml:space="preserve">Pan, Yuhang, Ping Zhou, Ying Yan, et al. 2021. “New Insights into the Methods for Predicting Ground Surface Roughness in the Age of Digitalisation.” </w:t>
      </w:r>
      <w:r w:rsidRPr="00736629">
        <w:rPr>
          <w:rFonts w:eastAsiaTheme="minorHAnsi"/>
          <w:i/>
          <w:iCs/>
          <w:lang w:val="en-US"/>
        </w:rPr>
        <w:t>Precision Engineering</w:t>
      </w:r>
      <w:r w:rsidRPr="00736629">
        <w:rPr>
          <w:rFonts w:eastAsiaTheme="minorHAnsi"/>
          <w:lang w:val="en-US"/>
        </w:rPr>
        <w:t xml:space="preserve"> 67 (January): 393–418. https://doi.org/10.1016/j.precisioneng.2020.11.001.</w:t>
      </w:r>
    </w:p>
    <w:p w14:paraId="3F53D442" w14:textId="77777777" w:rsidR="00736629" w:rsidRPr="00736629" w:rsidRDefault="00736629" w:rsidP="00736629">
      <w:pPr>
        <w:pStyle w:val="Bibliography"/>
        <w:rPr>
          <w:rFonts w:eastAsiaTheme="minorHAnsi"/>
          <w:lang w:val="en-US"/>
        </w:rPr>
      </w:pPr>
      <w:r w:rsidRPr="00736629">
        <w:rPr>
          <w:rFonts w:eastAsiaTheme="minorHAnsi"/>
          <w:lang w:val="en-US"/>
        </w:rPr>
        <w:t xml:space="preserve">Poulachon, Gérard, B.P Bandyopadhyay, I.S Jawahir, Sébastien Pheulpin, and Emmanuel Seguin. 2003. “The Influence of the Microstructure of Hardened Tool Steel Workpiece on the Wear of PCBN Cutting Tools.” </w:t>
      </w:r>
      <w:r w:rsidRPr="00736629">
        <w:rPr>
          <w:rFonts w:eastAsiaTheme="minorHAnsi"/>
          <w:i/>
          <w:iCs/>
          <w:lang w:val="en-US"/>
        </w:rPr>
        <w:t>International Journal of Machine Tools and Manufacture</w:t>
      </w:r>
      <w:r w:rsidRPr="00736629">
        <w:rPr>
          <w:rFonts w:eastAsiaTheme="minorHAnsi"/>
          <w:lang w:val="en-US"/>
        </w:rPr>
        <w:t xml:space="preserve"> 43 (2): 139–44. https://doi.org/10.1016/S0890-6955(02)00170-0.</w:t>
      </w:r>
    </w:p>
    <w:p w14:paraId="0E02B1EF" w14:textId="77777777" w:rsidR="00736629" w:rsidRPr="00736629" w:rsidRDefault="00736629" w:rsidP="00736629">
      <w:pPr>
        <w:pStyle w:val="Bibliography"/>
        <w:rPr>
          <w:rFonts w:eastAsiaTheme="minorHAnsi"/>
          <w:lang w:val="en-US"/>
        </w:rPr>
      </w:pPr>
      <w:r w:rsidRPr="00736629">
        <w:rPr>
          <w:rFonts w:eastAsiaTheme="minorHAnsi"/>
          <w:lang w:val="en-US"/>
        </w:rPr>
        <w:t xml:space="preserve">Prashanth, Gorantala Sai, Prithivirajan Sekar, Srikanth Bontha, and A.S.S. Balan. 2023a. “Grinding Parameters Prediction under Different Cooling Environments Using Machine Learning Techniques.” </w:t>
      </w:r>
      <w:r w:rsidRPr="00736629">
        <w:rPr>
          <w:rFonts w:eastAsiaTheme="minorHAnsi"/>
          <w:i/>
          <w:iCs/>
          <w:lang w:val="en-US"/>
        </w:rPr>
        <w:t>Materials and Manufacturing Processes</w:t>
      </w:r>
      <w:r w:rsidRPr="00736629">
        <w:rPr>
          <w:rFonts w:eastAsiaTheme="minorHAnsi"/>
          <w:lang w:val="en-US"/>
        </w:rPr>
        <w:t xml:space="preserve"> 38 (2): 235–44. https://doi.org/10.1080/10426914.2022.2116043.</w:t>
      </w:r>
    </w:p>
    <w:p w14:paraId="1870DC04" w14:textId="77777777" w:rsidR="00736629" w:rsidRPr="00736629" w:rsidRDefault="00736629" w:rsidP="00736629">
      <w:pPr>
        <w:pStyle w:val="Bibliography"/>
        <w:rPr>
          <w:rFonts w:eastAsiaTheme="minorHAnsi"/>
          <w:lang w:val="en-US"/>
        </w:rPr>
      </w:pPr>
      <w:r w:rsidRPr="00736629">
        <w:rPr>
          <w:rFonts w:eastAsiaTheme="minorHAnsi"/>
          <w:lang w:val="en-US"/>
        </w:rPr>
        <w:t xml:space="preserve">Prashanth, Gorantala Sai, Prithivirajan Sekar, Srikanth Bontha, and A.S.S. Balan. 2023b. “Grinding Parameters Prediction under Different Cooling Environments Using Machine Learning Techniques.” </w:t>
      </w:r>
      <w:r w:rsidRPr="00736629">
        <w:rPr>
          <w:rFonts w:eastAsiaTheme="minorHAnsi"/>
          <w:i/>
          <w:iCs/>
          <w:lang w:val="en-US"/>
        </w:rPr>
        <w:t>Materials and Manufacturing Processes</w:t>
      </w:r>
      <w:r w:rsidRPr="00736629">
        <w:rPr>
          <w:rFonts w:eastAsiaTheme="minorHAnsi"/>
          <w:lang w:val="en-US"/>
        </w:rPr>
        <w:t xml:space="preserve"> 38 (2): 235–44. https://doi.org/10.1080/10426914.2022.2116043.</w:t>
      </w:r>
    </w:p>
    <w:p w14:paraId="3CB55627" w14:textId="77777777" w:rsidR="00736629" w:rsidRPr="00736629" w:rsidRDefault="00736629" w:rsidP="00736629">
      <w:pPr>
        <w:pStyle w:val="Bibliography"/>
        <w:rPr>
          <w:rFonts w:eastAsiaTheme="minorHAnsi"/>
          <w:lang w:val="en-US"/>
        </w:rPr>
      </w:pPr>
      <w:r w:rsidRPr="00736629">
        <w:rPr>
          <w:rFonts w:eastAsiaTheme="minorHAnsi"/>
          <w:lang w:val="en-US"/>
        </w:rPr>
        <w:t xml:space="preserve">Qiu, Xueheng, Le Zhang, Ye Ren, P. Suganthan, and Gehan Amaratunga. 2014. “Ensemble Deep Learning for Regression and Time Series Forecasting.” </w:t>
      </w:r>
      <w:r w:rsidRPr="00736629">
        <w:rPr>
          <w:rFonts w:eastAsiaTheme="minorHAnsi"/>
          <w:i/>
          <w:iCs/>
          <w:lang w:val="en-US"/>
        </w:rPr>
        <w:t>2014 IEEE Symposium on Computational Intelligence in Ensemble Learning (CIEL)</w:t>
      </w:r>
      <w:r w:rsidRPr="00736629">
        <w:rPr>
          <w:rFonts w:eastAsiaTheme="minorHAnsi"/>
          <w:lang w:val="en-US"/>
        </w:rPr>
        <w:t>, December, 1–6. https://doi.org/10.1109/CIEL.2014.7015739.</w:t>
      </w:r>
    </w:p>
    <w:p w14:paraId="13B6E1B3" w14:textId="77777777" w:rsidR="00736629" w:rsidRPr="00736629" w:rsidRDefault="00736629" w:rsidP="00736629">
      <w:pPr>
        <w:pStyle w:val="Bibliography"/>
        <w:rPr>
          <w:rFonts w:eastAsiaTheme="minorHAnsi"/>
          <w:lang w:val="en-US"/>
        </w:rPr>
      </w:pPr>
      <w:r w:rsidRPr="00736629">
        <w:rPr>
          <w:rFonts w:eastAsiaTheme="minorHAnsi"/>
          <w:lang w:val="en-US"/>
        </w:rPr>
        <w:t xml:space="preserve">Rasmussen, Carl Edward, and Christopher K. I. Williams. 2005. </w:t>
      </w:r>
      <w:r w:rsidRPr="00736629">
        <w:rPr>
          <w:rFonts w:eastAsiaTheme="minorHAnsi"/>
          <w:i/>
          <w:iCs/>
          <w:lang w:val="en-US"/>
        </w:rPr>
        <w:t>Gaussian Processes for Machine Learning</w:t>
      </w:r>
      <w:r w:rsidRPr="00736629">
        <w:rPr>
          <w:rFonts w:eastAsiaTheme="minorHAnsi"/>
          <w:lang w:val="en-US"/>
        </w:rPr>
        <w:t>. The MIT Press. https://doi.org/10.7551/mitpress/3206.001.0001.</w:t>
      </w:r>
    </w:p>
    <w:p w14:paraId="69FD4719" w14:textId="77777777" w:rsidR="00736629" w:rsidRPr="00736629" w:rsidRDefault="00736629" w:rsidP="00736629">
      <w:pPr>
        <w:pStyle w:val="Bibliography"/>
        <w:rPr>
          <w:rFonts w:eastAsiaTheme="minorHAnsi"/>
          <w:lang w:val="en-US"/>
        </w:rPr>
      </w:pPr>
      <w:r w:rsidRPr="00736629">
        <w:rPr>
          <w:rFonts w:eastAsiaTheme="minorHAnsi"/>
          <w:lang w:val="en-US"/>
        </w:rPr>
        <w:t xml:space="preserve">Rasmussen, Carl Edward, and Christopher K. I. Williams. 2008. “Gaussian Processes for Machine Learning.” In </w:t>
      </w:r>
      <w:r w:rsidRPr="00736629">
        <w:rPr>
          <w:rFonts w:eastAsiaTheme="minorHAnsi"/>
          <w:i/>
          <w:iCs/>
          <w:lang w:val="en-US"/>
        </w:rPr>
        <w:t>Gaussian Processes for Machine Learning</w:t>
      </w:r>
      <w:r w:rsidRPr="00736629">
        <w:rPr>
          <w:rFonts w:eastAsiaTheme="minorHAnsi"/>
          <w:lang w:val="en-US"/>
        </w:rPr>
        <w:t>, 3. print. Adaptive Computation and Machine Learning. MIT Press.</w:t>
      </w:r>
    </w:p>
    <w:p w14:paraId="349D7754" w14:textId="77777777" w:rsidR="00736629" w:rsidRPr="00736629" w:rsidRDefault="00736629" w:rsidP="00736629">
      <w:pPr>
        <w:pStyle w:val="Bibliography"/>
        <w:rPr>
          <w:rFonts w:eastAsiaTheme="minorHAnsi"/>
          <w:lang w:val="en-US"/>
        </w:rPr>
      </w:pPr>
      <w:r w:rsidRPr="00736629">
        <w:rPr>
          <w:rFonts w:eastAsiaTheme="minorHAnsi"/>
          <w:lang w:val="en-US"/>
        </w:rPr>
        <w:t xml:space="preserve">Rodriguez, Rafael Lemes, José Claudio Lopes, Mateus Vinícius Garcia, et al. 2020. “Grinding Process Applied to Workpieces with Different Geometries Interrupted Using CBN Wheel.” </w:t>
      </w:r>
      <w:r w:rsidRPr="00736629">
        <w:rPr>
          <w:rFonts w:eastAsiaTheme="minorHAnsi"/>
          <w:i/>
          <w:iCs/>
          <w:lang w:val="en-US"/>
        </w:rPr>
        <w:t>The International Journal of Advanced Manufacturing Technology</w:t>
      </w:r>
      <w:r w:rsidRPr="00736629">
        <w:rPr>
          <w:rFonts w:eastAsiaTheme="minorHAnsi"/>
          <w:lang w:val="en-US"/>
        </w:rPr>
        <w:t xml:space="preserve"> 107 (3–4): 1265–75. https://doi.org/10.1007/s00170-020-05122-2.</w:t>
      </w:r>
    </w:p>
    <w:p w14:paraId="17F7A4EA" w14:textId="77777777" w:rsidR="00736629" w:rsidRPr="00736629" w:rsidRDefault="00736629" w:rsidP="00736629">
      <w:pPr>
        <w:pStyle w:val="Bibliography"/>
        <w:rPr>
          <w:rFonts w:eastAsiaTheme="minorHAnsi"/>
          <w:lang w:val="en-US"/>
        </w:rPr>
      </w:pPr>
      <w:r w:rsidRPr="00736629">
        <w:rPr>
          <w:rFonts w:eastAsiaTheme="minorHAnsi"/>
          <w:lang w:val="en-US"/>
        </w:rPr>
        <w:t xml:space="preserve">Rowe, William Brian. 2014. </w:t>
      </w:r>
      <w:r w:rsidRPr="00736629">
        <w:rPr>
          <w:rFonts w:eastAsiaTheme="minorHAnsi"/>
          <w:i/>
          <w:iCs/>
          <w:lang w:val="en-US"/>
        </w:rPr>
        <w:t>Principles of Modern Grinding Technology</w:t>
      </w:r>
      <w:r w:rsidRPr="00736629">
        <w:rPr>
          <w:rFonts w:eastAsiaTheme="minorHAnsi"/>
          <w:lang w:val="en-US"/>
        </w:rPr>
        <w:t>. 2nd edition. William Andrew.</w:t>
      </w:r>
    </w:p>
    <w:p w14:paraId="127E5EDB" w14:textId="77777777" w:rsidR="00736629" w:rsidRPr="00736629" w:rsidRDefault="00736629" w:rsidP="00736629">
      <w:pPr>
        <w:pStyle w:val="Bibliography"/>
        <w:rPr>
          <w:rFonts w:eastAsiaTheme="minorHAnsi"/>
          <w:lang w:val="en-US"/>
        </w:rPr>
      </w:pPr>
      <w:r w:rsidRPr="00736629">
        <w:rPr>
          <w:rFonts w:eastAsiaTheme="minorHAnsi"/>
          <w:lang w:val="en-US"/>
        </w:rPr>
        <w:t xml:space="preserve">Ruan, Penghui, Divya Saxena, Jiannong Cao, Xiaoyun Liu, Ruoxin Wang, and Chi Fai Cheung. 2025. “NASPrecision: Neural Architecture Search-Driven Multi-Stage Learning for Surface Roughness Prediction in Ultra-Precision Machining.” </w:t>
      </w:r>
      <w:r w:rsidRPr="00736629">
        <w:rPr>
          <w:rFonts w:eastAsiaTheme="minorHAnsi"/>
          <w:i/>
          <w:iCs/>
          <w:lang w:val="en-US"/>
        </w:rPr>
        <w:t>Expert Systems with Applications</w:t>
      </w:r>
      <w:r w:rsidRPr="00736629">
        <w:rPr>
          <w:rFonts w:eastAsiaTheme="minorHAnsi"/>
          <w:lang w:val="en-US"/>
        </w:rPr>
        <w:t xml:space="preserve"> 262 (March): 125540. https://doi.org/10.1016/j.eswa.2024.125540.</w:t>
      </w:r>
    </w:p>
    <w:p w14:paraId="1509B3BB" w14:textId="77777777" w:rsidR="00736629" w:rsidRPr="00736629" w:rsidRDefault="00736629" w:rsidP="00736629">
      <w:pPr>
        <w:pStyle w:val="Bibliography"/>
        <w:rPr>
          <w:rFonts w:eastAsiaTheme="minorHAnsi"/>
          <w:lang w:val="en-US"/>
        </w:rPr>
      </w:pPr>
      <w:r w:rsidRPr="00736629">
        <w:rPr>
          <w:rFonts w:eastAsiaTheme="minorHAnsi"/>
          <w:lang w:val="en-US"/>
        </w:rPr>
        <w:t xml:space="preserve">Samavatian, Majid, Vahid Samavatian, Bhavesh Kanabar, et al. 2025. “Analytically Guided Machine Learning for Surface Roughness Determination in Steel Grinding Processes.” </w:t>
      </w:r>
      <w:r w:rsidRPr="00736629">
        <w:rPr>
          <w:rFonts w:eastAsiaTheme="minorHAnsi"/>
          <w:i/>
          <w:iCs/>
          <w:lang w:val="en-US"/>
        </w:rPr>
        <w:t>Ironmaking &amp; Steelmaking: Processes, Products and Applications</w:t>
      </w:r>
      <w:r w:rsidRPr="00736629">
        <w:rPr>
          <w:rFonts w:eastAsiaTheme="minorHAnsi"/>
          <w:lang w:val="en-US"/>
        </w:rPr>
        <w:t>, July 10, 03019233251357108. https://doi.org/10.1177/03019233251357108.</w:t>
      </w:r>
    </w:p>
    <w:p w14:paraId="3040BAF1" w14:textId="77777777" w:rsidR="00736629" w:rsidRPr="00736629" w:rsidRDefault="00736629" w:rsidP="00736629">
      <w:pPr>
        <w:pStyle w:val="Bibliography"/>
        <w:rPr>
          <w:rFonts w:eastAsiaTheme="minorHAnsi"/>
          <w:lang w:val="en-US"/>
        </w:rPr>
      </w:pPr>
      <w:r w:rsidRPr="00736629">
        <w:rPr>
          <w:rFonts w:eastAsiaTheme="minorHAnsi"/>
          <w:lang w:val="en-US"/>
        </w:rPr>
        <w:lastRenderedPageBreak/>
        <w:t xml:space="preserve">Seeger, Matthias. 2004. “GAUSSIAN PROCESSES FOR MACHINE LEARNING.” </w:t>
      </w:r>
      <w:r w:rsidRPr="00736629">
        <w:rPr>
          <w:rFonts w:eastAsiaTheme="minorHAnsi"/>
          <w:i/>
          <w:iCs/>
          <w:lang w:val="en-US"/>
        </w:rPr>
        <w:t>International Journal of Neural Systems</w:t>
      </w:r>
      <w:r w:rsidRPr="00736629">
        <w:rPr>
          <w:rFonts w:eastAsiaTheme="minorHAnsi"/>
          <w:lang w:val="en-US"/>
        </w:rPr>
        <w:t xml:space="preserve"> 14 (02): 69–106. https://doi.org/10.1142/S0129065704001899.</w:t>
      </w:r>
    </w:p>
    <w:p w14:paraId="3E507742" w14:textId="77777777" w:rsidR="00736629" w:rsidRPr="00736629" w:rsidRDefault="00736629" w:rsidP="00736629">
      <w:pPr>
        <w:pStyle w:val="Bibliography"/>
        <w:rPr>
          <w:rFonts w:eastAsiaTheme="minorHAnsi"/>
          <w:lang w:val="en-US"/>
        </w:rPr>
      </w:pPr>
      <w:r w:rsidRPr="00736629">
        <w:rPr>
          <w:rFonts w:eastAsiaTheme="minorHAnsi"/>
          <w:lang w:val="en-US"/>
        </w:rPr>
        <w:t xml:space="preserve">Setiono, R., Wee Kheng Leow, and J.M. Zurada. 2002. “Extraction of Rules from Artificial Neural Networks for Nonlinear Regression.” </w:t>
      </w:r>
      <w:r w:rsidRPr="00736629">
        <w:rPr>
          <w:rFonts w:eastAsiaTheme="minorHAnsi"/>
          <w:i/>
          <w:iCs/>
          <w:lang w:val="en-US"/>
        </w:rPr>
        <w:t>IEEE Transactions on Neural Networks</w:t>
      </w:r>
      <w:r w:rsidRPr="00736629">
        <w:rPr>
          <w:rFonts w:eastAsiaTheme="minorHAnsi"/>
          <w:lang w:val="en-US"/>
        </w:rPr>
        <w:t xml:space="preserve"> 13 (3): 564–77. https://doi.org/10.1109/TNN.2002.1000125.</w:t>
      </w:r>
    </w:p>
    <w:p w14:paraId="2FFBF24C" w14:textId="77777777" w:rsidR="00736629" w:rsidRPr="00736629" w:rsidRDefault="00736629" w:rsidP="00736629">
      <w:pPr>
        <w:pStyle w:val="Bibliography"/>
        <w:rPr>
          <w:rFonts w:eastAsiaTheme="minorHAnsi"/>
          <w:lang w:val="en-US"/>
        </w:rPr>
      </w:pPr>
      <w:r w:rsidRPr="00736629">
        <w:rPr>
          <w:rFonts w:eastAsiaTheme="minorHAnsi"/>
          <w:lang w:val="en-US"/>
        </w:rPr>
        <w:t xml:space="preserve">Shang, Suiyan, Chunjin Wang, Xiaoliang Liang, Chi Fai Cheung, and Pai Zheng. 2023. “Surface Roughness Prediction in Ultra-Precision Milling: An Extreme Learning Machine Method with Data Fusion.” </w:t>
      </w:r>
      <w:r w:rsidRPr="00736629">
        <w:rPr>
          <w:rFonts w:eastAsiaTheme="minorHAnsi"/>
          <w:i/>
          <w:iCs/>
          <w:lang w:val="en-US"/>
        </w:rPr>
        <w:t>Micromachines</w:t>
      </w:r>
      <w:r w:rsidRPr="00736629">
        <w:rPr>
          <w:rFonts w:eastAsiaTheme="minorHAnsi"/>
          <w:lang w:val="en-US"/>
        </w:rPr>
        <w:t xml:space="preserve"> 14 (11): 2016. https://doi.org/10.3390/mi14112016.</w:t>
      </w:r>
    </w:p>
    <w:p w14:paraId="6F8B26D9" w14:textId="77777777" w:rsidR="00736629" w:rsidRPr="00736629" w:rsidRDefault="00736629" w:rsidP="00736629">
      <w:pPr>
        <w:pStyle w:val="Bibliography"/>
        <w:rPr>
          <w:rFonts w:eastAsiaTheme="minorHAnsi"/>
          <w:lang w:val="en-US"/>
        </w:rPr>
      </w:pPr>
      <w:r w:rsidRPr="00736629">
        <w:rPr>
          <w:rFonts w:eastAsiaTheme="minorHAnsi"/>
          <w:lang w:val="en-US"/>
        </w:rPr>
        <w:t xml:space="preserve">Shehzad, Adeel, XiaoTing Rui, YuanYuan Ding, et al. 2024. “Deep-Learning-Assisted Online Surface Roughness Monitoring in Ultraprecision Fly Cutting.” </w:t>
      </w:r>
      <w:r w:rsidRPr="00736629">
        <w:rPr>
          <w:rFonts w:eastAsiaTheme="minorHAnsi"/>
          <w:i/>
          <w:iCs/>
          <w:lang w:val="en-US"/>
        </w:rPr>
        <w:t>Science China Technological Sciences</w:t>
      </w:r>
      <w:r w:rsidRPr="00736629">
        <w:rPr>
          <w:rFonts w:eastAsiaTheme="minorHAnsi"/>
          <w:lang w:val="en-US"/>
        </w:rPr>
        <w:t xml:space="preserve"> 67 (5): 1482–97. https://doi.org/10.1007/s11431-023-2615-4.</w:t>
      </w:r>
    </w:p>
    <w:p w14:paraId="485E397C" w14:textId="77777777" w:rsidR="00736629" w:rsidRPr="00736629" w:rsidRDefault="00736629" w:rsidP="00736629">
      <w:pPr>
        <w:pStyle w:val="Bibliography"/>
        <w:rPr>
          <w:rFonts w:eastAsiaTheme="minorHAnsi"/>
          <w:lang w:val="en-US"/>
        </w:rPr>
      </w:pPr>
      <w:r w:rsidRPr="00736629">
        <w:rPr>
          <w:rFonts w:eastAsiaTheme="minorHAnsi"/>
          <w:lang w:val="en-US"/>
        </w:rPr>
        <w:t>Singh, Himanshu, A. V. Subramanyam, Shivank Rajput, and Mohan Kankanhalli. 2025. “Nearest Neighbor Projection Removal Adversarial Training.” arXiv:2509.07673. Preprint, arXiv, September 10. https://doi.org/10.48550/arXiv.2509.07673.</w:t>
      </w:r>
    </w:p>
    <w:p w14:paraId="61D01E0A" w14:textId="77777777" w:rsidR="00736629" w:rsidRPr="00736629" w:rsidRDefault="00736629" w:rsidP="00736629">
      <w:pPr>
        <w:pStyle w:val="Bibliography"/>
        <w:rPr>
          <w:rFonts w:eastAsiaTheme="minorHAnsi"/>
          <w:lang w:val="en-US"/>
        </w:rPr>
      </w:pPr>
      <w:r w:rsidRPr="00736629">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736629">
        <w:rPr>
          <w:rFonts w:eastAsiaTheme="minorHAnsi"/>
          <w:i/>
          <w:iCs/>
          <w:lang w:val="en-US"/>
        </w:rPr>
        <w:t>Journal of Manufacturing Systems</w:t>
      </w:r>
      <w:r w:rsidRPr="00736629">
        <w:rPr>
          <w:rFonts w:eastAsiaTheme="minorHAnsi"/>
          <w:lang w:val="en-US"/>
        </w:rPr>
        <w:t xml:space="preserve"> 65 (October): 296–316. https://doi.org/10.1016/j.jmsy.2022.09.001.</w:t>
      </w:r>
    </w:p>
    <w:p w14:paraId="081D573A" w14:textId="77777777" w:rsidR="00736629" w:rsidRPr="00736629" w:rsidRDefault="00736629" w:rsidP="00736629">
      <w:pPr>
        <w:pStyle w:val="Bibliography"/>
        <w:rPr>
          <w:rFonts w:eastAsiaTheme="minorHAnsi"/>
          <w:lang w:val="en-US"/>
        </w:rPr>
      </w:pPr>
      <w:r w:rsidRPr="00736629">
        <w:rPr>
          <w:rFonts w:eastAsiaTheme="minorHAnsi"/>
          <w:lang w:val="en-US"/>
        </w:rPr>
        <w:t xml:space="preserve">Smola, Alex J., and Bernhard Schölkopf. 2004. “A Tutorial on Support Vector Regression.” </w:t>
      </w:r>
      <w:r w:rsidRPr="00736629">
        <w:rPr>
          <w:rFonts w:eastAsiaTheme="minorHAnsi"/>
          <w:i/>
          <w:iCs/>
          <w:lang w:val="en-US"/>
        </w:rPr>
        <w:t>Statistics and Computing</w:t>
      </w:r>
      <w:r w:rsidRPr="00736629">
        <w:rPr>
          <w:rFonts w:eastAsiaTheme="minorHAnsi"/>
          <w:lang w:val="en-US"/>
        </w:rPr>
        <w:t xml:space="preserve"> 14 (3): 199–222. https://doi.org/10.1023/B:STCO.0000035301.49549.88.</w:t>
      </w:r>
    </w:p>
    <w:p w14:paraId="68A80DA1" w14:textId="77777777" w:rsidR="00736629" w:rsidRPr="00736629" w:rsidRDefault="00736629" w:rsidP="00736629">
      <w:pPr>
        <w:pStyle w:val="Bibliography"/>
        <w:rPr>
          <w:rFonts w:eastAsiaTheme="minorHAnsi"/>
          <w:lang w:val="en-US"/>
        </w:rPr>
      </w:pPr>
      <w:r w:rsidRPr="00736629">
        <w:rPr>
          <w:rFonts w:eastAsiaTheme="minorHAnsi"/>
          <w:lang w:val="en-US"/>
        </w:rPr>
        <w:t xml:space="preserve">Song, Yunsheng, Jiye Liang, Jing Lu, and Xingwang Zhao. 2017. “An Efficient Instance Selection Algorithm for k Nearest Neighbor Regression.” </w:t>
      </w:r>
      <w:r w:rsidRPr="00736629">
        <w:rPr>
          <w:rFonts w:eastAsiaTheme="minorHAnsi"/>
          <w:i/>
          <w:iCs/>
          <w:lang w:val="en-US"/>
        </w:rPr>
        <w:t>Neurocomputing</w:t>
      </w:r>
      <w:r w:rsidRPr="00736629">
        <w:rPr>
          <w:rFonts w:eastAsiaTheme="minorHAnsi"/>
          <w:lang w:val="en-US"/>
        </w:rPr>
        <w:t xml:space="preserve"> 251 (August): 26–34. https://doi.org/10.1016/j.neucom.2017.04.018.</w:t>
      </w:r>
    </w:p>
    <w:p w14:paraId="121FD739" w14:textId="77777777" w:rsidR="00736629" w:rsidRPr="00736629" w:rsidRDefault="00736629" w:rsidP="00736629">
      <w:pPr>
        <w:pStyle w:val="Bibliography"/>
        <w:rPr>
          <w:rFonts w:eastAsiaTheme="minorHAnsi"/>
          <w:lang w:val="en-US"/>
        </w:rPr>
      </w:pPr>
      <w:r w:rsidRPr="00736629">
        <w:rPr>
          <w:rFonts w:eastAsiaTheme="minorHAnsi"/>
          <w:lang w:val="en-US"/>
        </w:rPr>
        <w:t xml:space="preserve">Specht, D.F. 1991. “A General Regression Neural Network.” </w:t>
      </w:r>
      <w:r w:rsidRPr="00736629">
        <w:rPr>
          <w:rFonts w:eastAsiaTheme="minorHAnsi"/>
          <w:i/>
          <w:iCs/>
          <w:lang w:val="en-US"/>
        </w:rPr>
        <w:t>IEEE Transactions on Neural Networks</w:t>
      </w:r>
      <w:r w:rsidRPr="00736629">
        <w:rPr>
          <w:rFonts w:eastAsiaTheme="minorHAnsi"/>
          <w:lang w:val="en-US"/>
        </w:rPr>
        <w:t xml:space="preserve"> 2 (6): 568–76. https://doi.org/10.1109/72.97934.</w:t>
      </w:r>
    </w:p>
    <w:p w14:paraId="6A90513D" w14:textId="77777777" w:rsidR="00736629" w:rsidRPr="00736629" w:rsidRDefault="00736629" w:rsidP="00736629">
      <w:pPr>
        <w:pStyle w:val="Bibliography"/>
        <w:rPr>
          <w:rFonts w:eastAsiaTheme="minorHAnsi"/>
          <w:lang w:val="en-US"/>
        </w:rPr>
      </w:pPr>
      <w:r w:rsidRPr="00736629">
        <w:rPr>
          <w:rFonts w:eastAsiaTheme="minorHAnsi"/>
          <w:lang w:val="en-US"/>
        </w:rPr>
        <w:t xml:space="preserve">Svozil, Daniel, Vladimír Kvasnicka, and Jir̂í Pospichal. 1997. “Introduction to Multi-Layer Feed-Forward Neural Networks.” </w:t>
      </w:r>
      <w:r w:rsidRPr="00736629">
        <w:rPr>
          <w:rFonts w:eastAsiaTheme="minorHAnsi"/>
          <w:i/>
          <w:iCs/>
          <w:lang w:val="en-US"/>
        </w:rPr>
        <w:t>Chemometrics and Intelligent Laboratory Systems</w:t>
      </w:r>
      <w:r w:rsidRPr="00736629">
        <w:rPr>
          <w:rFonts w:eastAsiaTheme="minorHAnsi"/>
          <w:lang w:val="en-US"/>
        </w:rPr>
        <w:t xml:space="preserve"> 39 (1): 43–62. https://doi.org/10.1016/S0169-7439(97)00061-0.</w:t>
      </w:r>
    </w:p>
    <w:p w14:paraId="3D897F74" w14:textId="77777777" w:rsidR="00736629" w:rsidRPr="00736629" w:rsidRDefault="00736629" w:rsidP="00736629">
      <w:pPr>
        <w:pStyle w:val="Bibliography"/>
        <w:rPr>
          <w:rFonts w:eastAsiaTheme="minorHAnsi"/>
          <w:lang w:val="en-US"/>
        </w:rPr>
      </w:pPr>
      <w:r w:rsidRPr="00736629">
        <w:rPr>
          <w:rFonts w:eastAsiaTheme="minorHAnsi"/>
          <w:lang w:val="en-US"/>
        </w:rPr>
        <w:t xml:space="preserve">Taylor, Karl E. 2001. “Summarizing Multiple Aspects of Model Performance in a Single Diagram.” </w:t>
      </w:r>
      <w:r w:rsidRPr="00736629">
        <w:rPr>
          <w:rFonts w:eastAsiaTheme="minorHAnsi"/>
          <w:i/>
          <w:iCs/>
          <w:lang w:val="en-US"/>
        </w:rPr>
        <w:t>Journal of Geophysical Research: Atmospheres</w:t>
      </w:r>
      <w:r w:rsidRPr="00736629">
        <w:rPr>
          <w:rFonts w:eastAsiaTheme="minorHAnsi"/>
          <w:lang w:val="en-US"/>
        </w:rPr>
        <w:t xml:space="preserve"> 106 (D7): 7183–92. https://doi.org/10.1029/2000JD900719.</w:t>
      </w:r>
    </w:p>
    <w:p w14:paraId="5EEB6D5D" w14:textId="77777777" w:rsidR="00736629" w:rsidRPr="00736629" w:rsidRDefault="00736629" w:rsidP="00736629">
      <w:pPr>
        <w:pStyle w:val="Bibliography"/>
        <w:rPr>
          <w:rFonts w:eastAsiaTheme="minorHAnsi"/>
          <w:lang w:val="en-US"/>
        </w:rPr>
      </w:pPr>
      <w:r w:rsidRPr="00736629">
        <w:rPr>
          <w:rFonts w:eastAsiaTheme="minorHAnsi"/>
          <w:lang w:val="en-US"/>
        </w:rPr>
        <w:t xml:space="preserve">Uçar, Ferhat, and Nida Kati. 2020. “MACHINE LEARNING BASED PREDICTIVE MODEL FOR SURFACE ROUGHNESS IN CYLINDRICAL GRINDING OF AL BASED METAL MATRIX COMPOSITE.” </w:t>
      </w:r>
      <w:r w:rsidRPr="00736629">
        <w:rPr>
          <w:rFonts w:eastAsiaTheme="minorHAnsi"/>
          <w:i/>
          <w:iCs/>
          <w:lang w:val="en-US"/>
        </w:rPr>
        <w:t>European Journal of Technic</w:t>
      </w:r>
      <w:r w:rsidRPr="00736629">
        <w:rPr>
          <w:rFonts w:eastAsiaTheme="minorHAnsi"/>
          <w:lang w:val="en-US"/>
        </w:rPr>
        <w:t>, ahead of print, December 9. https://doi.org/10.36222/ejt.773093.</w:t>
      </w:r>
    </w:p>
    <w:p w14:paraId="08CF7C07" w14:textId="77777777" w:rsidR="00736629" w:rsidRPr="00736629" w:rsidRDefault="00736629" w:rsidP="00736629">
      <w:pPr>
        <w:pStyle w:val="Bibliography"/>
        <w:rPr>
          <w:rFonts w:eastAsiaTheme="minorHAnsi"/>
          <w:lang w:val="en-US"/>
        </w:rPr>
      </w:pPr>
      <w:r w:rsidRPr="00736629">
        <w:rPr>
          <w:rFonts w:eastAsiaTheme="minorHAnsi"/>
          <w:lang w:val="en-US"/>
        </w:rPr>
        <w:t xml:space="preserve">Uppalapati, Sudhakar, Prabhu Paramasivam, Naveen Kilari, et al. 2025. “Precision Biochar Yield Forecasting Employing Random Forest and XGBoost with Taylor Diagram </w:t>
      </w:r>
      <w:r w:rsidRPr="00736629">
        <w:rPr>
          <w:rFonts w:eastAsiaTheme="minorHAnsi"/>
          <w:lang w:val="en-US"/>
        </w:rPr>
        <w:lastRenderedPageBreak/>
        <w:t xml:space="preserve">Visualization.” </w:t>
      </w:r>
      <w:r w:rsidRPr="00736629">
        <w:rPr>
          <w:rFonts w:eastAsiaTheme="minorHAnsi"/>
          <w:i/>
          <w:iCs/>
          <w:lang w:val="en-US"/>
        </w:rPr>
        <w:t>Scientific Reports</w:t>
      </w:r>
      <w:r w:rsidRPr="00736629">
        <w:rPr>
          <w:rFonts w:eastAsiaTheme="minorHAnsi"/>
          <w:lang w:val="en-US"/>
        </w:rPr>
        <w:t xml:space="preserve"> 15 (1): 7105. https://doi.org/10.1038/s41598-025-91450-w.</w:t>
      </w:r>
    </w:p>
    <w:p w14:paraId="1AD5D9F5" w14:textId="77777777" w:rsidR="00736629" w:rsidRPr="00736629" w:rsidRDefault="00736629" w:rsidP="00736629">
      <w:pPr>
        <w:pStyle w:val="Bibliography"/>
        <w:rPr>
          <w:rFonts w:eastAsiaTheme="minorHAnsi"/>
          <w:lang w:val="en-US"/>
        </w:rPr>
      </w:pPr>
      <w:r w:rsidRPr="00736629">
        <w:rPr>
          <w:rFonts w:eastAsiaTheme="minorHAnsi"/>
          <w:lang w:val="en-US"/>
        </w:rPr>
        <w:t xml:space="preserve">Wuest, Thorsten, Daniel Weimer, Christopher Irgens, and Klaus-Dieter Thoben. 2016. “Machine Learning in Manufacturing: Advantages, Challenges, and Applications.” </w:t>
      </w:r>
      <w:r w:rsidRPr="00736629">
        <w:rPr>
          <w:rFonts w:eastAsiaTheme="minorHAnsi"/>
          <w:i/>
          <w:iCs/>
          <w:lang w:val="en-US"/>
        </w:rPr>
        <w:t>Production &amp; Manufacturing Research</w:t>
      </w:r>
      <w:r w:rsidRPr="00736629">
        <w:rPr>
          <w:rFonts w:eastAsiaTheme="minorHAnsi"/>
          <w:lang w:val="en-US"/>
        </w:rPr>
        <w:t xml:space="preserve"> 4 (1): 23–45. https://doi.org/10.1080/21693277.2016.1192517.</w:t>
      </w:r>
    </w:p>
    <w:p w14:paraId="19175570" w14:textId="77777777" w:rsidR="00736629" w:rsidRPr="00736629" w:rsidRDefault="00736629" w:rsidP="00736629">
      <w:pPr>
        <w:pStyle w:val="Bibliography"/>
        <w:rPr>
          <w:rFonts w:eastAsiaTheme="minorHAnsi"/>
          <w:lang w:val="en-US"/>
        </w:rPr>
      </w:pPr>
      <w:r w:rsidRPr="00736629">
        <w:rPr>
          <w:rFonts w:eastAsiaTheme="minorHAnsi"/>
          <w:lang w:val="en-US"/>
        </w:rPr>
        <w:t xml:space="preserve">Zhang, Fan, and Lauren J. O’Donnell. 2020. “Support Vector Regression.” In </w:t>
      </w:r>
      <w:r w:rsidRPr="00736629">
        <w:rPr>
          <w:rFonts w:eastAsiaTheme="minorHAnsi"/>
          <w:i/>
          <w:iCs/>
          <w:lang w:val="en-US"/>
        </w:rPr>
        <w:t>Machine Learning</w:t>
      </w:r>
      <w:r w:rsidRPr="00736629">
        <w:rPr>
          <w:rFonts w:eastAsiaTheme="minorHAnsi"/>
          <w:lang w:val="en-US"/>
        </w:rPr>
        <w:t>. Elsevier. https://doi.org/10.1016/B978-0-12-815739-8.00007-9.</w:t>
      </w:r>
    </w:p>
    <w:p w14:paraId="2F355D77" w14:textId="77777777" w:rsidR="00736629" w:rsidRPr="00736629" w:rsidRDefault="00736629" w:rsidP="00736629">
      <w:pPr>
        <w:pStyle w:val="Bibliography"/>
        <w:rPr>
          <w:rFonts w:eastAsiaTheme="minorHAnsi"/>
          <w:lang w:val="en-US"/>
        </w:rPr>
      </w:pPr>
      <w:r w:rsidRPr="00736629">
        <w:rPr>
          <w:rFonts w:eastAsiaTheme="minorHAnsi"/>
          <w:lang w:val="en-US"/>
        </w:rPr>
        <w:t xml:space="preserve">Zhang, Yanbin, Peng Gong, Lizhi Tang, et al. 2024. “Topography Modeling of Surface Grinding Based on Random Abrasives and Performance Evaluation.” </w:t>
      </w:r>
      <w:r w:rsidRPr="00736629">
        <w:rPr>
          <w:rFonts w:eastAsiaTheme="minorHAnsi"/>
          <w:i/>
          <w:iCs/>
          <w:lang w:val="en-US"/>
        </w:rPr>
        <w:t>Chinese Journal of Mechanical Engineering</w:t>
      </w:r>
      <w:r w:rsidRPr="00736629">
        <w:rPr>
          <w:rFonts w:eastAsiaTheme="minorHAnsi"/>
          <w:lang w:val="en-US"/>
        </w:rPr>
        <w:t xml:space="preserve"> 37 (1): 93. https://doi.org/10.1186/s10033-024-01081-x.</w:t>
      </w:r>
    </w:p>
    <w:p w14:paraId="2D4F656A" w14:textId="77777777" w:rsidR="00736629" w:rsidRPr="00736629" w:rsidRDefault="00736629" w:rsidP="00736629">
      <w:pPr>
        <w:pStyle w:val="Bibliography"/>
        <w:rPr>
          <w:rFonts w:eastAsiaTheme="minorHAnsi"/>
          <w:lang w:val="en-US"/>
        </w:rPr>
      </w:pPr>
      <w:r w:rsidRPr="00736629">
        <w:rPr>
          <w:rFonts w:eastAsiaTheme="minorHAnsi"/>
          <w:lang w:val="en-US"/>
        </w:rPr>
        <w:t xml:space="preserve">Zhang, Youdong, Guijian Xiao, Hui Gao, Bao Zhu, Yun Huang, and Wei Li. 2022. “Roughness Prediction and Performance Analysis of Data-Driven Superalloy Belt Grinding.” </w:t>
      </w:r>
      <w:r w:rsidRPr="00736629">
        <w:rPr>
          <w:rFonts w:eastAsiaTheme="minorHAnsi"/>
          <w:i/>
          <w:iCs/>
          <w:lang w:val="en-US"/>
        </w:rPr>
        <w:t>Frontiers in Materials</w:t>
      </w:r>
      <w:r w:rsidRPr="00736629">
        <w:rPr>
          <w:rFonts w:eastAsiaTheme="minorHAnsi"/>
          <w:lang w:val="en-US"/>
        </w:rPr>
        <w:t xml:space="preserve"> 9 (May): 765401. https://doi.org/10.3389/fmats.2022.765401.</w:t>
      </w:r>
    </w:p>
    <w:p w14:paraId="546B54C6" w14:textId="59F25C69" w:rsidR="00AB2F66" w:rsidRDefault="00CA0097" w:rsidP="00736629">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760A2"/>
    <w:multiLevelType w:val="hybridMultilevel"/>
    <w:tmpl w:val="E320CE10"/>
    <w:lvl w:ilvl="0" w:tplc="79A2C6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 w:numId="12" w16cid:durableId="137346018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4CA6"/>
    <w:rsid w:val="000B57D4"/>
    <w:rsid w:val="000B6462"/>
    <w:rsid w:val="000C00A7"/>
    <w:rsid w:val="000C0932"/>
    <w:rsid w:val="000C1AF3"/>
    <w:rsid w:val="000C1C6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3D86"/>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0E0"/>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7C7"/>
    <w:rsid w:val="00250D82"/>
    <w:rsid w:val="00254271"/>
    <w:rsid w:val="00255275"/>
    <w:rsid w:val="0025656D"/>
    <w:rsid w:val="00256DC9"/>
    <w:rsid w:val="002616C9"/>
    <w:rsid w:val="00262A50"/>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68CF"/>
    <w:rsid w:val="002C70AC"/>
    <w:rsid w:val="002C752B"/>
    <w:rsid w:val="002D21CE"/>
    <w:rsid w:val="002D4FCA"/>
    <w:rsid w:val="002D53AF"/>
    <w:rsid w:val="002D6825"/>
    <w:rsid w:val="002D72B7"/>
    <w:rsid w:val="002D7BBE"/>
    <w:rsid w:val="002F03F3"/>
    <w:rsid w:val="002F1AD6"/>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612"/>
    <w:rsid w:val="004C1D96"/>
    <w:rsid w:val="004C2D63"/>
    <w:rsid w:val="004C592C"/>
    <w:rsid w:val="004D4C2B"/>
    <w:rsid w:val="004F05D1"/>
    <w:rsid w:val="004F31AA"/>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57DB9"/>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B018F"/>
    <w:rsid w:val="005B74A5"/>
    <w:rsid w:val="005C0B30"/>
    <w:rsid w:val="005C0E8B"/>
    <w:rsid w:val="005C1E64"/>
    <w:rsid w:val="005C3DF6"/>
    <w:rsid w:val="005C5946"/>
    <w:rsid w:val="005C6C38"/>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46692"/>
    <w:rsid w:val="006500D6"/>
    <w:rsid w:val="00651EA1"/>
    <w:rsid w:val="00656D03"/>
    <w:rsid w:val="00663BF2"/>
    <w:rsid w:val="00664F43"/>
    <w:rsid w:val="006673D9"/>
    <w:rsid w:val="00670533"/>
    <w:rsid w:val="00671244"/>
    <w:rsid w:val="006732E1"/>
    <w:rsid w:val="00673C18"/>
    <w:rsid w:val="00676D5E"/>
    <w:rsid w:val="00677F1B"/>
    <w:rsid w:val="0068126A"/>
    <w:rsid w:val="00683880"/>
    <w:rsid w:val="00685150"/>
    <w:rsid w:val="00685B34"/>
    <w:rsid w:val="0068699C"/>
    <w:rsid w:val="006910C9"/>
    <w:rsid w:val="006930F6"/>
    <w:rsid w:val="00693A7F"/>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493"/>
    <w:rsid w:val="00731931"/>
    <w:rsid w:val="00731D88"/>
    <w:rsid w:val="00736629"/>
    <w:rsid w:val="00736937"/>
    <w:rsid w:val="00751019"/>
    <w:rsid w:val="00752A90"/>
    <w:rsid w:val="0075301E"/>
    <w:rsid w:val="00764477"/>
    <w:rsid w:val="007652E8"/>
    <w:rsid w:val="00765432"/>
    <w:rsid w:val="007664C9"/>
    <w:rsid w:val="00772F51"/>
    <w:rsid w:val="00776289"/>
    <w:rsid w:val="007820D3"/>
    <w:rsid w:val="0078328D"/>
    <w:rsid w:val="007923B7"/>
    <w:rsid w:val="00794A51"/>
    <w:rsid w:val="007977EF"/>
    <w:rsid w:val="007A1DCB"/>
    <w:rsid w:val="007A5D2B"/>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667C0"/>
    <w:rsid w:val="0087045F"/>
    <w:rsid w:val="0087095F"/>
    <w:rsid w:val="0087132D"/>
    <w:rsid w:val="0087385A"/>
    <w:rsid w:val="008765C1"/>
    <w:rsid w:val="008847B3"/>
    <w:rsid w:val="00886504"/>
    <w:rsid w:val="00890990"/>
    <w:rsid w:val="00891A48"/>
    <w:rsid w:val="0089209A"/>
    <w:rsid w:val="00892805"/>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75796"/>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5573"/>
    <w:rsid w:val="009D62A6"/>
    <w:rsid w:val="009E035C"/>
    <w:rsid w:val="009E4505"/>
    <w:rsid w:val="009F2CCB"/>
    <w:rsid w:val="009F4BCE"/>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B65AD"/>
    <w:rsid w:val="00AD270F"/>
    <w:rsid w:val="00AD3479"/>
    <w:rsid w:val="00AD4976"/>
    <w:rsid w:val="00AD71E5"/>
    <w:rsid w:val="00AE13F5"/>
    <w:rsid w:val="00AE44EC"/>
    <w:rsid w:val="00AF48B4"/>
    <w:rsid w:val="00AF6552"/>
    <w:rsid w:val="00AF7461"/>
    <w:rsid w:val="00AF7787"/>
    <w:rsid w:val="00B0059F"/>
    <w:rsid w:val="00B00AF4"/>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57793"/>
    <w:rsid w:val="00C65A04"/>
    <w:rsid w:val="00C71592"/>
    <w:rsid w:val="00C7191B"/>
    <w:rsid w:val="00C72CD9"/>
    <w:rsid w:val="00C76394"/>
    <w:rsid w:val="00C76ACC"/>
    <w:rsid w:val="00C76DE4"/>
    <w:rsid w:val="00C77C5C"/>
    <w:rsid w:val="00C81C4A"/>
    <w:rsid w:val="00C8342D"/>
    <w:rsid w:val="00C85827"/>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C64"/>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4D8B"/>
    <w:rsid w:val="00E35213"/>
    <w:rsid w:val="00E36E18"/>
    <w:rsid w:val="00E41151"/>
    <w:rsid w:val="00E41169"/>
    <w:rsid w:val="00E502C4"/>
    <w:rsid w:val="00E50E6B"/>
    <w:rsid w:val="00E523E3"/>
    <w:rsid w:val="00E61115"/>
    <w:rsid w:val="00E62A02"/>
    <w:rsid w:val="00E6586B"/>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0307"/>
    <w:rsid w:val="00F76130"/>
    <w:rsid w:val="00F9578F"/>
    <w:rsid w:val="00F9716E"/>
    <w:rsid w:val="00FA0598"/>
    <w:rsid w:val="00FA408A"/>
    <w:rsid w:val="00FA45B1"/>
    <w:rsid w:val="00FA7F3D"/>
    <w:rsid w:val="00FB5652"/>
    <w:rsid w:val="00FB6F1F"/>
    <w:rsid w:val="00FC31F8"/>
    <w:rsid w:val="00FC39A7"/>
    <w:rsid w:val="00FC67DE"/>
    <w:rsid w:val="00FC7261"/>
    <w:rsid w:val="00FD07B0"/>
    <w:rsid w:val="00FD33E1"/>
    <w:rsid w:val="00FE16AF"/>
    <w:rsid w:val="00FE1C71"/>
    <w:rsid w:val="00FE514A"/>
    <w:rsid w:val="00FE52FD"/>
    <w:rsid w:val="00FE5829"/>
    <w:rsid w:val="00FE6F97"/>
    <w:rsid w:val="00FF2B96"/>
    <w:rsid w:val="00FF44CC"/>
    <w:rsid w:val="00FF4E8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1.xml"/><Relationship Id="rId3" Type="http://schemas.openxmlformats.org/officeDocument/2006/relationships/settings" Target="settings.xml"/><Relationship Id="rId21" Type="http://schemas.openxmlformats.org/officeDocument/2006/relationships/chart" Target="charts/chart10.xml"/><Relationship Id="rId34" Type="http://schemas.openxmlformats.org/officeDocument/2006/relationships/theme" Target="theme/theme1.xml"/><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image" Target="media/image7.tif"/><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image" Target="media/image9.jp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6.tif"/><Relationship Id="rId32"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image" Target="media/image5.tif"/><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chart" Target="charts/chart8.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4.tif"/><Relationship Id="rId27" Type="http://schemas.openxmlformats.org/officeDocument/2006/relationships/chart" Target="charts/chart12.xml"/><Relationship Id="rId30" Type="http://schemas.openxmlformats.org/officeDocument/2006/relationships/image" Target="media/image10.jpeg"/><Relationship Id="rId8"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Sensitivity%20Analysi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Sensitivity%20Analysis.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xVal>
          <c:yVal>
            <c:numRef>
              <c:f>'Inconel - Train'!$H$2:$H$108</c:f>
              <c:numCache>
                <c:formatCode>General</c:formatCode>
                <c:ptCount val="107"/>
                <c:pt idx="0">
                  <c:v>2.2631250000000001</c:v>
                </c:pt>
                <c:pt idx="1">
                  <c:v>2.2631250000000001</c:v>
                </c:pt>
                <c:pt idx="2">
                  <c:v>2.3925000000000001</c:v>
                </c:pt>
                <c:pt idx="3">
                  <c:v>2.2062499999999998</c:v>
                </c:pt>
                <c:pt idx="4">
                  <c:v>2.2631250000000001</c:v>
                </c:pt>
                <c:pt idx="5">
                  <c:v>2.2631250000000001</c:v>
                </c:pt>
                <c:pt idx="6">
                  <c:v>2.3925000000000001</c:v>
                </c:pt>
                <c:pt idx="7">
                  <c:v>2.6575000000000002</c:v>
                </c:pt>
                <c:pt idx="8">
                  <c:v>2.6837499999999999</c:v>
                </c:pt>
                <c:pt idx="9">
                  <c:v>2.6837499999999999</c:v>
                </c:pt>
                <c:pt idx="10">
                  <c:v>2.6537500000000001</c:v>
                </c:pt>
                <c:pt idx="11">
                  <c:v>2.6537500000000001</c:v>
                </c:pt>
                <c:pt idx="12">
                  <c:v>2.6537500000000001</c:v>
                </c:pt>
                <c:pt idx="13">
                  <c:v>3.9712499999999999</c:v>
                </c:pt>
                <c:pt idx="14">
                  <c:v>4.3693749999999998</c:v>
                </c:pt>
                <c:pt idx="15">
                  <c:v>4.3693749999999998</c:v>
                </c:pt>
                <c:pt idx="16">
                  <c:v>4.3693749999999998</c:v>
                </c:pt>
                <c:pt idx="17">
                  <c:v>2.2631250000000001</c:v>
                </c:pt>
                <c:pt idx="18">
                  <c:v>2.2062499999999998</c:v>
                </c:pt>
                <c:pt idx="19">
                  <c:v>2.2062499999999998</c:v>
                </c:pt>
                <c:pt idx="20">
                  <c:v>2.2062499999999998</c:v>
                </c:pt>
                <c:pt idx="21">
                  <c:v>2.2062499999999998</c:v>
                </c:pt>
                <c:pt idx="22">
                  <c:v>2.2062499999999998</c:v>
                </c:pt>
                <c:pt idx="23">
                  <c:v>2.6575000000000002</c:v>
                </c:pt>
                <c:pt idx="24">
                  <c:v>2.915</c:v>
                </c:pt>
                <c:pt idx="25">
                  <c:v>2.6575000000000002</c:v>
                </c:pt>
                <c:pt idx="26">
                  <c:v>2.6575000000000002</c:v>
                </c:pt>
                <c:pt idx="27">
                  <c:v>2.6537500000000001</c:v>
                </c:pt>
                <c:pt idx="28">
                  <c:v>2.6537500000000001</c:v>
                </c:pt>
                <c:pt idx="29">
                  <c:v>2.6537500000000001</c:v>
                </c:pt>
                <c:pt idx="30">
                  <c:v>2.6537500000000001</c:v>
                </c:pt>
                <c:pt idx="31">
                  <c:v>2.6837499999999999</c:v>
                </c:pt>
                <c:pt idx="32">
                  <c:v>2.9750000000000001</c:v>
                </c:pt>
                <c:pt idx="33">
                  <c:v>3.8187500000000001</c:v>
                </c:pt>
                <c:pt idx="34">
                  <c:v>3.8187500000000001</c:v>
                </c:pt>
                <c:pt idx="35">
                  <c:v>4.4468750000000004</c:v>
                </c:pt>
                <c:pt idx="36">
                  <c:v>4.3693749999999998</c:v>
                </c:pt>
                <c:pt idx="37">
                  <c:v>3.0249999999999999</c:v>
                </c:pt>
                <c:pt idx="38">
                  <c:v>2.5618750000000001</c:v>
                </c:pt>
                <c:pt idx="39">
                  <c:v>2.788125</c:v>
                </c:pt>
                <c:pt idx="40">
                  <c:v>3.0249999999999999</c:v>
                </c:pt>
                <c:pt idx="41">
                  <c:v>2.9575</c:v>
                </c:pt>
                <c:pt idx="42">
                  <c:v>2.788125</c:v>
                </c:pt>
                <c:pt idx="43">
                  <c:v>2.788125</c:v>
                </c:pt>
                <c:pt idx="44">
                  <c:v>2.57375</c:v>
                </c:pt>
                <c:pt idx="45">
                  <c:v>2.7</c:v>
                </c:pt>
                <c:pt idx="46">
                  <c:v>2.7</c:v>
                </c:pt>
                <c:pt idx="47">
                  <c:v>3.0418750000000001</c:v>
                </c:pt>
                <c:pt idx="48">
                  <c:v>2.7</c:v>
                </c:pt>
                <c:pt idx="49">
                  <c:v>2.7</c:v>
                </c:pt>
                <c:pt idx="50">
                  <c:v>3.191875</c:v>
                </c:pt>
                <c:pt idx="51">
                  <c:v>3.453125</c:v>
                </c:pt>
                <c:pt idx="52">
                  <c:v>3.703125</c:v>
                </c:pt>
                <c:pt idx="53">
                  <c:v>4.05</c:v>
                </c:pt>
                <c:pt idx="54">
                  <c:v>2.7</c:v>
                </c:pt>
                <c:pt idx="55">
                  <c:v>3.0418750000000001</c:v>
                </c:pt>
                <c:pt idx="56">
                  <c:v>2.7</c:v>
                </c:pt>
                <c:pt idx="57">
                  <c:v>3.191875</c:v>
                </c:pt>
                <c:pt idx="58">
                  <c:v>3.0418750000000001</c:v>
                </c:pt>
                <c:pt idx="59">
                  <c:v>2.5618750000000001</c:v>
                </c:pt>
                <c:pt idx="60">
                  <c:v>2.5618750000000001</c:v>
                </c:pt>
                <c:pt idx="61">
                  <c:v>2.5618750000000001</c:v>
                </c:pt>
                <c:pt idx="62">
                  <c:v>2.5618750000000001</c:v>
                </c:pt>
                <c:pt idx="63">
                  <c:v>2.57375</c:v>
                </c:pt>
                <c:pt idx="64">
                  <c:v>2.57375</c:v>
                </c:pt>
                <c:pt idx="65">
                  <c:v>2.57375</c:v>
                </c:pt>
                <c:pt idx="66">
                  <c:v>2.57375</c:v>
                </c:pt>
                <c:pt idx="67">
                  <c:v>2.7025000000000001</c:v>
                </c:pt>
                <c:pt idx="68">
                  <c:v>2.7</c:v>
                </c:pt>
                <c:pt idx="69">
                  <c:v>2.7</c:v>
                </c:pt>
                <c:pt idx="70">
                  <c:v>2.7025000000000001</c:v>
                </c:pt>
                <c:pt idx="71">
                  <c:v>4.05</c:v>
                </c:pt>
                <c:pt idx="72">
                  <c:v>4.1756250000000001</c:v>
                </c:pt>
                <c:pt idx="73">
                  <c:v>4.1756250000000001</c:v>
                </c:pt>
                <c:pt idx="74">
                  <c:v>2.7</c:v>
                </c:pt>
                <c:pt idx="75">
                  <c:v>2.7025000000000001</c:v>
                </c:pt>
                <c:pt idx="76">
                  <c:v>2.7025000000000001</c:v>
                </c:pt>
                <c:pt idx="77">
                  <c:v>2.7025000000000001</c:v>
                </c:pt>
                <c:pt idx="78">
                  <c:v>4.05</c:v>
                </c:pt>
                <c:pt idx="79">
                  <c:v>2.3925000000000001</c:v>
                </c:pt>
                <c:pt idx="80">
                  <c:v>3.151875</c:v>
                </c:pt>
                <c:pt idx="81">
                  <c:v>2.6575000000000002</c:v>
                </c:pt>
                <c:pt idx="82">
                  <c:v>2.6537500000000001</c:v>
                </c:pt>
                <c:pt idx="83">
                  <c:v>4.4881250000000001</c:v>
                </c:pt>
                <c:pt idx="84">
                  <c:v>4.5006250000000003</c:v>
                </c:pt>
                <c:pt idx="85">
                  <c:v>2.2062499999999998</c:v>
                </c:pt>
                <c:pt idx="86">
                  <c:v>2.2631250000000001</c:v>
                </c:pt>
                <c:pt idx="87">
                  <c:v>2.57375</c:v>
                </c:pt>
                <c:pt idx="88">
                  <c:v>3.151875</c:v>
                </c:pt>
                <c:pt idx="89">
                  <c:v>2.6537500000000001</c:v>
                </c:pt>
                <c:pt idx="90">
                  <c:v>4.4468750000000004</c:v>
                </c:pt>
                <c:pt idx="91">
                  <c:v>4.3693749999999998</c:v>
                </c:pt>
                <c:pt idx="92">
                  <c:v>3.0249999999999999</c:v>
                </c:pt>
                <c:pt idx="93">
                  <c:v>2.5618750000000001</c:v>
                </c:pt>
                <c:pt idx="94">
                  <c:v>2.57375</c:v>
                </c:pt>
                <c:pt idx="95">
                  <c:v>2.57375</c:v>
                </c:pt>
                <c:pt idx="96">
                  <c:v>2.7</c:v>
                </c:pt>
                <c:pt idx="97">
                  <c:v>2.7</c:v>
                </c:pt>
                <c:pt idx="98">
                  <c:v>4.05</c:v>
                </c:pt>
                <c:pt idx="99">
                  <c:v>4.05</c:v>
                </c:pt>
                <c:pt idx="100">
                  <c:v>2.2062499999999998</c:v>
                </c:pt>
                <c:pt idx="101">
                  <c:v>2.9575</c:v>
                </c:pt>
                <c:pt idx="102">
                  <c:v>2.9575</c:v>
                </c:pt>
                <c:pt idx="103">
                  <c:v>2.7</c:v>
                </c:pt>
                <c:pt idx="104">
                  <c:v>2.7</c:v>
                </c:pt>
                <c:pt idx="105">
                  <c:v>4.1756250000000001</c:v>
                </c:pt>
                <c:pt idx="106">
                  <c:v>4.05</c:v>
                </c:pt>
              </c:numCache>
            </c:numRef>
          </c:yVal>
          <c:smooth val="0"/>
          <c:extLst>
            <c:ext xmlns:c16="http://schemas.microsoft.com/office/drawing/2014/chart" uri="{C3380CC4-5D6E-409C-BE32-E72D297353CC}">
              <c16:uniqueId val="{00000000-4A3D-7E49-AC6B-BD6EDFF242E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Train'!$H$2:$H$73</c:f>
              <c:numCache>
                <c:formatCode>General</c:formatCode>
                <c:ptCount val="72"/>
                <c:pt idx="0">
                  <c:v>0.84</c:v>
                </c:pt>
                <c:pt idx="1">
                  <c:v>2.1</c:v>
                </c:pt>
                <c:pt idx="2">
                  <c:v>2.6</c:v>
                </c:pt>
                <c:pt idx="3">
                  <c:v>2.6</c:v>
                </c:pt>
                <c:pt idx="4">
                  <c:v>2.65</c:v>
                </c:pt>
                <c:pt idx="5">
                  <c:v>1.8</c:v>
                </c:pt>
                <c:pt idx="6">
                  <c:v>1.53</c:v>
                </c:pt>
                <c:pt idx="7">
                  <c:v>2.1</c:v>
                </c:pt>
                <c:pt idx="8">
                  <c:v>2.1</c:v>
                </c:pt>
                <c:pt idx="9">
                  <c:v>2.1</c:v>
                </c:pt>
                <c:pt idx="10">
                  <c:v>2.6</c:v>
                </c:pt>
                <c:pt idx="11">
                  <c:v>2.65</c:v>
                </c:pt>
                <c:pt idx="12">
                  <c:v>2</c:v>
                </c:pt>
                <c:pt idx="13">
                  <c:v>2</c:v>
                </c:pt>
                <c:pt idx="14">
                  <c:v>0.84</c:v>
                </c:pt>
                <c:pt idx="15">
                  <c:v>1.8</c:v>
                </c:pt>
                <c:pt idx="16">
                  <c:v>2.1</c:v>
                </c:pt>
                <c:pt idx="17">
                  <c:v>2.6</c:v>
                </c:pt>
                <c:pt idx="18">
                  <c:v>1.7</c:v>
                </c:pt>
                <c:pt idx="19">
                  <c:v>2</c:v>
                </c:pt>
                <c:pt idx="20">
                  <c:v>0.93</c:v>
                </c:pt>
                <c:pt idx="21">
                  <c:v>1.7</c:v>
                </c:pt>
                <c:pt idx="22">
                  <c:v>1.1000000000000001</c:v>
                </c:pt>
                <c:pt idx="23">
                  <c:v>1.03</c:v>
                </c:pt>
                <c:pt idx="24">
                  <c:v>1.2</c:v>
                </c:pt>
                <c:pt idx="25">
                  <c:v>1.33</c:v>
                </c:pt>
                <c:pt idx="26">
                  <c:v>2.1</c:v>
                </c:pt>
                <c:pt idx="27">
                  <c:v>1.8</c:v>
                </c:pt>
                <c:pt idx="28">
                  <c:v>1.1200000000000001</c:v>
                </c:pt>
                <c:pt idx="29">
                  <c:v>2.6</c:v>
                </c:pt>
                <c:pt idx="30">
                  <c:v>1.69</c:v>
                </c:pt>
                <c:pt idx="31">
                  <c:v>2.4300000000000002</c:v>
                </c:pt>
                <c:pt idx="32">
                  <c:v>0.96</c:v>
                </c:pt>
                <c:pt idx="33">
                  <c:v>2.4300000000000002</c:v>
                </c:pt>
                <c:pt idx="34">
                  <c:v>1.1200000000000001</c:v>
                </c:pt>
                <c:pt idx="35">
                  <c:v>2</c:v>
                </c:pt>
                <c:pt idx="36">
                  <c:v>1.2</c:v>
                </c:pt>
                <c:pt idx="37">
                  <c:v>1.45</c:v>
                </c:pt>
                <c:pt idx="38">
                  <c:v>0.8</c:v>
                </c:pt>
                <c:pt idx="39">
                  <c:v>2.1</c:v>
                </c:pt>
                <c:pt idx="40">
                  <c:v>1.7</c:v>
                </c:pt>
                <c:pt idx="41">
                  <c:v>2.6</c:v>
                </c:pt>
                <c:pt idx="42">
                  <c:v>1.34</c:v>
                </c:pt>
                <c:pt idx="43">
                  <c:v>0.94</c:v>
                </c:pt>
                <c:pt idx="44">
                  <c:v>0.8</c:v>
                </c:pt>
                <c:pt idx="45">
                  <c:v>0.8</c:v>
                </c:pt>
                <c:pt idx="46">
                  <c:v>1.1000000000000001</c:v>
                </c:pt>
                <c:pt idx="47">
                  <c:v>1.35</c:v>
                </c:pt>
                <c:pt idx="48">
                  <c:v>1.35</c:v>
                </c:pt>
                <c:pt idx="49">
                  <c:v>0.98</c:v>
                </c:pt>
                <c:pt idx="50">
                  <c:v>2.6</c:v>
                </c:pt>
                <c:pt idx="51">
                  <c:v>2.6</c:v>
                </c:pt>
                <c:pt idx="52">
                  <c:v>1.45</c:v>
                </c:pt>
                <c:pt idx="53">
                  <c:v>1.45</c:v>
                </c:pt>
                <c:pt idx="54">
                  <c:v>0.8</c:v>
                </c:pt>
                <c:pt idx="55">
                  <c:v>0.94</c:v>
                </c:pt>
                <c:pt idx="56">
                  <c:v>1.6</c:v>
                </c:pt>
                <c:pt idx="57">
                  <c:v>2.6</c:v>
                </c:pt>
                <c:pt idx="58">
                  <c:v>1.24</c:v>
                </c:pt>
                <c:pt idx="59">
                  <c:v>1.45</c:v>
                </c:pt>
                <c:pt idx="60">
                  <c:v>1.69</c:v>
                </c:pt>
                <c:pt idx="61">
                  <c:v>0.98</c:v>
                </c:pt>
                <c:pt idx="62">
                  <c:v>1.1200000000000001</c:v>
                </c:pt>
                <c:pt idx="63">
                  <c:v>1.24</c:v>
                </c:pt>
                <c:pt idx="64">
                  <c:v>1.34</c:v>
                </c:pt>
                <c:pt idx="65">
                  <c:v>0.61</c:v>
                </c:pt>
                <c:pt idx="66">
                  <c:v>0.8</c:v>
                </c:pt>
                <c:pt idx="67">
                  <c:v>0.8</c:v>
                </c:pt>
                <c:pt idx="68">
                  <c:v>0.8</c:v>
                </c:pt>
                <c:pt idx="69">
                  <c:v>1.17</c:v>
                </c:pt>
                <c:pt idx="70">
                  <c:v>1.45</c:v>
                </c:pt>
                <c:pt idx="71">
                  <c:v>1.1000000000000001</c:v>
                </c:pt>
              </c:numCache>
            </c:numRef>
          </c:yVal>
          <c:smooth val="0"/>
          <c:extLst>
            <c:ext xmlns:c16="http://schemas.microsoft.com/office/drawing/2014/chart" uri="{C3380CC4-5D6E-409C-BE32-E72D297353CC}">
              <c16:uniqueId val="{00000001-4A3D-7E49-AC6B-BD6EDFF242E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Train'!$H$2:$H$73</c:f>
              <c:numCache>
                <c:formatCode>General</c:formatCode>
                <c:ptCount val="72"/>
                <c:pt idx="0">
                  <c:v>0.84</c:v>
                </c:pt>
                <c:pt idx="1">
                  <c:v>1.1599999999999999</c:v>
                </c:pt>
                <c:pt idx="2">
                  <c:v>1.17</c:v>
                </c:pt>
                <c:pt idx="3">
                  <c:v>1.2</c:v>
                </c:pt>
                <c:pt idx="4">
                  <c:v>1.17</c:v>
                </c:pt>
                <c:pt idx="5">
                  <c:v>2</c:v>
                </c:pt>
                <c:pt idx="6">
                  <c:v>0.99</c:v>
                </c:pt>
                <c:pt idx="7">
                  <c:v>0.61</c:v>
                </c:pt>
                <c:pt idx="8">
                  <c:v>0.84</c:v>
                </c:pt>
                <c:pt idx="9">
                  <c:v>1.2</c:v>
                </c:pt>
                <c:pt idx="10">
                  <c:v>1.2</c:v>
                </c:pt>
                <c:pt idx="11">
                  <c:v>1.17</c:v>
                </c:pt>
                <c:pt idx="12">
                  <c:v>0.61</c:v>
                </c:pt>
                <c:pt idx="13">
                  <c:v>0.96</c:v>
                </c:pt>
                <c:pt idx="14">
                  <c:v>1.23</c:v>
                </c:pt>
                <c:pt idx="15">
                  <c:v>1.1200000000000001</c:v>
                </c:pt>
                <c:pt idx="16">
                  <c:v>2</c:v>
                </c:pt>
                <c:pt idx="17">
                  <c:v>1.2</c:v>
                </c:pt>
                <c:pt idx="18">
                  <c:v>0.8</c:v>
                </c:pt>
                <c:pt idx="19">
                  <c:v>1.03</c:v>
                </c:pt>
                <c:pt idx="20">
                  <c:v>0.8</c:v>
                </c:pt>
                <c:pt idx="21">
                  <c:v>1.03</c:v>
                </c:pt>
                <c:pt idx="22">
                  <c:v>2.1</c:v>
                </c:pt>
                <c:pt idx="23">
                  <c:v>1.45</c:v>
                </c:pt>
                <c:pt idx="24">
                  <c:v>1.35</c:v>
                </c:pt>
                <c:pt idx="25">
                  <c:v>0.61</c:v>
                </c:pt>
                <c:pt idx="26">
                  <c:v>0.94</c:v>
                </c:pt>
                <c:pt idx="27">
                  <c:v>1.9</c:v>
                </c:pt>
                <c:pt idx="28">
                  <c:v>1.17</c:v>
                </c:pt>
                <c:pt idx="29">
                  <c:v>1.6</c:v>
                </c:pt>
                <c:pt idx="30">
                  <c:v>1.34</c:v>
                </c:pt>
                <c:pt idx="31">
                  <c:v>0.84</c:v>
                </c:pt>
                <c:pt idx="32">
                  <c:v>0.72</c:v>
                </c:pt>
                <c:pt idx="33">
                  <c:v>1.19</c:v>
                </c:pt>
                <c:pt idx="34">
                  <c:v>1.2</c:v>
                </c:pt>
                <c:pt idx="35">
                  <c:v>1.23</c:v>
                </c:pt>
                <c:pt idx="36">
                  <c:v>1.23</c:v>
                </c:pt>
                <c:pt idx="37">
                  <c:v>1.23</c:v>
                </c:pt>
                <c:pt idx="38">
                  <c:v>0.72</c:v>
                </c:pt>
                <c:pt idx="39">
                  <c:v>1.17</c:v>
                </c:pt>
                <c:pt idx="40">
                  <c:v>1.2</c:v>
                </c:pt>
                <c:pt idx="41">
                  <c:v>1.23</c:v>
                </c:pt>
                <c:pt idx="42">
                  <c:v>1.69</c:v>
                </c:pt>
                <c:pt idx="43">
                  <c:v>0.94</c:v>
                </c:pt>
                <c:pt idx="44">
                  <c:v>1.03</c:v>
                </c:pt>
                <c:pt idx="45">
                  <c:v>0.8</c:v>
                </c:pt>
                <c:pt idx="46">
                  <c:v>0.8</c:v>
                </c:pt>
                <c:pt idx="47">
                  <c:v>1.35</c:v>
                </c:pt>
                <c:pt idx="48">
                  <c:v>1.35</c:v>
                </c:pt>
                <c:pt idx="49">
                  <c:v>1.23</c:v>
                </c:pt>
                <c:pt idx="50">
                  <c:v>1.23</c:v>
                </c:pt>
                <c:pt idx="51">
                  <c:v>1.23</c:v>
                </c:pt>
                <c:pt idx="52">
                  <c:v>1.53</c:v>
                </c:pt>
                <c:pt idx="53">
                  <c:v>1.2</c:v>
                </c:pt>
                <c:pt idx="54">
                  <c:v>1.53</c:v>
                </c:pt>
                <c:pt idx="55">
                  <c:v>1.6</c:v>
                </c:pt>
                <c:pt idx="56">
                  <c:v>0.98</c:v>
                </c:pt>
                <c:pt idx="57">
                  <c:v>0.72</c:v>
                </c:pt>
                <c:pt idx="58">
                  <c:v>0.72</c:v>
                </c:pt>
                <c:pt idx="59">
                  <c:v>0.72</c:v>
                </c:pt>
                <c:pt idx="60">
                  <c:v>1.69</c:v>
                </c:pt>
                <c:pt idx="61">
                  <c:v>2.4300000000000002</c:v>
                </c:pt>
                <c:pt idx="62">
                  <c:v>0.94</c:v>
                </c:pt>
                <c:pt idx="63">
                  <c:v>0.94</c:v>
                </c:pt>
                <c:pt idx="64">
                  <c:v>1.23</c:v>
                </c:pt>
                <c:pt idx="65">
                  <c:v>1.34</c:v>
                </c:pt>
                <c:pt idx="66">
                  <c:v>0.98</c:v>
                </c:pt>
                <c:pt idx="67">
                  <c:v>0.61</c:v>
                </c:pt>
                <c:pt idx="68">
                  <c:v>1.03</c:v>
                </c:pt>
                <c:pt idx="69">
                  <c:v>0.8</c:v>
                </c:pt>
                <c:pt idx="70">
                  <c:v>1.45</c:v>
                </c:pt>
                <c:pt idx="71">
                  <c:v>1.35</c:v>
                </c:pt>
              </c:numCache>
            </c:numRef>
          </c:yVal>
          <c:smooth val="0"/>
          <c:extLst>
            <c:ext xmlns:c16="http://schemas.microsoft.com/office/drawing/2014/chart" uri="{C3380CC4-5D6E-409C-BE32-E72D297353CC}">
              <c16:uniqueId val="{00000002-4A3D-7E49-AC6B-BD6EDFF242EF}"/>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4A3D-7E49-AC6B-BD6EDFF242EF}"/>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4A3D-7E49-AC6B-BD6EDFF242EF}"/>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411586784109185"/>
          <c:y val="7.7849171323342653E-2"/>
          <c:w val="0.44064298449310668"/>
          <c:h val="0.1749745838732183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xVal>
          <c:yVal>
            <c:numRef>
              <c:f>'Inconel - Test'!$H$2:$H$19</c:f>
              <c:numCache>
                <c:formatCode>General</c:formatCode>
                <c:ptCount val="18"/>
                <c:pt idx="0">
                  <c:v>2.2631250000000001</c:v>
                </c:pt>
                <c:pt idx="1">
                  <c:v>3.151875</c:v>
                </c:pt>
                <c:pt idx="2">
                  <c:v>2.6537500000000001</c:v>
                </c:pt>
                <c:pt idx="3">
                  <c:v>2.5618750000000001</c:v>
                </c:pt>
                <c:pt idx="4">
                  <c:v>2.5618750000000001</c:v>
                </c:pt>
                <c:pt idx="5">
                  <c:v>2.57375</c:v>
                </c:pt>
                <c:pt idx="6">
                  <c:v>2.7</c:v>
                </c:pt>
                <c:pt idx="7">
                  <c:v>2.7</c:v>
                </c:pt>
                <c:pt idx="8">
                  <c:v>2.5618750000000001</c:v>
                </c:pt>
                <c:pt idx="9">
                  <c:v>2.5618750000000001</c:v>
                </c:pt>
                <c:pt idx="10">
                  <c:v>2.7025000000000001</c:v>
                </c:pt>
                <c:pt idx="11">
                  <c:v>2.7025000000000001</c:v>
                </c:pt>
                <c:pt idx="12">
                  <c:v>4.1756250000000001</c:v>
                </c:pt>
                <c:pt idx="13">
                  <c:v>4.0118749999999999</c:v>
                </c:pt>
                <c:pt idx="14">
                  <c:v>2.2062499999999998</c:v>
                </c:pt>
                <c:pt idx="15">
                  <c:v>2.6537500000000001</c:v>
                </c:pt>
                <c:pt idx="16">
                  <c:v>2.6537500000000001</c:v>
                </c:pt>
                <c:pt idx="17">
                  <c:v>2.5618750000000001</c:v>
                </c:pt>
              </c:numCache>
            </c:numRef>
          </c:yVal>
          <c:smooth val="0"/>
          <c:extLst>
            <c:ext xmlns:c16="http://schemas.microsoft.com/office/drawing/2014/chart" uri="{C3380CC4-5D6E-409C-BE32-E72D297353CC}">
              <c16:uniqueId val="{00000000-1FFC-614B-A239-FB8115B6B2C4}"/>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Test'!$H$2:$H$13</c:f>
              <c:numCache>
                <c:formatCode>General</c:formatCode>
                <c:ptCount val="12"/>
                <c:pt idx="0">
                  <c:v>2.6</c:v>
                </c:pt>
                <c:pt idx="1">
                  <c:v>1.8</c:v>
                </c:pt>
                <c:pt idx="2">
                  <c:v>1.1000000000000001</c:v>
                </c:pt>
                <c:pt idx="3">
                  <c:v>1.1200000000000001</c:v>
                </c:pt>
                <c:pt idx="4">
                  <c:v>2.1</c:v>
                </c:pt>
                <c:pt idx="5">
                  <c:v>1.8</c:v>
                </c:pt>
                <c:pt idx="6">
                  <c:v>0.8</c:v>
                </c:pt>
                <c:pt idx="7">
                  <c:v>0.94</c:v>
                </c:pt>
                <c:pt idx="8">
                  <c:v>1.1200000000000001</c:v>
                </c:pt>
                <c:pt idx="9">
                  <c:v>0.94</c:v>
                </c:pt>
                <c:pt idx="10">
                  <c:v>1.45</c:v>
                </c:pt>
                <c:pt idx="11">
                  <c:v>1.69</c:v>
                </c:pt>
              </c:numCache>
            </c:numRef>
          </c:yVal>
          <c:smooth val="0"/>
          <c:extLst>
            <c:ext xmlns:c16="http://schemas.microsoft.com/office/drawing/2014/chart" uri="{C3380CC4-5D6E-409C-BE32-E72D297353CC}">
              <c16:uniqueId val="{00000001-1FFC-614B-A239-FB8115B6B2C4}"/>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Test'!$H$2:$H$13</c:f>
              <c:numCache>
                <c:formatCode>General</c:formatCode>
                <c:ptCount val="12"/>
                <c:pt idx="0">
                  <c:v>1.1599999999999999</c:v>
                </c:pt>
                <c:pt idx="1">
                  <c:v>1.1599999999999999</c:v>
                </c:pt>
                <c:pt idx="2">
                  <c:v>1.6</c:v>
                </c:pt>
                <c:pt idx="3">
                  <c:v>1.2</c:v>
                </c:pt>
                <c:pt idx="4">
                  <c:v>0.61</c:v>
                </c:pt>
                <c:pt idx="5">
                  <c:v>1.6</c:v>
                </c:pt>
                <c:pt idx="6">
                  <c:v>0.94</c:v>
                </c:pt>
                <c:pt idx="7">
                  <c:v>0.63</c:v>
                </c:pt>
                <c:pt idx="8">
                  <c:v>1.23</c:v>
                </c:pt>
                <c:pt idx="9">
                  <c:v>1.2</c:v>
                </c:pt>
                <c:pt idx="10">
                  <c:v>1.6</c:v>
                </c:pt>
                <c:pt idx="11">
                  <c:v>1.35</c:v>
                </c:pt>
              </c:numCache>
            </c:numRef>
          </c:yVal>
          <c:smooth val="0"/>
          <c:extLst>
            <c:ext xmlns:c16="http://schemas.microsoft.com/office/drawing/2014/chart" uri="{C3380CC4-5D6E-409C-BE32-E72D297353CC}">
              <c16:uniqueId val="{00000002-1FFC-614B-A239-FB8115B6B2C4}"/>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1FFC-614B-A239-FB8115B6B2C4}"/>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9017612649569001E-2"/>
          <c:y val="6.6355934507035877E-2"/>
          <c:w val="0.42782294297110018"/>
          <c:h val="0.195518063118980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Ensemble!$B$1</c:f>
              <c:strCache>
                <c:ptCount val="1"/>
                <c:pt idx="0">
                  <c:v>ALL</c:v>
                </c:pt>
              </c:strCache>
            </c:strRef>
          </c:tx>
          <c:spPr>
            <a:solidFill>
              <a:schemeClr val="bg1"/>
            </a:solidFill>
            <a:ln>
              <a:solidFill>
                <a:schemeClr val="tx1"/>
              </a:solid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Ensemble!$B$2:$B$11</c:f>
              <c:numCache>
                <c:formatCode>General</c:formatCode>
                <c:ptCount val="10"/>
                <c:pt idx="0">
                  <c:v>0.87531503816679002</c:v>
                </c:pt>
                <c:pt idx="1">
                  <c:v>0.97039113880916095</c:v>
                </c:pt>
                <c:pt idx="2">
                  <c:v>0.88525697963343797</c:v>
                </c:pt>
                <c:pt idx="3">
                  <c:v>0.98861287316533797</c:v>
                </c:pt>
                <c:pt idx="4">
                  <c:v>0.92348291120186399</c:v>
                </c:pt>
                <c:pt idx="5">
                  <c:v>0.92414391229209503</c:v>
                </c:pt>
                <c:pt idx="6">
                  <c:v>0.91895493543974205</c:v>
                </c:pt>
                <c:pt idx="7">
                  <c:v>0.936548414546995</c:v>
                </c:pt>
                <c:pt idx="8">
                  <c:v>0.861386010205349</c:v>
                </c:pt>
                <c:pt idx="9">
                  <c:v>1.0184064703495099</c:v>
                </c:pt>
              </c:numCache>
            </c:numRef>
          </c:val>
          <c:extLst>
            <c:ext xmlns:c16="http://schemas.microsoft.com/office/drawing/2014/chart" uri="{C3380CC4-5D6E-409C-BE32-E72D297353CC}">
              <c16:uniqueId val="{00000000-758D-EE4F-99A8-ABDC7BB337AD}"/>
            </c:ext>
          </c:extLst>
        </c:ser>
        <c:ser>
          <c:idx val="1"/>
          <c:order val="1"/>
          <c:tx>
            <c:strRef>
              <c:f>Ensemble!$C$1</c:f>
              <c:strCache>
                <c:ptCount val="1"/>
                <c:pt idx="0">
                  <c:v>Inconel</c:v>
                </c:pt>
              </c:strCache>
            </c:strRef>
          </c:tx>
          <c:spPr>
            <a:solidFill>
              <a:schemeClr val="tx1"/>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Ensemble!$C$2:$C$11</c:f>
              <c:numCache>
                <c:formatCode>General</c:formatCode>
                <c:ptCount val="10"/>
                <c:pt idx="0">
                  <c:v>0.859867081686991</c:v>
                </c:pt>
                <c:pt idx="1">
                  <c:v>0.94120852924669496</c:v>
                </c:pt>
                <c:pt idx="2">
                  <c:v>0.86495326298346398</c:v>
                </c:pt>
                <c:pt idx="3">
                  <c:v>0.968354165017558</c:v>
                </c:pt>
                <c:pt idx="4">
                  <c:v>0.902115561036547</c:v>
                </c:pt>
                <c:pt idx="5">
                  <c:v>0.91082517845351196</c:v>
                </c:pt>
                <c:pt idx="6">
                  <c:v>0.91413140543701499</c:v>
                </c:pt>
                <c:pt idx="7">
                  <c:v>0.94260418040600402</c:v>
                </c:pt>
                <c:pt idx="8">
                  <c:v>0.85680949624372404</c:v>
                </c:pt>
                <c:pt idx="9">
                  <c:v>0.99845965126636105</c:v>
                </c:pt>
              </c:numCache>
            </c:numRef>
          </c:val>
          <c:extLst>
            <c:ext xmlns:c16="http://schemas.microsoft.com/office/drawing/2014/chart" uri="{C3380CC4-5D6E-409C-BE32-E72D297353CC}">
              <c16:uniqueId val="{00000001-758D-EE4F-99A8-ABDC7BB337AD}"/>
            </c:ext>
          </c:extLst>
        </c:ser>
        <c:ser>
          <c:idx val="2"/>
          <c:order val="2"/>
          <c:tx>
            <c:strRef>
              <c:f>Ensemble!$D$1</c:f>
              <c:strCache>
                <c:ptCount val="1"/>
                <c:pt idx="0">
                  <c:v>Aluminum</c:v>
                </c:pt>
              </c:strCache>
            </c:strRef>
          </c:tx>
          <c:spPr>
            <a:solidFill>
              <a:srgbClr val="00B050"/>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Ensemble!$D$2:$D$11</c:f>
              <c:numCache>
                <c:formatCode>General</c:formatCode>
                <c:ptCount val="10"/>
                <c:pt idx="0">
                  <c:v>1.0421218440295299</c:v>
                </c:pt>
                <c:pt idx="1">
                  <c:v>1.37188766860903</c:v>
                </c:pt>
                <c:pt idx="2">
                  <c:v>1.09011279542786</c:v>
                </c:pt>
                <c:pt idx="3">
                  <c:v>1.2126870597408199</c:v>
                </c:pt>
                <c:pt idx="4">
                  <c:v>1.1236944561550699</c:v>
                </c:pt>
                <c:pt idx="5">
                  <c:v>0.98476324482512001</c:v>
                </c:pt>
                <c:pt idx="6">
                  <c:v>0.90883693044889502</c:v>
                </c:pt>
                <c:pt idx="7">
                  <c:v>0.79315784704159698</c:v>
                </c:pt>
                <c:pt idx="8">
                  <c:v>0.80950757264950401</c:v>
                </c:pt>
                <c:pt idx="9">
                  <c:v>1.29613289955573</c:v>
                </c:pt>
              </c:numCache>
            </c:numRef>
          </c:val>
          <c:extLst>
            <c:ext xmlns:c16="http://schemas.microsoft.com/office/drawing/2014/chart" uri="{C3380CC4-5D6E-409C-BE32-E72D297353CC}">
              <c16:uniqueId val="{00000002-758D-EE4F-99A8-ABDC7BB337AD}"/>
            </c:ext>
          </c:extLst>
        </c:ser>
        <c:ser>
          <c:idx val="3"/>
          <c:order val="3"/>
          <c:tx>
            <c:strRef>
              <c:f>Ensemble!$E$1</c:f>
              <c:strCache>
                <c:ptCount val="1"/>
                <c:pt idx="0">
                  <c:v>Steel</c:v>
                </c:pt>
              </c:strCache>
            </c:strRef>
          </c:tx>
          <c:spPr>
            <a:solidFill>
              <a:srgbClr val="FF0000"/>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Ensemble!$E$2:$E$11</c:f>
              <c:numCache>
                <c:formatCode>General</c:formatCode>
                <c:ptCount val="10"/>
                <c:pt idx="0">
                  <c:v>1.31988846903519</c:v>
                </c:pt>
                <c:pt idx="1">
                  <c:v>1.2794665560507901</c:v>
                </c:pt>
                <c:pt idx="2">
                  <c:v>1.5579494373246101</c:v>
                </c:pt>
                <c:pt idx="3">
                  <c:v>1.5389403068185199</c:v>
                </c:pt>
                <c:pt idx="4">
                  <c:v>1.7258892693208401</c:v>
                </c:pt>
                <c:pt idx="5">
                  <c:v>1.81862374099183</c:v>
                </c:pt>
                <c:pt idx="6">
                  <c:v>1.43996105446574</c:v>
                </c:pt>
                <c:pt idx="7">
                  <c:v>1.2415299206366499</c:v>
                </c:pt>
                <c:pt idx="8">
                  <c:v>1.6154837126470101</c:v>
                </c:pt>
                <c:pt idx="9">
                  <c:v>1.20940956262569</c:v>
                </c:pt>
              </c:numCache>
            </c:numRef>
          </c:val>
          <c:extLst>
            <c:ext xmlns:c16="http://schemas.microsoft.com/office/drawing/2014/chart" uri="{C3380CC4-5D6E-409C-BE32-E72D297353CC}">
              <c16:uniqueId val="{00000003-758D-EE4F-99A8-ABDC7BB337AD}"/>
            </c:ext>
          </c:extLst>
        </c:ser>
        <c:dLbls>
          <c:showLegendKey val="0"/>
          <c:showVal val="0"/>
          <c:showCatName val="0"/>
          <c:showSerName val="0"/>
          <c:showPercent val="0"/>
          <c:showBubbleSize val="0"/>
        </c:dLbls>
        <c:gapWidth val="219"/>
        <c:overlap val="-27"/>
        <c:axId val="156112576"/>
        <c:axId val="1976762815"/>
      </c:barChart>
      <c:catAx>
        <c:axId val="15611257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976762815"/>
        <c:crosses val="autoZero"/>
        <c:auto val="1"/>
        <c:lblAlgn val="ctr"/>
        <c:lblOffset val="100"/>
        <c:noMultiLvlLbl val="0"/>
      </c:catAx>
      <c:valAx>
        <c:axId val="1976762815"/>
        <c:scaling>
          <c:orientation val="minMax"/>
          <c:max val="3"/>
        </c:scaling>
        <c:delete val="0"/>
        <c:axPos val="l"/>
        <c:majorGridlines>
          <c:spPr>
            <a:ln w="9525" cap="flat" cmpd="sng" algn="ctr">
              <a:noFill/>
              <a:round/>
            </a:ln>
            <a:effectLst/>
          </c:spPr>
        </c:majorGridlines>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56112576"/>
        <c:crosses val="autoZero"/>
        <c:crossBetween val="between"/>
        <c:majorUnit val="1"/>
      </c:valAx>
      <c:spPr>
        <a:noFill/>
        <a:ln>
          <a:solidFill>
            <a:schemeClr val="bg1">
              <a:lumMod val="65000"/>
            </a:schemeClr>
          </a:solidFill>
        </a:ln>
        <a:effectLst/>
      </c:spPr>
    </c:plotArea>
    <c:legend>
      <c:legendPos val="b"/>
      <c:layout>
        <c:manualLayout>
          <c:xMode val="edge"/>
          <c:yMode val="edge"/>
          <c:x val="5.2513225203834002E-2"/>
          <c:y val="8.1722579272185569E-2"/>
          <c:w val="0.38570281264731038"/>
          <c:h val="4.6594285846427788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GPR!$B$1</c:f>
              <c:strCache>
                <c:ptCount val="1"/>
                <c:pt idx="0">
                  <c:v>ALL</c:v>
                </c:pt>
              </c:strCache>
            </c:strRef>
          </c:tx>
          <c:spPr>
            <a:solidFill>
              <a:schemeClr val="bg1"/>
            </a:solidFill>
            <a:ln>
              <a:solidFill>
                <a:schemeClr val="tx1"/>
              </a:solid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GPR!$B$2:$B$11</c:f>
              <c:numCache>
                <c:formatCode>General</c:formatCode>
                <c:ptCount val="10"/>
                <c:pt idx="0">
                  <c:v>1.0706634194772</c:v>
                </c:pt>
                <c:pt idx="1">
                  <c:v>1.0810581011256299</c:v>
                </c:pt>
                <c:pt idx="2">
                  <c:v>1.0418755200610099</c:v>
                </c:pt>
                <c:pt idx="3">
                  <c:v>0.97387193970348696</c:v>
                </c:pt>
                <c:pt idx="4">
                  <c:v>1.07027759634414</c:v>
                </c:pt>
                <c:pt idx="5">
                  <c:v>1.1635694069962501</c:v>
                </c:pt>
                <c:pt idx="6">
                  <c:v>1.14398204472547</c:v>
                </c:pt>
                <c:pt idx="7">
                  <c:v>0.99581326701582196</c:v>
                </c:pt>
                <c:pt idx="8">
                  <c:v>1.0351949745637501</c:v>
                </c:pt>
                <c:pt idx="9">
                  <c:v>1.01182353735554</c:v>
                </c:pt>
              </c:numCache>
            </c:numRef>
          </c:val>
          <c:extLst>
            <c:ext xmlns:c16="http://schemas.microsoft.com/office/drawing/2014/chart" uri="{C3380CC4-5D6E-409C-BE32-E72D297353CC}">
              <c16:uniqueId val="{00000000-24C5-804C-A10F-8016AB8DF0F4}"/>
            </c:ext>
          </c:extLst>
        </c:ser>
        <c:ser>
          <c:idx val="1"/>
          <c:order val="1"/>
          <c:tx>
            <c:strRef>
              <c:f>GPR!$C$1</c:f>
              <c:strCache>
                <c:ptCount val="1"/>
                <c:pt idx="0">
                  <c:v>Inconel</c:v>
                </c:pt>
              </c:strCache>
            </c:strRef>
          </c:tx>
          <c:spPr>
            <a:solidFill>
              <a:schemeClr val="tx1"/>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GPR!$C$2:$C$11</c:f>
              <c:numCache>
                <c:formatCode>General</c:formatCode>
                <c:ptCount val="10"/>
                <c:pt idx="0">
                  <c:v>1.0779622334678001</c:v>
                </c:pt>
                <c:pt idx="1">
                  <c:v>1.09083261286425</c:v>
                </c:pt>
                <c:pt idx="2">
                  <c:v>1.0534464630008</c:v>
                </c:pt>
                <c:pt idx="3">
                  <c:v>0.95970881118514795</c:v>
                </c:pt>
                <c:pt idx="4">
                  <c:v>1.075387738196</c:v>
                </c:pt>
                <c:pt idx="5">
                  <c:v>1.1841515778293199</c:v>
                </c:pt>
                <c:pt idx="6">
                  <c:v>1.15192093766688</c:v>
                </c:pt>
                <c:pt idx="7">
                  <c:v>0.98989058236479299</c:v>
                </c:pt>
                <c:pt idx="8">
                  <c:v>1.0260745069302299</c:v>
                </c:pt>
                <c:pt idx="9">
                  <c:v>1.00436369987761</c:v>
                </c:pt>
              </c:numCache>
            </c:numRef>
          </c:val>
          <c:extLst>
            <c:ext xmlns:c16="http://schemas.microsoft.com/office/drawing/2014/chart" uri="{C3380CC4-5D6E-409C-BE32-E72D297353CC}">
              <c16:uniqueId val="{00000001-24C5-804C-A10F-8016AB8DF0F4}"/>
            </c:ext>
          </c:extLst>
        </c:ser>
        <c:ser>
          <c:idx val="2"/>
          <c:order val="2"/>
          <c:tx>
            <c:strRef>
              <c:f>GPR!$D$1</c:f>
              <c:strCache>
                <c:ptCount val="1"/>
                <c:pt idx="0">
                  <c:v>Aluminum</c:v>
                </c:pt>
              </c:strCache>
            </c:strRef>
          </c:tx>
          <c:spPr>
            <a:solidFill>
              <a:srgbClr val="00B050"/>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GPR!$D$2:$D$11</c:f>
              <c:numCache>
                <c:formatCode>General</c:formatCode>
                <c:ptCount val="10"/>
                <c:pt idx="0">
                  <c:v>1.1042617472407901</c:v>
                </c:pt>
                <c:pt idx="1">
                  <c:v>1.0822165412098099</c:v>
                </c:pt>
                <c:pt idx="2">
                  <c:v>1.03707928373259</c:v>
                </c:pt>
                <c:pt idx="3">
                  <c:v>1.08463260509965</c:v>
                </c:pt>
                <c:pt idx="4">
                  <c:v>1.09393769966256</c:v>
                </c:pt>
                <c:pt idx="5">
                  <c:v>1.17283620163619</c:v>
                </c:pt>
                <c:pt idx="6">
                  <c:v>1.2269864348003701</c:v>
                </c:pt>
                <c:pt idx="7">
                  <c:v>1.1060996758708099</c:v>
                </c:pt>
                <c:pt idx="8">
                  <c:v>1.1739513321053601</c:v>
                </c:pt>
                <c:pt idx="9">
                  <c:v>1.1305736279285501</c:v>
                </c:pt>
              </c:numCache>
            </c:numRef>
          </c:val>
          <c:extLst>
            <c:ext xmlns:c16="http://schemas.microsoft.com/office/drawing/2014/chart" uri="{C3380CC4-5D6E-409C-BE32-E72D297353CC}">
              <c16:uniqueId val="{00000002-24C5-804C-A10F-8016AB8DF0F4}"/>
            </c:ext>
          </c:extLst>
        </c:ser>
        <c:ser>
          <c:idx val="3"/>
          <c:order val="3"/>
          <c:tx>
            <c:strRef>
              <c:f>GPR!$E$1</c:f>
              <c:strCache>
                <c:ptCount val="1"/>
                <c:pt idx="0">
                  <c:v>Steel</c:v>
                </c:pt>
              </c:strCache>
            </c:strRef>
          </c:tx>
          <c:spPr>
            <a:solidFill>
              <a:srgbClr val="FF0000"/>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GPR!$E$2:$E$11</c:f>
              <c:numCache>
                <c:formatCode>General</c:formatCode>
                <c:ptCount val="10"/>
                <c:pt idx="0">
                  <c:v>0.84765093986140205</c:v>
                </c:pt>
                <c:pt idx="1">
                  <c:v>0.89645471139941502</c:v>
                </c:pt>
                <c:pt idx="2">
                  <c:v>0.83939120997334205</c:v>
                </c:pt>
                <c:pt idx="3">
                  <c:v>0.94881483535454303</c:v>
                </c:pt>
                <c:pt idx="4">
                  <c:v>0.91378323496136005</c:v>
                </c:pt>
                <c:pt idx="5">
                  <c:v>0.75708666436884198</c:v>
                </c:pt>
                <c:pt idx="6">
                  <c:v>0.78053340674285998</c:v>
                </c:pt>
                <c:pt idx="7">
                  <c:v>0.818900402809842</c:v>
                </c:pt>
                <c:pt idx="8">
                  <c:v>0.84361680905584602</c:v>
                </c:pt>
                <c:pt idx="9">
                  <c:v>0.84144682120685599</c:v>
                </c:pt>
              </c:numCache>
            </c:numRef>
          </c:val>
          <c:extLst>
            <c:ext xmlns:c16="http://schemas.microsoft.com/office/drawing/2014/chart" uri="{C3380CC4-5D6E-409C-BE32-E72D297353CC}">
              <c16:uniqueId val="{00000003-24C5-804C-A10F-8016AB8DF0F4}"/>
            </c:ext>
          </c:extLst>
        </c:ser>
        <c:dLbls>
          <c:showLegendKey val="0"/>
          <c:showVal val="0"/>
          <c:showCatName val="0"/>
          <c:showSerName val="0"/>
          <c:showPercent val="0"/>
          <c:showBubbleSize val="0"/>
        </c:dLbls>
        <c:gapWidth val="219"/>
        <c:overlap val="-27"/>
        <c:axId val="156112576"/>
        <c:axId val="1976762815"/>
      </c:barChart>
      <c:catAx>
        <c:axId val="15611257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976762815"/>
        <c:crosses val="autoZero"/>
        <c:auto val="1"/>
        <c:lblAlgn val="ctr"/>
        <c:lblOffset val="100"/>
        <c:noMultiLvlLbl val="0"/>
      </c:catAx>
      <c:valAx>
        <c:axId val="1976762815"/>
        <c:scaling>
          <c:orientation val="minMax"/>
          <c:max val="3"/>
        </c:scaling>
        <c:delete val="0"/>
        <c:axPos val="l"/>
        <c:majorGridlines>
          <c:spPr>
            <a:ln w="9525" cap="flat" cmpd="sng" algn="ctr">
              <a:noFill/>
              <a:round/>
            </a:ln>
            <a:effectLst/>
          </c:spPr>
        </c:majorGridlines>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56112576"/>
        <c:crosses val="autoZero"/>
        <c:crossBetween val="between"/>
        <c:majorUnit val="1"/>
      </c:valAx>
      <c:spPr>
        <a:noFill/>
        <a:ln>
          <a:solidFill>
            <a:schemeClr val="bg1">
              <a:lumMod val="65000"/>
            </a:schemeClr>
          </a:solidFill>
        </a:ln>
        <a:effectLst/>
      </c:spPr>
    </c:plotArea>
    <c:legend>
      <c:legendPos val="b"/>
      <c:layout>
        <c:manualLayout>
          <c:xMode val="edge"/>
          <c:yMode val="edge"/>
          <c:x val="5.4730520104055727E-2"/>
          <c:y val="7.7398254947861247E-2"/>
          <c:w val="0.38570281264731038"/>
          <c:h val="4.6594285846427788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180</TotalTime>
  <Pages>41</Pages>
  <Words>42068</Words>
  <Characters>239791</Characters>
  <Application>Microsoft Office Word</Application>
  <DocSecurity>0</DocSecurity>
  <Lines>1998</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14</cp:revision>
  <dcterms:created xsi:type="dcterms:W3CDTF">2025-12-12T08:10:00Z</dcterms:created>
  <dcterms:modified xsi:type="dcterms:W3CDTF">2025-12-13T09:00:00Z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id="mBTrC7z0"/&gt;&lt;style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