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 1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Продвижение сайтов </w:t>
      </w:r>
    </w:p>
    <w:tbl>
      <w:tblPr>
        <w:tblW w:w="96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45"/>
        <w:gridCol w:w="2163"/>
        <w:gridCol w:w="3204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Наименование услуги</w:t>
            </w:r>
          </w:p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keepNext w:val="1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Цена</w:t>
            </w: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грн</w:t>
            </w: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keepNext w:val="1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Условия и сроки</w:t>
            </w:r>
          </w:p>
        </w:tc>
      </w:tr>
      <w:tr>
        <w:tblPrEx>
          <w:shd w:val="clear" w:color="auto" w:fill="auto"/>
        </w:tblPrEx>
        <w:trPr>
          <w:trHeight w:val="114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Техническая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SEO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оптимизация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аудит сайта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подключение и настройка аналитики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Analytics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Metrika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3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рабочих дня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разовая работа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полный анализ и отчет</w:t>
            </w:r>
          </w:p>
        </w:tc>
      </w:tr>
      <w:tr>
        <w:tblPrEx>
          <w:shd w:val="clear" w:color="auto" w:fill="auto"/>
        </w:tblPrEx>
        <w:trPr>
          <w:trHeight w:val="198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Продвижение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закупка ссылок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000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 –услуги</w:t>
            </w:r>
          </w:p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От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1500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 – закупка ссылок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Закупка до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вечных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качественных ссылок в месяц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анализ ссылок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оптимизация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открытый отчет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доступ к сервису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Стоимость ссылок может варьироваться</w:t>
            </w:r>
          </w:p>
        </w:tc>
      </w:tr>
      <w:tr>
        <w:tblPrEx>
          <w:shd w:val="clear" w:color="auto" w:fill="auto"/>
        </w:tblPrEx>
        <w:trPr>
          <w:trHeight w:val="142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Контекстная реклама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настройка и оптимизация кампаний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повышение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CTR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увеличение конверсий</w:t>
            </w:r>
          </w:p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– услуги</w:t>
            </w:r>
          </w:p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От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1500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Бюджет кампании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AdWords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Yandex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Dire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auto"/>
        </w:tblPrEx>
        <w:trPr>
          <w:trHeight w:val="114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Продвижение в социальных сетях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, SMM&amp;SMO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– в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Facebook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LinkedIn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Google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+</w:t>
            </w:r>
          </w:p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– услуги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От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500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мес – реклама в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fb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Оформление соцсетей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постоянный рост участников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работа со спамом и отзывами</w:t>
            </w:r>
          </w:p>
        </w:tc>
      </w:tr>
      <w:tr>
        <w:tblPrEx>
          <w:shd w:val="clear" w:color="auto" w:fill="auto"/>
        </w:tblPrEx>
        <w:trPr>
          <w:trHeight w:val="86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PR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поддержка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копирайтинг</w:t>
            </w:r>
          </w:p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До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постов в месяц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(4-5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постов в неделю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),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уникальность выше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90% </w:t>
            </w:r>
          </w:p>
        </w:tc>
      </w:tr>
      <w:tr>
        <w:tblPrEx>
          <w:shd w:val="clear" w:color="auto" w:fill="auto"/>
        </w:tblPrEx>
        <w:trPr>
          <w:trHeight w:val="86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Всего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:</w:t>
            </w:r>
          </w:p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1000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грн 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Анализ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техническая оптимизация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настройка аналитики</w:t>
            </w:r>
          </w:p>
        </w:tc>
      </w:tr>
      <w:tr>
        <w:tblPrEx>
          <w:shd w:val="clear" w:color="auto" w:fill="auto"/>
        </w:tblPrEx>
        <w:trPr>
          <w:trHeight w:val="198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3000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Услуги по анализу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закупке и оптимизации вечных ссылок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SMM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копирайтинг и настройка контекстной рекламы и рекламы в соцсетях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работа с аналитикой</w:t>
            </w:r>
          </w:p>
        </w:tc>
      </w:tr>
      <w:tr>
        <w:tblPrEx>
          <w:shd w:val="clear" w:color="auto" w:fill="auto"/>
        </w:tblPrEx>
        <w:trPr>
          <w:trHeight w:val="860" w:hRule="atLeast"/>
        </w:trPr>
        <w:tc>
          <w:tcPr>
            <w:tcW w:type="dxa" w:w="4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От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3500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грн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мес</w:t>
            </w:r>
          </w:p>
        </w:tc>
        <w:tc>
          <w:tcPr>
            <w:tcW w:type="dxa" w:w="32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вободная форма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Вечные ссылки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рекламные кампании контекстные и в соцсетях</w:t>
            </w:r>
          </w:p>
        </w:tc>
      </w:tr>
    </w:tbl>
    <w:p>
      <w:pPr>
        <w:pStyle w:val="Заголовок 1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/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Загол. и нижн. колонтитул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132"/>
        <w:tab w:val="right" w:pos="9612"/>
        <w:tab w:val="clear" w:pos="9632"/>
      </w:tabs>
      <w:jc w:val="right"/>
    </w:pPr>
    <w:r>
      <w:rPr>
        <w:sz w:val="36"/>
        <w:szCs w:val="36"/>
        <w:rtl w:val="0"/>
      </w:rPr>
      <w:t>Прайс</w:t>
    </w:r>
    <w:r>
      <w:rPr>
        <w:rFonts w:ascii="Helvetica"/>
        <w:sz w:val="36"/>
        <w:szCs w:val="36"/>
        <w:rtl w:val="0"/>
      </w:rPr>
      <w:t>-</w:t>
    </w:r>
    <w:r>
      <w:rPr>
        <w:sz w:val="36"/>
        <w:szCs w:val="36"/>
        <w:rtl w:val="0"/>
      </w:rPr>
      <w:t>лист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. и нижн. колонтитул">
    <w:name w:val="Загол. и нижн. колонтитул"/>
    <w:next w:val="Загол. и нижн. колонтитул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11">
    <w:name w:val="Заголовок 11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Свободная форма">
    <w:name w:val="Свободная форма"/>
    <w:next w:val="Свободная форм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