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237E"/>
        </w:rPr>
        <w:t>Credit Officer Decision Framework</w:t>
      </w:r>
    </w:p>
    <w:p>
      <w:r>
        <w:rPr>
          <w:i/>
          <w:color w:val="3949AB"/>
        </w:rPr>
        <w:t>Northvale Demo Bank - Operations Procedure - Effective January 1, 2026</w:t>
      </w:r>
    </w:p>
    <w:p>
      <w:r>
        <w:t>This Framework is the desk-level companion to the Credit Policy Manual. It tells the credit officer (a) how to read an application packet, (b) what facts to verify before approval, (c) how to apply the four-tier approval matrix, (d) when to escalate, and (e) how to log an exception. The Framework binds every credit officer in the Bank's retail lending operation.</w:t>
      </w:r>
    </w:p>
    <w:p>
      <w:pPr>
        <w:pStyle w:val="Heading1"/>
      </w:pPr>
      <w:r>
        <w:rPr>
          <w:color w:val="1A237E"/>
        </w:rPr>
        <w:t>1. Role Overview</w:t>
      </w:r>
    </w:p>
    <w:p>
      <w:r>
        <w:t>A Credit Officer is responsible for arriving at a documented credit decision (Approve, Decline, Counter-Offer, or Refer) on every retail loan application routed to their queue. Decisions shall be reached within five (5) business days of receipt of a complete packet. Incomplete packets are returned to the originating branch within one (1) business day.</w:t>
      </w:r>
    </w:p>
    <w:p>
      <w:r>
        <w:t>Every decision shall produce three artifacts: (a) the credit memorandum that captures FICO, DTI, LTV, and the rationale; (b) the approval signature in the Loan Origination System (LOS); and (c) a customer-facing decision letter sent within two (2) business days of decision.</w:t>
      </w:r>
    </w:p>
    <w:p>
      <w:pPr>
        <w:pStyle w:val="Heading1"/>
      </w:pPr>
      <w:r>
        <w:rPr>
          <w:color w:val="1A237E"/>
        </w:rPr>
        <w:t>2. Decision Authority Matrix</w:t>
      </w:r>
    </w:p>
    <w:p>
      <w:r>
        <w:t>The Bank operates four approval tiers. The tier required for any given application is the lowest tier whose unsecured cap covers the proposed exposure. Where a single Borrower has multiple facilities, aggregate exposure determines tier. The matrix below is the operational restatement of the same tiers documented in the Credit Policy Manual and the Loan Approval Thresholds wiki page.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color w:val="1A237E"/>
                <w:sz w:val="20"/>
              </w:rPr>
              <w:t>Tier</w:t>
            </w:r>
          </w:p>
        </w:tc>
        <w:tc>
          <w:tcPr>
            <w:tcW w:type="dxa" w:w="1728"/>
          </w:tcPr>
          <w:p>
            <w:r>
              <w:rPr>
                <w:b/>
                <w:color w:val="1A237E"/>
                <w:sz w:val="20"/>
              </w:rPr>
              <w:t>Authority</w:t>
            </w:r>
          </w:p>
        </w:tc>
        <w:tc>
          <w:tcPr>
            <w:tcW w:type="dxa" w:w="1728"/>
          </w:tcPr>
          <w:p>
            <w:r>
              <w:rPr>
                <w:b/>
                <w:color w:val="1A237E"/>
                <w:sz w:val="20"/>
              </w:rPr>
              <w:t>Unsecured Cap</w:t>
            </w:r>
          </w:p>
        </w:tc>
        <w:tc>
          <w:tcPr>
            <w:tcW w:type="dxa" w:w="1728"/>
          </w:tcPr>
          <w:p>
            <w:r>
              <w:rPr>
                <w:b/>
                <w:color w:val="1A237E"/>
                <w:sz w:val="20"/>
              </w:rPr>
              <w:t>Secured Cap</w:t>
            </w:r>
          </w:p>
        </w:tc>
        <w:tc>
          <w:tcPr>
            <w:tcW w:type="dxa" w:w="1728"/>
          </w:tcPr>
          <w:p>
            <w:r>
              <w:rPr>
                <w:b/>
                <w:color w:val="1A237E"/>
                <w:sz w:val="20"/>
              </w:rPr>
              <w:t>Escalation Trigger</w:t>
            </w:r>
          </w:p>
        </w:tc>
      </w:tr>
      <w:tr>
        <w:tc>
          <w:tcPr>
            <w:tcW w:type="dxa" w:w="1728"/>
            <w:vAlign w:val="top"/>
          </w:tcPr>
          <w:p>
            <w:r>
              <w:rPr>
                <w:sz w:val="20"/>
              </w:rPr>
              <w:t>T1</w:t>
            </w:r>
          </w:p>
        </w:tc>
        <w:tc>
          <w:tcPr>
            <w:tcW w:type="dxa" w:w="1728"/>
            <w:vAlign w:val="top"/>
          </w:tcPr>
          <w:p>
            <w:r>
              <w:rPr>
                <w:sz w:val="20"/>
              </w:rPr>
              <w:t>Branch Manager</w:t>
            </w:r>
          </w:p>
        </w:tc>
        <w:tc>
          <w:tcPr>
            <w:tcW w:type="dxa" w:w="1728"/>
            <w:vAlign w:val="top"/>
          </w:tcPr>
          <w:p>
            <w:r>
              <w:rPr>
                <w:sz w:val="20"/>
              </w:rPr>
              <w:t>$25,000</w:t>
            </w:r>
          </w:p>
        </w:tc>
        <w:tc>
          <w:tcPr>
            <w:tcW w:type="dxa" w:w="1728"/>
            <w:vAlign w:val="top"/>
          </w:tcPr>
          <w:p>
            <w:r>
              <w:rPr>
                <w:sz w:val="20"/>
              </w:rPr>
              <w:t>$100,000</w:t>
            </w:r>
          </w:p>
        </w:tc>
        <w:tc>
          <w:tcPr>
            <w:tcW w:type="dxa" w:w="1728"/>
            <w:vAlign w:val="top"/>
          </w:tcPr>
          <w:p>
            <w:r>
              <w:rPr>
                <w:sz w:val="20"/>
              </w:rPr>
              <w:t>DTI &gt; 36% or exception requested</w:t>
            </w:r>
          </w:p>
        </w:tc>
      </w:tr>
      <w:tr>
        <w:tc>
          <w:tcPr>
            <w:tcW w:type="dxa" w:w="1728"/>
            <w:vAlign w:val="top"/>
          </w:tcPr>
          <w:p>
            <w:r>
              <w:rPr>
                <w:sz w:val="20"/>
              </w:rPr>
              <w:t>T2</w:t>
            </w:r>
          </w:p>
        </w:tc>
        <w:tc>
          <w:tcPr>
            <w:tcW w:type="dxa" w:w="1728"/>
            <w:vAlign w:val="top"/>
          </w:tcPr>
          <w:p>
            <w:r>
              <w:rPr>
                <w:sz w:val="20"/>
              </w:rPr>
              <w:t>Regional Credit Officer</w:t>
            </w:r>
          </w:p>
        </w:tc>
        <w:tc>
          <w:tcPr>
            <w:tcW w:type="dxa" w:w="1728"/>
            <w:vAlign w:val="top"/>
          </w:tcPr>
          <w:p>
            <w:r>
              <w:rPr>
                <w:sz w:val="20"/>
              </w:rPr>
              <w:t>$100,000</w:t>
            </w:r>
          </w:p>
        </w:tc>
        <w:tc>
          <w:tcPr>
            <w:tcW w:type="dxa" w:w="1728"/>
            <w:vAlign w:val="top"/>
          </w:tcPr>
          <w:p>
            <w:r>
              <w:rPr>
                <w:sz w:val="20"/>
              </w:rPr>
              <w:t>$400,000</w:t>
            </w:r>
          </w:p>
        </w:tc>
        <w:tc>
          <w:tcPr>
            <w:tcW w:type="dxa" w:w="1728"/>
            <w:vAlign w:val="top"/>
          </w:tcPr>
          <w:p>
            <w:r>
              <w:rPr>
                <w:sz w:val="20"/>
              </w:rPr>
              <w:t>Aggregate exposure &gt; $100k</w:t>
            </w:r>
          </w:p>
        </w:tc>
      </w:tr>
      <w:tr>
        <w:tc>
          <w:tcPr>
            <w:tcW w:type="dxa" w:w="1728"/>
            <w:vAlign w:val="top"/>
          </w:tcPr>
          <w:p>
            <w:r>
              <w:rPr>
                <w:sz w:val="20"/>
              </w:rPr>
              <w:t>T3</w:t>
            </w:r>
          </w:p>
        </w:tc>
        <w:tc>
          <w:tcPr>
            <w:tcW w:type="dxa" w:w="1728"/>
            <w:vAlign w:val="top"/>
          </w:tcPr>
          <w:p>
            <w:r>
              <w:rPr>
                <w:sz w:val="20"/>
              </w:rPr>
              <w:t>Credit Committee</w:t>
            </w:r>
          </w:p>
        </w:tc>
        <w:tc>
          <w:tcPr>
            <w:tcW w:type="dxa" w:w="1728"/>
            <w:vAlign w:val="top"/>
          </w:tcPr>
          <w:p>
            <w:r>
              <w:rPr>
                <w:sz w:val="20"/>
              </w:rPr>
              <w:t>$500,000</w:t>
            </w:r>
          </w:p>
        </w:tc>
        <w:tc>
          <w:tcPr>
            <w:tcW w:type="dxa" w:w="1728"/>
            <w:vAlign w:val="top"/>
          </w:tcPr>
          <w:p>
            <w:r>
              <w:rPr>
                <w:sz w:val="20"/>
              </w:rPr>
              <w:t>$2,000,000</w:t>
            </w:r>
          </w:p>
        </w:tc>
        <w:tc>
          <w:tcPr>
            <w:tcW w:type="dxa" w:w="1728"/>
            <w:vAlign w:val="top"/>
          </w:tcPr>
          <w:p>
            <w:r>
              <w:rPr>
                <w:sz w:val="20"/>
              </w:rPr>
              <w:t>Aggregate exposure &gt; $500k</w:t>
            </w:r>
          </w:p>
        </w:tc>
      </w:tr>
      <w:tr>
        <w:tc>
          <w:tcPr>
            <w:tcW w:type="dxa" w:w="1728"/>
            <w:vAlign w:val="top"/>
          </w:tcPr>
          <w:p>
            <w:r>
              <w:rPr>
                <w:sz w:val="20"/>
              </w:rPr>
              <w:t>T4</w:t>
            </w:r>
          </w:p>
        </w:tc>
        <w:tc>
          <w:tcPr>
            <w:tcW w:type="dxa" w:w="1728"/>
            <w:vAlign w:val="top"/>
          </w:tcPr>
          <w:p>
            <w:r>
              <w:rPr>
                <w:sz w:val="20"/>
              </w:rPr>
              <w:t>Board Credit Committee</w:t>
            </w:r>
          </w:p>
        </w:tc>
        <w:tc>
          <w:tcPr>
            <w:tcW w:type="dxa" w:w="1728"/>
            <w:vAlign w:val="top"/>
          </w:tcPr>
          <w:p>
            <w:r>
              <w:rPr>
                <w:sz w:val="20"/>
              </w:rPr>
              <w:t>Above $500,000</w:t>
            </w:r>
          </w:p>
        </w:tc>
        <w:tc>
          <w:tcPr>
            <w:tcW w:type="dxa" w:w="1728"/>
            <w:vAlign w:val="top"/>
          </w:tcPr>
          <w:p>
            <w:r>
              <w:rPr>
                <w:sz w:val="20"/>
              </w:rPr>
              <w:t>Above $2,000,000</w:t>
            </w:r>
          </w:p>
        </w:tc>
        <w:tc>
          <w:tcPr>
            <w:tcW w:type="dxa" w:w="1728"/>
            <w:vAlign w:val="top"/>
          </w:tcPr>
          <w:p>
            <w:r>
              <w:rPr>
                <w:sz w:val="20"/>
              </w:rPr>
              <w:t>Any exposure &gt; T3 cap</w:t>
            </w:r>
          </w:p>
        </w:tc>
      </w:tr>
    </w:tbl>
    <w:p>
      <w:r>
        <w:t>Approvers may not approve credit for themselves, an immediate family member, or any Related Party as defined in the Credit Policy Manual glossary. The next-higher tier shall handle Related Party files in all cases.</w:t>
      </w:r>
    </w:p>
    <w:p>
      <w:pPr>
        <w:pStyle w:val="Heading1"/>
      </w:pPr>
      <w:r>
        <w:rPr>
          <w:color w:val="1A237E"/>
        </w:rPr>
        <w:t>3. Escalation Scenarios</w:t>
      </w:r>
    </w:p>
    <w:p>
      <w:r>
        <w:t>Credit officers shall escalate immediately, regardless of loan amount, when any of the following are present:</w:t>
      </w:r>
    </w:p>
    <w:p>
      <w:pPr>
        <w:pStyle w:val="ListBullet"/>
      </w:pPr>
      <w:r>
        <w:t>FICO score is below the product minimum (660 unsecured, 620 mortgage, 700 prime auto).</w:t>
      </w:r>
    </w:p>
    <w:p>
      <w:pPr>
        <w:pStyle w:val="ListBullet"/>
      </w:pPr>
      <w:r>
        <w:t>DTI exceeds the product ceiling (36% unsecured, 43% QM mortgage).</w:t>
      </w:r>
    </w:p>
    <w:p>
      <w:pPr>
        <w:pStyle w:val="ListBullet"/>
      </w:pPr>
      <w:r>
        <w:t>The applicant or any beneficial owner is flagged as a Politically Exposed Person (PEP) or appears on a sanctions list.</w:t>
      </w:r>
    </w:p>
    <w:p>
      <w:pPr>
        <w:pStyle w:val="ListBullet"/>
      </w:pPr>
      <w:r>
        <w:t>Any element of the income documentation is inconsistent with stated income.</w:t>
      </w:r>
    </w:p>
    <w:p>
      <w:pPr>
        <w:pStyle w:val="ListBullet"/>
      </w:pPr>
      <w:r>
        <w:t>The applicant has filed a complaint against the Bank that remains unresolved at the time of application.</w:t>
      </w:r>
    </w:p>
    <w:p>
      <w:pPr>
        <w:pStyle w:val="ListBullet"/>
      </w:pPr>
      <w:r>
        <w:t>The application is from a Related Party of any Bank employee.</w:t>
      </w:r>
    </w:p>
    <w:p>
      <w:r>
        <w:t>Escalations to Tier 2 shall be routed via the LOS escalation queue with a one-paragraph rationale. Escalations to Tier 3 or Tier 4 shall also include a written exception memorandum.</w:t>
      </w:r>
    </w:p>
    <w:p>
      <w:pPr>
        <w:pStyle w:val="Heading1"/>
      </w:pPr>
      <w:r>
        <w:rPr>
          <w:color w:val="1A237E"/>
        </w:rPr>
        <w:t>4. Exception Log Template</w:t>
      </w:r>
    </w:p>
    <w:p>
      <w:r>
        <w:t>Every exception shall be logged using the template below. The Exception Log is reviewed quarterly by the Credit Committee and is subject to the Bank's 5% aggregate exception ceiling described in Section 5 of the Credit Policy Manual.</w:t>
      </w:r>
    </w:p>
    <w:tbl>
      <w:tblPr>
        <w:tblStyle w:val="TableGrid"/>
        <w:tblW w:type="auto" w:w="0"/>
        <w:tblLook w:firstColumn="1" w:firstRow="1" w:lastColumn="0" w:lastRow="0" w:noHBand="0" w:noVBand="1" w:val="04A0"/>
      </w:tblPr>
      <w:tblGrid>
        <w:gridCol w:w="4320"/>
        <w:gridCol w:w="4320"/>
      </w:tblGrid>
      <w:tr>
        <w:tc>
          <w:tcPr>
            <w:tcW w:type="dxa" w:w="4320"/>
          </w:tcPr>
          <w:p>
            <w:r>
              <w:rPr>
                <w:b/>
                <w:color w:val="1A237E"/>
                <w:sz w:val="20"/>
              </w:rPr>
              <w:t>Field</w:t>
            </w:r>
          </w:p>
        </w:tc>
        <w:tc>
          <w:tcPr>
            <w:tcW w:type="dxa" w:w="4320"/>
          </w:tcPr>
          <w:p>
            <w:r>
              <w:rPr>
                <w:b/>
                <w:color w:val="1A237E"/>
                <w:sz w:val="20"/>
              </w:rPr>
              <w:t>Description</w:t>
            </w:r>
          </w:p>
        </w:tc>
      </w:tr>
      <w:tr>
        <w:tc>
          <w:tcPr>
            <w:tcW w:type="dxa" w:w="4320"/>
            <w:vAlign w:val="top"/>
          </w:tcPr>
          <w:p>
            <w:r>
              <w:rPr>
                <w:sz w:val="20"/>
              </w:rPr>
              <w:t>Application ID</w:t>
            </w:r>
          </w:p>
        </w:tc>
        <w:tc>
          <w:tcPr>
            <w:tcW w:type="dxa" w:w="4320"/>
            <w:vAlign w:val="top"/>
          </w:tcPr>
          <w:p>
            <w:r>
              <w:rPr>
                <w:sz w:val="20"/>
              </w:rPr>
              <w:t>LOS application identifier</w:t>
            </w:r>
          </w:p>
        </w:tc>
      </w:tr>
      <w:tr>
        <w:tc>
          <w:tcPr>
            <w:tcW w:type="dxa" w:w="4320"/>
            <w:vAlign w:val="top"/>
          </w:tcPr>
          <w:p>
            <w:r>
              <w:rPr>
                <w:sz w:val="20"/>
              </w:rPr>
              <w:t>Date</w:t>
            </w:r>
          </w:p>
        </w:tc>
        <w:tc>
          <w:tcPr>
            <w:tcW w:type="dxa" w:w="4320"/>
            <w:vAlign w:val="top"/>
          </w:tcPr>
          <w:p>
            <w:r>
              <w:rPr>
                <w:sz w:val="20"/>
              </w:rPr>
              <w:t>Date of exception approval</w:t>
            </w:r>
          </w:p>
        </w:tc>
      </w:tr>
      <w:tr>
        <w:tc>
          <w:tcPr>
            <w:tcW w:type="dxa" w:w="4320"/>
            <w:vAlign w:val="top"/>
          </w:tcPr>
          <w:p>
            <w:r>
              <w:rPr>
                <w:sz w:val="20"/>
              </w:rPr>
              <w:t>Borrower Name</w:t>
            </w:r>
          </w:p>
        </w:tc>
        <w:tc>
          <w:tcPr>
            <w:tcW w:type="dxa" w:w="4320"/>
            <w:vAlign w:val="top"/>
          </w:tcPr>
          <w:p>
            <w:r>
              <w:rPr>
                <w:sz w:val="20"/>
              </w:rPr>
              <w:t>Full legal name</w:t>
            </w:r>
          </w:p>
        </w:tc>
      </w:tr>
      <w:tr>
        <w:tc>
          <w:tcPr>
            <w:tcW w:type="dxa" w:w="4320"/>
            <w:vAlign w:val="top"/>
          </w:tcPr>
          <w:p>
            <w:r>
              <w:rPr>
                <w:sz w:val="20"/>
              </w:rPr>
              <w:t>Product</w:t>
            </w:r>
          </w:p>
        </w:tc>
        <w:tc>
          <w:tcPr>
            <w:tcW w:type="dxa" w:w="4320"/>
            <w:vAlign w:val="top"/>
          </w:tcPr>
          <w:p>
            <w:r>
              <w:rPr>
                <w:sz w:val="20"/>
              </w:rPr>
              <w:t>Unsecured / mortgage / HELOC / auto</w:t>
            </w:r>
          </w:p>
        </w:tc>
      </w:tr>
      <w:tr>
        <w:tc>
          <w:tcPr>
            <w:tcW w:type="dxa" w:w="4320"/>
            <w:vAlign w:val="top"/>
          </w:tcPr>
          <w:p>
            <w:r>
              <w:rPr>
                <w:sz w:val="20"/>
              </w:rPr>
              <w:t>Exception Type</w:t>
            </w:r>
          </w:p>
        </w:tc>
        <w:tc>
          <w:tcPr>
            <w:tcW w:type="dxa" w:w="4320"/>
            <w:vAlign w:val="top"/>
          </w:tcPr>
          <w:p>
            <w:r>
              <w:rPr>
                <w:sz w:val="20"/>
              </w:rPr>
              <w:t>FICO / DTI / LTV / amount / other</w:t>
            </w:r>
          </w:p>
        </w:tc>
      </w:tr>
      <w:tr>
        <w:tc>
          <w:tcPr>
            <w:tcW w:type="dxa" w:w="4320"/>
            <w:vAlign w:val="top"/>
          </w:tcPr>
          <w:p>
            <w:r>
              <w:rPr>
                <w:sz w:val="20"/>
              </w:rPr>
              <w:t>Standard Value</w:t>
            </w:r>
          </w:p>
        </w:tc>
        <w:tc>
          <w:tcPr>
            <w:tcW w:type="dxa" w:w="4320"/>
            <w:vAlign w:val="top"/>
          </w:tcPr>
          <w:p>
            <w:r>
              <w:rPr>
                <w:sz w:val="20"/>
              </w:rPr>
              <w:t>The policy threshold being relaxed</w:t>
            </w:r>
          </w:p>
        </w:tc>
      </w:tr>
      <w:tr>
        <w:tc>
          <w:tcPr>
            <w:tcW w:type="dxa" w:w="4320"/>
            <w:vAlign w:val="top"/>
          </w:tcPr>
          <w:p>
            <w:r>
              <w:rPr>
                <w:sz w:val="20"/>
              </w:rPr>
              <w:t>Actual Value</w:t>
            </w:r>
          </w:p>
        </w:tc>
        <w:tc>
          <w:tcPr>
            <w:tcW w:type="dxa" w:w="4320"/>
            <w:vAlign w:val="top"/>
          </w:tcPr>
          <w:p>
            <w:r>
              <w:rPr>
                <w:sz w:val="20"/>
              </w:rPr>
              <w:t>The applicant's value</w:t>
            </w:r>
          </w:p>
        </w:tc>
      </w:tr>
      <w:tr>
        <w:tc>
          <w:tcPr>
            <w:tcW w:type="dxa" w:w="4320"/>
            <w:vAlign w:val="top"/>
          </w:tcPr>
          <w:p>
            <w:r>
              <w:rPr>
                <w:sz w:val="20"/>
              </w:rPr>
              <w:t>Compensating Factors</w:t>
            </w:r>
          </w:p>
        </w:tc>
        <w:tc>
          <w:tcPr>
            <w:tcW w:type="dxa" w:w="4320"/>
            <w:vAlign w:val="top"/>
          </w:tcPr>
          <w:p>
            <w:r>
              <w:rPr>
                <w:sz w:val="20"/>
              </w:rPr>
              <w:t>Documented mitigants</w:t>
            </w:r>
          </w:p>
        </w:tc>
      </w:tr>
      <w:tr>
        <w:tc>
          <w:tcPr>
            <w:tcW w:type="dxa" w:w="4320"/>
            <w:vAlign w:val="top"/>
          </w:tcPr>
          <w:p>
            <w:r>
              <w:rPr>
                <w:sz w:val="20"/>
              </w:rPr>
              <w:t>Approving Tier</w:t>
            </w:r>
          </w:p>
        </w:tc>
        <w:tc>
          <w:tcPr>
            <w:tcW w:type="dxa" w:w="4320"/>
            <w:vAlign w:val="top"/>
          </w:tcPr>
          <w:p>
            <w:r>
              <w:rPr>
                <w:sz w:val="20"/>
              </w:rPr>
              <w:t>Tier and approver name</w:t>
            </w:r>
          </w:p>
        </w:tc>
      </w:tr>
      <w:tr>
        <w:tc>
          <w:tcPr>
            <w:tcW w:type="dxa" w:w="4320"/>
            <w:vAlign w:val="top"/>
          </w:tcPr>
          <w:p>
            <w:r>
              <w:rPr>
                <w:sz w:val="20"/>
              </w:rPr>
              <w:t>Quarterly Review Outcome</w:t>
            </w:r>
          </w:p>
        </w:tc>
        <w:tc>
          <w:tcPr>
            <w:tcW w:type="dxa" w:w="4320"/>
            <w:vAlign w:val="top"/>
          </w:tcPr>
          <w:p>
            <w:r>
              <w:rPr>
                <w:sz w:val="20"/>
              </w:rPr>
              <w:t>Filled at Credit Committee review</w:t>
            </w:r>
          </w:p>
        </w:tc>
      </w:tr>
    </w:tbl>
    <w:p>
      <w:pPr>
        <w:pStyle w:val="Heading1"/>
      </w:pPr>
      <w:r>
        <w:rPr>
          <w:color w:val="1A237E"/>
        </w:rPr>
        <w:t>5. Sign-off and Acknowledgment</w:t>
      </w:r>
    </w:p>
    <w:p>
      <w:r>
        <w:t>Every credit officer shall acknowledge this Framework annually as part of the Bank's compliance training. Signed acknowledgments are retained by the Office of the Chief Compliance Officer for five (5) years. The Framework will next be reviewed in December 2026.</w:t>
      </w:r>
    </w:p>
    <w:p>
      <w:r>
        <w:t>Approved by: Chief Credit Officer, Northvale Demo Bank. Approval date: December 20, 2025.</w:t>
      </w:r>
    </w:p>
    <w:p>
      <w:pPr>
        <w:jc w:val="center"/>
      </w:pPr>
      <w:r>
        <w:rPr>
          <w:i/>
          <w:color w:val="546E7A"/>
          <w:sz w:val="17"/>
        </w:rPr>
        <w:t>Northvale Demo Bank is fictional. This document exists solely for the GenAI RAG capstone demonstration.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i/>
        <w:color w:val="546E7A"/>
        <w:sz w:val="17"/>
      </w:rPr>
      <w:t>Northvale Demo Bank - Credit Officer Decision Framework - FICTIONAL FOR DEMONSTRATION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