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237E"/>
        </w:rPr>
        <w:t>Quarterly Compliance Update</w:t>
      </w:r>
    </w:p>
    <w:p>
      <w:r>
        <w:rPr>
          <w:i/>
          <w:color w:val="3949AB"/>
        </w:rPr>
        <w:t>Q1 2026 - Issued March 31, 2026 - Office of the Chief Compliance Officer</w:t>
      </w:r>
    </w:p>
    <w:p>
      <w:pPr>
        <w:pStyle w:val="Heading1"/>
      </w:pPr>
      <w:r>
        <w:rPr>
          <w:color w:val="1A237E"/>
        </w:rPr>
        <w:t>1. Executive Summary</w:t>
      </w:r>
    </w:p>
    <w:p>
      <w:r>
        <w:t>Q1 2026 closed with the Bank in good standing across all retail compliance pillars. KYC completion rate at day 30 reached 98.4% (target: 98%). SAR filings increased 6% quarter on quarter, consistent with the new cross-border velocity rules. The 85% Jaro-Winkler threshold introduced by Regulatory Circular 2026-02 went live on March 1 with no operational incidents. Customer complaint resolution time averaged 18 calendar days against a 30-day target.</w:t>
      </w:r>
    </w:p>
    <w:p>
      <w:pPr>
        <w:pStyle w:val="Heading1"/>
      </w:pPr>
      <w:r>
        <w:rPr>
          <w:color w:val="1A237E"/>
        </w:rPr>
        <w:t>2. Regulatory Updates</w:t>
      </w:r>
    </w:p>
    <w:p>
      <w:r>
        <w:t>Three regulatory items were addressed in Q1. First, Regulatory Circular 2026-02 (sanctions threshold update) was rolled out across new onboarding, existing customer rescreening, and legacy batches. Second, the annual update to the Compliance Handbook (Version 8.0) was distributed effective January 1. Third, the Bank refreshed the BSA Officer designation letter following the departure of the prior officer in late December.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color w:val="1A237E"/>
                <w:sz w:val="20"/>
              </w:rPr>
              <w:t>Item</w:t>
            </w:r>
          </w:p>
        </w:tc>
        <w:tc>
          <w:tcPr>
            <w:tcW w:type="dxa" w:w="2880"/>
          </w:tcPr>
          <w:p>
            <w:r>
              <w:rPr>
                <w:b/>
                <w:color w:val="1A237E"/>
                <w:sz w:val="20"/>
              </w:rPr>
              <w:t>Status</w:t>
            </w:r>
          </w:p>
        </w:tc>
        <w:tc>
          <w:tcPr>
            <w:tcW w:type="dxa" w:w="2880"/>
          </w:tcPr>
          <w:p>
            <w:r>
              <w:rPr>
                <w:b/>
                <w:color w:val="1A237E"/>
                <w:sz w:val="20"/>
              </w:rPr>
              <w:t>Owner</w:t>
            </w:r>
          </w:p>
        </w:tc>
      </w:tr>
      <w:tr>
        <w:tc>
          <w:tcPr>
            <w:tcW w:type="dxa" w:w="2880"/>
            <w:vAlign w:val="top"/>
          </w:tcPr>
          <w:p>
            <w:r>
              <w:rPr>
                <w:sz w:val="20"/>
              </w:rPr>
              <w:t>Circular 2026-02 rollout</w:t>
            </w:r>
          </w:p>
        </w:tc>
        <w:tc>
          <w:tcPr>
            <w:tcW w:type="dxa" w:w="2880"/>
            <w:vAlign w:val="top"/>
          </w:tcPr>
          <w:p>
            <w:r>
              <w:rPr>
                <w:sz w:val="20"/>
              </w:rPr>
              <w:t>Complete on Mar 1 for new flows; rescreening on track for Apr 30</w:t>
            </w:r>
          </w:p>
        </w:tc>
        <w:tc>
          <w:tcPr>
            <w:tcW w:type="dxa" w:w="2880"/>
            <w:vAlign w:val="top"/>
          </w:tcPr>
          <w:p>
            <w:r>
              <w:rPr>
                <w:sz w:val="20"/>
              </w:rPr>
              <w:t>Financial Crime Ops</w:t>
            </w:r>
          </w:p>
        </w:tc>
      </w:tr>
      <w:tr>
        <w:tc>
          <w:tcPr>
            <w:tcW w:type="dxa" w:w="2880"/>
            <w:vAlign w:val="top"/>
          </w:tcPr>
          <w:p>
            <w:r>
              <w:rPr>
                <w:sz w:val="20"/>
              </w:rPr>
              <w:t>Compliance Handbook v8</w:t>
            </w:r>
          </w:p>
        </w:tc>
        <w:tc>
          <w:tcPr>
            <w:tcW w:type="dxa" w:w="2880"/>
            <w:vAlign w:val="top"/>
          </w:tcPr>
          <w:p>
            <w:r>
              <w:rPr>
                <w:sz w:val="20"/>
              </w:rPr>
              <w:t>Distributed Jan 1, training complete Mar 15</w:t>
            </w:r>
          </w:p>
        </w:tc>
        <w:tc>
          <w:tcPr>
            <w:tcW w:type="dxa" w:w="2880"/>
            <w:vAlign w:val="top"/>
          </w:tcPr>
          <w:p>
            <w:r>
              <w:rPr>
                <w:sz w:val="20"/>
              </w:rPr>
              <w:t>Chief Compliance Officer</w:t>
            </w:r>
          </w:p>
        </w:tc>
      </w:tr>
      <w:tr>
        <w:tc>
          <w:tcPr>
            <w:tcW w:type="dxa" w:w="2880"/>
            <w:vAlign w:val="top"/>
          </w:tcPr>
          <w:p>
            <w:r>
              <w:rPr>
                <w:sz w:val="20"/>
              </w:rPr>
              <w:t>BSA Officer designation</w:t>
            </w:r>
          </w:p>
        </w:tc>
        <w:tc>
          <w:tcPr>
            <w:tcW w:type="dxa" w:w="2880"/>
            <w:vAlign w:val="top"/>
          </w:tcPr>
          <w:p>
            <w:r>
              <w:rPr>
                <w:sz w:val="20"/>
              </w:rPr>
              <w:t>Filed Jan 15, 2026</w:t>
            </w:r>
          </w:p>
        </w:tc>
        <w:tc>
          <w:tcPr>
            <w:tcW w:type="dxa" w:w="2880"/>
            <w:vAlign w:val="top"/>
          </w:tcPr>
          <w:p>
            <w:r>
              <w:rPr>
                <w:sz w:val="20"/>
              </w:rPr>
              <w:t>Office of the General Counsel</w:t>
            </w:r>
          </w:p>
        </w:tc>
      </w:tr>
    </w:tbl>
    <w:p>
      <w:pPr>
        <w:pStyle w:val="Heading1"/>
      </w:pPr>
      <w:r>
        <w:rPr>
          <w:color w:val="1A237E"/>
        </w:rPr>
        <w:t>3. Training Reminders</w:t>
      </w:r>
    </w:p>
    <w:p>
      <w:r>
        <w:t>The Q1 mandatory training topic was Enhanced Due Diligence (EDD). All branch staff are reminded that high-risk Customers require a 6-month review cycle, source-of-funds narrative, and ownership tree where applicable. Outstanding training completions are due by April 30, 2026; managers shall escalate non-completion to Regional HR Compliance.</w:t>
      </w:r>
    </w:p>
    <w:p>
      <w:r>
        <w:t>Q2 2026 training will focus on Suspicious Activity Reporting (SAR), reaffirming the 30 / 60-day filing windows and the BSA Officer sign-off requirement before submission.</w:t>
      </w:r>
    </w:p>
    <w:p>
      <w:pPr>
        <w:pStyle w:val="Heading1"/>
      </w:pPr>
      <w:r>
        <w:rPr>
          <w:color w:val="1A237E"/>
        </w:rPr>
        <w:t>4. Q2 2026 Priorities</w:t>
      </w:r>
    </w:p>
    <w:p>
      <w:pPr>
        <w:pStyle w:val="ListBullet"/>
      </w:pPr>
      <w:r>
        <w:t>Complete the existing-customer sanctions rescreening (cutover by April 30, 2026).</w:t>
      </w:r>
    </w:p>
    <w:p>
      <w:pPr>
        <w:pStyle w:val="ListBullet"/>
      </w:pPr>
      <w:r>
        <w:t>Roll out SAR mandatory training; target 100% completion by June 15, 2026.</w:t>
      </w:r>
    </w:p>
    <w:p>
      <w:pPr>
        <w:pStyle w:val="ListBullet"/>
      </w:pPr>
      <w:r>
        <w:t>Conduct the semi-annual Exception Log review with the Credit Committee.</w:t>
      </w:r>
    </w:p>
    <w:p>
      <w:pPr>
        <w:pStyle w:val="ListBullet"/>
      </w:pPr>
      <w:r>
        <w:t>Refresh the Customer Complaint Handling Policy following the new CFPB guidance expected in May.</w:t>
      </w:r>
    </w:p>
    <w:p>
      <w:pPr>
        <w:pStyle w:val="ListBullet"/>
      </w:pPr>
      <w:r>
        <w:t>Update the Loan Approval Thresholds wiki page if Q2 portfolio review prompts tier adjustments.</w:t>
      </w:r>
    </w:p>
    <w:p>
      <w:r>
        <w:t>Questions or feedback on this update should be directed to the Office of the Chief Compliance Officer. The next update will be issued by June 30, 2026.</w:t>
      </w:r>
    </w:p>
    <w:p>
      <w:pPr>
        <w:jc w:val="center"/>
      </w:pPr>
      <w:r>
        <w:rPr>
          <w:i/>
          <w:color w:val="546E7A"/>
          <w:sz w:val="17"/>
        </w:rPr>
        <w:t>Northvale Demo Bank is fictional. This document exists solely for the GenAI RAG capstone demonstration.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i/>
        <w:color w:val="546E7A"/>
        <w:sz w:val="17"/>
      </w:rPr>
      <w:t>Northvale Demo Bank - Quarterly Compliance Update Q1 2026 - FICTIONAL FOR DEMONSTRATION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